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header1.xml" ContentType="application/vnd.openxmlformats-officedocument.wordprocessingml.header+xml"/>
  <Override PartName="/word/footnotes.xml" ContentType="application/vnd.openxmlformats-officedocument.wordprocessingml.footnotes+xml"/>
  <Override PartName="/word/footer2.xml" ContentType="application/vnd.openxmlformats-officedocument.wordprocessingml.footer+xml"/>
  <Override PartName="/word/charts/style1.xml" ContentType="application/vnd.ms-office.chartstyle+xml"/>
  <Override PartName="/word/theme/theme1.xml" ContentType="application/vnd.openxmlformats-officedocument.theme+xml"/>
  <Override PartName="/word/charts/colors1.xml" ContentType="application/vnd.ms-office.chartcolorstyle+xml"/>
  <Override PartName="/word/charts/chart1.xml" ContentType="application/vnd.openxmlformats-officedocument.drawingml.chart+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AEDEB8" w14:textId="77777777" w:rsidR="00FB58A9" w:rsidRPr="00D61662" w:rsidRDefault="00FB58A9" w:rsidP="00FB58A9">
      <w:pPr>
        <w:pStyle w:val="Title"/>
        <w:rPr>
          <w:rFonts w:cs="Times New Roman"/>
          <w:sz w:val="40"/>
          <w:szCs w:val="40"/>
        </w:rPr>
      </w:pPr>
      <w:bookmarkStart w:id="0" w:name="_Toc517159287"/>
    </w:p>
    <w:p w14:paraId="07A2E79A" w14:textId="738CCBA3" w:rsidR="00FB58A9" w:rsidRPr="00D61662" w:rsidRDefault="00FB58A9" w:rsidP="00FB58A9">
      <w:pPr>
        <w:pStyle w:val="Title"/>
        <w:rPr>
          <w:rFonts w:cs="Times New Roman"/>
          <w:sz w:val="40"/>
          <w:szCs w:val="40"/>
        </w:rPr>
      </w:pPr>
      <w:r w:rsidRPr="00D61662">
        <w:rPr>
          <w:rFonts w:cs="Times New Roman"/>
          <w:sz w:val="40"/>
          <w:szCs w:val="40"/>
        </w:rPr>
        <w:t xml:space="preserve">Report for End of Semester </w:t>
      </w:r>
      <w:r>
        <w:rPr>
          <w:rFonts w:cs="Times New Roman"/>
          <w:sz w:val="40"/>
          <w:szCs w:val="40"/>
        </w:rPr>
        <w:t>1</w:t>
      </w:r>
      <w:r w:rsidRPr="00D61662">
        <w:rPr>
          <w:rFonts w:cs="Times New Roman"/>
          <w:sz w:val="40"/>
          <w:szCs w:val="40"/>
        </w:rPr>
        <w:t>, 201</w:t>
      </w:r>
      <w:r>
        <w:rPr>
          <w:rFonts w:cs="Times New Roman"/>
          <w:sz w:val="40"/>
          <w:szCs w:val="40"/>
        </w:rPr>
        <w:t>9</w:t>
      </w:r>
    </w:p>
    <w:p w14:paraId="0F9BBF9D" w14:textId="77777777" w:rsidR="00FB58A9" w:rsidRPr="00D61662" w:rsidRDefault="00FB58A9" w:rsidP="00FB58A9">
      <w:pPr>
        <w:rPr>
          <w:sz w:val="40"/>
          <w:szCs w:val="40"/>
        </w:rPr>
      </w:pPr>
    </w:p>
    <w:p w14:paraId="65129425" w14:textId="77777777" w:rsidR="00FB58A9" w:rsidRPr="00D61662" w:rsidRDefault="00FB58A9" w:rsidP="00FB58A9">
      <w:pPr>
        <w:pStyle w:val="Subtitle"/>
        <w:rPr>
          <w:rFonts w:cs="Times New Roman"/>
          <w:sz w:val="40"/>
          <w:szCs w:val="40"/>
        </w:rPr>
      </w:pPr>
      <w:r w:rsidRPr="00D61662">
        <w:rPr>
          <w:rFonts w:cs="Times New Roman"/>
          <w:sz w:val="40"/>
          <w:szCs w:val="40"/>
        </w:rPr>
        <w:t>ANU Student Managed Fund</w:t>
      </w:r>
    </w:p>
    <w:p w14:paraId="14CA2C6E" w14:textId="77777777" w:rsidR="00FB58A9" w:rsidRPr="00D61662" w:rsidRDefault="00FB58A9" w:rsidP="00FB58A9">
      <w:pPr>
        <w:rPr>
          <w:sz w:val="20"/>
          <w:szCs w:val="20"/>
        </w:rPr>
      </w:pPr>
    </w:p>
    <w:p w14:paraId="2B173B66" w14:textId="77777777" w:rsidR="00FB58A9" w:rsidRPr="00D61662" w:rsidRDefault="00FB58A9" w:rsidP="00FB58A9">
      <w:pPr>
        <w:spacing w:before="480"/>
        <w:jc w:val="center"/>
        <w:rPr>
          <w:sz w:val="22"/>
          <w:szCs w:val="22"/>
        </w:rPr>
      </w:pPr>
    </w:p>
    <w:p w14:paraId="354E7DD0" w14:textId="77777777" w:rsidR="00FB58A9" w:rsidRPr="00D61662" w:rsidRDefault="00FB58A9" w:rsidP="00FB58A9">
      <w:pPr>
        <w:jc w:val="center"/>
        <w:rPr>
          <w:sz w:val="22"/>
          <w:szCs w:val="22"/>
        </w:rPr>
      </w:pPr>
    </w:p>
    <w:p w14:paraId="1F3D7286" w14:textId="50F0103A" w:rsidR="00FB58A9" w:rsidRPr="00D61662" w:rsidRDefault="00FB58A9" w:rsidP="00FB58A9">
      <w:pPr>
        <w:jc w:val="center"/>
        <w:rPr>
          <w:sz w:val="22"/>
          <w:szCs w:val="22"/>
        </w:rPr>
      </w:pPr>
      <w:r w:rsidRPr="00D61662">
        <w:rPr>
          <w:rFonts w:eastAsia="Times New Roman"/>
          <w:b/>
          <w:noProof/>
          <w:sz w:val="22"/>
          <w:szCs w:val="22"/>
          <w:lang w:eastAsia="en-AU"/>
        </w:rPr>
        <w:drawing>
          <wp:anchor distT="114300" distB="114300" distL="114300" distR="114300" simplePos="0" relativeHeight="251660288" behindDoc="0" locked="0" layoutInCell="1" allowOverlap="1" wp14:anchorId="0D45A0F5" wp14:editId="433C8443">
            <wp:simplePos x="0" y="0"/>
            <wp:positionH relativeFrom="page">
              <wp:align>left</wp:align>
            </wp:positionH>
            <wp:positionV relativeFrom="paragraph">
              <wp:posOffset>334010</wp:posOffset>
            </wp:positionV>
            <wp:extent cx="7555230" cy="3752850"/>
            <wp:effectExtent l="0" t="0" r="7620" b="0"/>
            <wp:wrapTopAndBottom/>
            <wp:docPr id="165" name="Picture 165" descr="Screen Shot 2017-09-01 at 3.37.44 p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1.png" descr="Screen Shot 2017-09-01 at 3.37.44 pm.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555230" cy="3752850"/>
                    </a:xfrm>
                    <a:prstGeom prst="rect">
                      <a:avLst/>
                    </a:prstGeom>
                    <a:noFill/>
                  </pic:spPr>
                </pic:pic>
              </a:graphicData>
            </a:graphic>
            <wp14:sizeRelH relativeFrom="page">
              <wp14:pctWidth>0</wp14:pctWidth>
            </wp14:sizeRelH>
            <wp14:sizeRelV relativeFrom="page">
              <wp14:pctHeight>0</wp14:pctHeight>
            </wp14:sizeRelV>
          </wp:anchor>
        </w:drawing>
      </w:r>
      <w:r w:rsidRPr="00D61662">
        <w:rPr>
          <w:sz w:val="22"/>
          <w:szCs w:val="22"/>
        </w:rPr>
        <w:t>Creation Date:</w:t>
      </w:r>
      <w:r>
        <w:rPr>
          <w:sz w:val="22"/>
          <w:szCs w:val="22"/>
        </w:rPr>
        <w:t xml:space="preserve"> 24/06/2019</w:t>
      </w:r>
      <w:r w:rsidRPr="00D61662">
        <w:rPr>
          <w:sz w:val="22"/>
          <w:szCs w:val="22"/>
        </w:rPr>
        <w:t xml:space="preserve"> | </w:t>
      </w:r>
      <w:r>
        <w:rPr>
          <w:sz w:val="22"/>
          <w:szCs w:val="22"/>
        </w:rPr>
        <w:t>Version</w:t>
      </w:r>
      <w:r w:rsidRPr="00D61662">
        <w:rPr>
          <w:sz w:val="22"/>
          <w:szCs w:val="22"/>
        </w:rPr>
        <w:t xml:space="preserve"> Date:</w:t>
      </w:r>
      <w:r>
        <w:rPr>
          <w:sz w:val="22"/>
          <w:szCs w:val="22"/>
        </w:rPr>
        <w:t xml:space="preserve"> </w:t>
      </w:r>
      <w:r w:rsidR="00DE0983">
        <w:rPr>
          <w:sz w:val="22"/>
          <w:szCs w:val="22"/>
        </w:rPr>
        <w:t>10</w:t>
      </w:r>
      <w:r>
        <w:rPr>
          <w:sz w:val="22"/>
          <w:szCs w:val="22"/>
        </w:rPr>
        <w:t>/</w:t>
      </w:r>
      <w:r w:rsidR="00BB06F4">
        <w:rPr>
          <w:sz w:val="22"/>
          <w:szCs w:val="22"/>
        </w:rPr>
        <w:t>07</w:t>
      </w:r>
      <w:r>
        <w:rPr>
          <w:sz w:val="22"/>
          <w:szCs w:val="22"/>
        </w:rPr>
        <w:t>/2019 (</w:t>
      </w:r>
      <w:r w:rsidR="00DE0983">
        <w:rPr>
          <w:sz w:val="22"/>
          <w:szCs w:val="22"/>
        </w:rPr>
        <w:t>Final, Approved</w:t>
      </w:r>
      <w:r>
        <w:rPr>
          <w:sz w:val="22"/>
          <w:szCs w:val="22"/>
        </w:rPr>
        <w:t xml:space="preserve">) </w:t>
      </w:r>
    </w:p>
    <w:sdt>
      <w:sdtPr>
        <w:rPr>
          <w:rFonts w:eastAsiaTheme="minorHAnsi"/>
          <w:b w:val="0"/>
          <w:noProof/>
          <w:color w:val="auto"/>
          <w:spacing w:val="0"/>
          <w:sz w:val="22"/>
          <w:szCs w:val="22"/>
        </w:rPr>
        <w:id w:val="-1095473894"/>
        <w:docPartObj>
          <w:docPartGallery w:val="Table of Contents"/>
          <w:docPartUnique/>
        </w:docPartObj>
      </w:sdtPr>
      <w:sdtEndPr>
        <w:rPr>
          <w:rFonts w:eastAsia="SimSun"/>
          <w:sz w:val="20"/>
          <w:szCs w:val="20"/>
        </w:rPr>
      </w:sdtEndPr>
      <w:sdtContent>
        <w:p w14:paraId="135F4FFB" w14:textId="77777777" w:rsidR="00FB58A9" w:rsidRPr="00D61662" w:rsidRDefault="00FB58A9" w:rsidP="00FB58A9">
          <w:pPr>
            <w:pStyle w:val="TOCHeading"/>
            <w:rPr>
              <w:rFonts w:eastAsiaTheme="minorHAnsi"/>
              <w:b w:val="0"/>
              <w:color w:val="auto"/>
              <w:spacing w:val="0"/>
              <w:sz w:val="20"/>
              <w:szCs w:val="20"/>
            </w:rPr>
          </w:pPr>
        </w:p>
        <w:p w14:paraId="4A8C06BB" w14:textId="77777777" w:rsidR="00FB58A9" w:rsidRPr="00D61662" w:rsidRDefault="00FB58A9" w:rsidP="00FB58A9">
          <w:pPr>
            <w:widowControl/>
            <w:jc w:val="left"/>
            <w:rPr>
              <w:sz w:val="20"/>
              <w:szCs w:val="20"/>
            </w:rPr>
          </w:pPr>
          <w:r w:rsidRPr="00D61662">
            <w:rPr>
              <w:b/>
              <w:sz w:val="20"/>
              <w:szCs w:val="20"/>
            </w:rPr>
            <w:br w:type="page"/>
          </w:r>
        </w:p>
        <w:p w14:paraId="78EB16C3" w14:textId="77777777" w:rsidR="00FB58A9" w:rsidRPr="00D61662" w:rsidRDefault="00FB58A9" w:rsidP="00A857DA">
          <w:pPr>
            <w:pStyle w:val="TOCHeading"/>
            <w:spacing w:before="0" w:after="120"/>
            <w:ind w:right="58"/>
            <w:rPr>
              <w:sz w:val="20"/>
              <w:szCs w:val="20"/>
            </w:rPr>
          </w:pPr>
          <w:r w:rsidRPr="00D61662">
            <w:rPr>
              <w:sz w:val="24"/>
              <w:szCs w:val="24"/>
            </w:rPr>
            <w:lastRenderedPageBreak/>
            <w:t>Contents</w:t>
          </w:r>
          <w:bookmarkStart w:id="1" w:name="_GoBack"/>
          <w:bookmarkEnd w:id="1"/>
        </w:p>
        <w:p w14:paraId="7860155D" w14:textId="67643823" w:rsidR="0042068D" w:rsidRPr="009C07BE" w:rsidRDefault="00FB58A9" w:rsidP="009C07BE">
          <w:pPr>
            <w:pStyle w:val="TOC1"/>
            <w:spacing w:before="100" w:after="100" w:line="240" w:lineRule="auto"/>
            <w:rPr>
              <w:rFonts w:asciiTheme="minorHAnsi" w:eastAsiaTheme="minorEastAsia" w:hAnsiTheme="minorHAnsi" w:cstheme="minorBidi"/>
              <w:sz w:val="20"/>
              <w:szCs w:val="20"/>
              <w:lang w:eastAsia="en-AU"/>
            </w:rPr>
          </w:pPr>
          <w:r w:rsidRPr="009C07BE">
            <w:rPr>
              <w:sz w:val="20"/>
              <w:szCs w:val="20"/>
            </w:rPr>
            <w:fldChar w:fldCharType="begin"/>
          </w:r>
          <w:r w:rsidRPr="009C07BE">
            <w:rPr>
              <w:sz w:val="20"/>
              <w:szCs w:val="20"/>
            </w:rPr>
            <w:instrText xml:space="preserve"> TOC \o "1-3" \h \z \u </w:instrText>
          </w:r>
          <w:r w:rsidRPr="009C07BE">
            <w:rPr>
              <w:sz w:val="20"/>
              <w:szCs w:val="20"/>
            </w:rPr>
            <w:fldChar w:fldCharType="separate"/>
          </w:r>
          <w:hyperlink w:anchor="_Toc13642396" w:history="1">
            <w:r w:rsidR="0042068D" w:rsidRPr="009C07BE">
              <w:rPr>
                <w:rStyle w:val="Hyperlink"/>
                <w:sz w:val="20"/>
                <w:szCs w:val="20"/>
                <w:lang w:eastAsia="zh-CN"/>
              </w:rPr>
              <w:t>Glossary</w:t>
            </w:r>
            <w:r w:rsidR="0042068D" w:rsidRPr="009C07BE">
              <w:rPr>
                <w:webHidden/>
                <w:sz w:val="20"/>
                <w:szCs w:val="20"/>
              </w:rPr>
              <w:tab/>
            </w:r>
            <w:r w:rsidR="0042068D" w:rsidRPr="009C07BE">
              <w:rPr>
                <w:webHidden/>
                <w:sz w:val="20"/>
                <w:szCs w:val="20"/>
              </w:rPr>
              <w:fldChar w:fldCharType="begin"/>
            </w:r>
            <w:r w:rsidR="0042068D" w:rsidRPr="009C07BE">
              <w:rPr>
                <w:webHidden/>
                <w:sz w:val="20"/>
                <w:szCs w:val="20"/>
              </w:rPr>
              <w:instrText xml:space="preserve"> PAGEREF _Toc13642396 \h </w:instrText>
            </w:r>
            <w:r w:rsidR="009C07BE" w:rsidRPr="009C07BE">
              <w:rPr>
                <w:webHidden/>
                <w:sz w:val="20"/>
                <w:szCs w:val="20"/>
              </w:rPr>
            </w:r>
            <w:r w:rsidR="009C07BE" w:rsidRPr="009C07BE">
              <w:rPr>
                <w:webHidden/>
                <w:sz w:val="20"/>
                <w:szCs w:val="20"/>
              </w:rPr>
              <w:fldChar w:fldCharType="separate"/>
            </w:r>
            <w:r w:rsidR="009C07BE" w:rsidRPr="009C07BE">
              <w:rPr>
                <w:noProof/>
                <w:webHidden/>
                <w:sz w:val="20"/>
                <w:szCs w:val="20"/>
              </w:rPr>
              <w:t>2</w:t>
            </w:r>
            <w:r w:rsidR="0042068D" w:rsidRPr="009C07BE">
              <w:rPr>
                <w:webHidden/>
                <w:sz w:val="20"/>
                <w:szCs w:val="20"/>
              </w:rPr>
              <w:fldChar w:fldCharType="end"/>
            </w:r>
          </w:hyperlink>
        </w:p>
        <w:p w14:paraId="19209363" w14:textId="254E7AED" w:rsidR="0042068D" w:rsidRPr="009C07BE" w:rsidRDefault="0042068D" w:rsidP="009C07BE">
          <w:pPr>
            <w:pStyle w:val="TOC1"/>
            <w:spacing w:before="100" w:after="100" w:line="240" w:lineRule="auto"/>
            <w:rPr>
              <w:rFonts w:asciiTheme="minorHAnsi" w:eastAsiaTheme="minorEastAsia" w:hAnsiTheme="minorHAnsi" w:cstheme="minorBidi"/>
              <w:sz w:val="20"/>
              <w:szCs w:val="20"/>
              <w:lang w:eastAsia="en-AU"/>
            </w:rPr>
          </w:pPr>
          <w:hyperlink w:anchor="_Toc13642397" w:history="1">
            <w:r w:rsidRPr="009C07BE">
              <w:rPr>
                <w:rStyle w:val="Hyperlink"/>
                <w:sz w:val="20"/>
                <w:szCs w:val="20"/>
                <w:lang w:eastAsia="zh-CN"/>
              </w:rPr>
              <w:t>About this Report</w:t>
            </w:r>
            <w:r w:rsidRPr="009C07BE">
              <w:rPr>
                <w:webHidden/>
                <w:sz w:val="20"/>
                <w:szCs w:val="20"/>
              </w:rPr>
              <w:tab/>
            </w:r>
            <w:r w:rsidRPr="009C07BE">
              <w:rPr>
                <w:webHidden/>
                <w:sz w:val="20"/>
                <w:szCs w:val="20"/>
              </w:rPr>
              <w:fldChar w:fldCharType="begin"/>
            </w:r>
            <w:r w:rsidRPr="009C07BE">
              <w:rPr>
                <w:webHidden/>
                <w:sz w:val="20"/>
                <w:szCs w:val="20"/>
              </w:rPr>
              <w:instrText xml:space="preserve"> PAGEREF _Toc13642397 \h </w:instrText>
            </w:r>
            <w:r w:rsidR="009C07BE" w:rsidRPr="009C07BE">
              <w:rPr>
                <w:webHidden/>
                <w:sz w:val="20"/>
                <w:szCs w:val="20"/>
              </w:rPr>
            </w:r>
            <w:r w:rsidR="009C07BE" w:rsidRPr="009C07BE">
              <w:rPr>
                <w:webHidden/>
                <w:sz w:val="20"/>
                <w:szCs w:val="20"/>
              </w:rPr>
              <w:fldChar w:fldCharType="separate"/>
            </w:r>
            <w:r w:rsidR="009C07BE" w:rsidRPr="009C07BE">
              <w:rPr>
                <w:noProof/>
                <w:webHidden/>
                <w:sz w:val="20"/>
                <w:szCs w:val="20"/>
              </w:rPr>
              <w:t>3</w:t>
            </w:r>
            <w:r w:rsidRPr="009C07BE">
              <w:rPr>
                <w:webHidden/>
                <w:sz w:val="20"/>
                <w:szCs w:val="20"/>
              </w:rPr>
              <w:fldChar w:fldCharType="end"/>
            </w:r>
          </w:hyperlink>
        </w:p>
        <w:p w14:paraId="11C30786" w14:textId="697724E9" w:rsidR="0042068D" w:rsidRPr="009C07BE" w:rsidRDefault="0042068D" w:rsidP="009C07BE">
          <w:pPr>
            <w:pStyle w:val="TOC1"/>
            <w:spacing w:before="100" w:after="100" w:line="240" w:lineRule="auto"/>
            <w:rPr>
              <w:rFonts w:asciiTheme="minorHAnsi" w:eastAsiaTheme="minorEastAsia" w:hAnsiTheme="minorHAnsi" w:cstheme="minorBidi"/>
              <w:sz w:val="20"/>
              <w:szCs w:val="20"/>
              <w:lang w:eastAsia="en-AU"/>
            </w:rPr>
          </w:pPr>
          <w:hyperlink w:anchor="_Toc13642398" w:history="1">
            <w:r w:rsidRPr="009C07BE">
              <w:rPr>
                <w:rStyle w:val="Hyperlink"/>
                <w:sz w:val="20"/>
                <w:szCs w:val="20"/>
                <w:lang w:eastAsia="zh-CN"/>
              </w:rPr>
              <w:t>Convenor Report</w:t>
            </w:r>
            <w:r w:rsidRPr="009C07BE">
              <w:rPr>
                <w:webHidden/>
                <w:sz w:val="20"/>
                <w:szCs w:val="20"/>
              </w:rPr>
              <w:tab/>
            </w:r>
            <w:r w:rsidRPr="009C07BE">
              <w:rPr>
                <w:webHidden/>
                <w:sz w:val="20"/>
                <w:szCs w:val="20"/>
              </w:rPr>
              <w:fldChar w:fldCharType="begin"/>
            </w:r>
            <w:r w:rsidRPr="009C07BE">
              <w:rPr>
                <w:webHidden/>
                <w:sz w:val="20"/>
                <w:szCs w:val="20"/>
              </w:rPr>
              <w:instrText xml:space="preserve"> PAGEREF _Toc13642398 \h </w:instrText>
            </w:r>
            <w:r w:rsidR="009C07BE" w:rsidRPr="009C07BE">
              <w:rPr>
                <w:webHidden/>
                <w:sz w:val="20"/>
                <w:szCs w:val="20"/>
              </w:rPr>
            </w:r>
            <w:r w:rsidR="009C07BE" w:rsidRPr="009C07BE">
              <w:rPr>
                <w:webHidden/>
                <w:sz w:val="20"/>
                <w:szCs w:val="20"/>
              </w:rPr>
              <w:fldChar w:fldCharType="separate"/>
            </w:r>
            <w:r w:rsidR="009C07BE" w:rsidRPr="009C07BE">
              <w:rPr>
                <w:noProof/>
                <w:webHidden/>
                <w:sz w:val="20"/>
                <w:szCs w:val="20"/>
              </w:rPr>
              <w:t>4</w:t>
            </w:r>
            <w:r w:rsidRPr="009C07BE">
              <w:rPr>
                <w:webHidden/>
                <w:sz w:val="20"/>
                <w:szCs w:val="20"/>
              </w:rPr>
              <w:fldChar w:fldCharType="end"/>
            </w:r>
          </w:hyperlink>
        </w:p>
        <w:p w14:paraId="020448E5" w14:textId="359C3D18" w:rsidR="0042068D" w:rsidRPr="009C07BE" w:rsidRDefault="0042068D" w:rsidP="009C07BE">
          <w:pPr>
            <w:pStyle w:val="TOC1"/>
            <w:spacing w:before="100" w:after="100" w:line="240" w:lineRule="auto"/>
            <w:rPr>
              <w:rFonts w:asciiTheme="minorHAnsi" w:eastAsiaTheme="minorEastAsia" w:hAnsiTheme="minorHAnsi" w:cstheme="minorBidi"/>
              <w:sz w:val="20"/>
              <w:szCs w:val="20"/>
              <w:lang w:eastAsia="en-AU"/>
            </w:rPr>
          </w:pPr>
          <w:hyperlink w:anchor="_Toc13642399" w:history="1">
            <w:r w:rsidRPr="009C07BE">
              <w:rPr>
                <w:rStyle w:val="Hyperlink"/>
                <w:sz w:val="20"/>
                <w:szCs w:val="20"/>
                <w:lang w:eastAsia="zh-CN"/>
              </w:rPr>
              <w:t>Chief Investment Officer (CIO) Report</w:t>
            </w:r>
            <w:r w:rsidRPr="009C07BE">
              <w:rPr>
                <w:webHidden/>
                <w:sz w:val="20"/>
                <w:szCs w:val="20"/>
              </w:rPr>
              <w:tab/>
            </w:r>
            <w:r w:rsidRPr="009C07BE">
              <w:rPr>
                <w:webHidden/>
                <w:sz w:val="20"/>
                <w:szCs w:val="20"/>
              </w:rPr>
              <w:fldChar w:fldCharType="begin"/>
            </w:r>
            <w:r w:rsidRPr="009C07BE">
              <w:rPr>
                <w:webHidden/>
                <w:sz w:val="20"/>
                <w:szCs w:val="20"/>
              </w:rPr>
              <w:instrText xml:space="preserve"> PAGEREF _Toc13642399 \h </w:instrText>
            </w:r>
            <w:r w:rsidR="009C07BE" w:rsidRPr="009C07BE">
              <w:rPr>
                <w:webHidden/>
                <w:sz w:val="20"/>
                <w:szCs w:val="20"/>
              </w:rPr>
            </w:r>
            <w:r w:rsidR="009C07BE" w:rsidRPr="009C07BE">
              <w:rPr>
                <w:webHidden/>
                <w:sz w:val="20"/>
                <w:szCs w:val="20"/>
              </w:rPr>
              <w:fldChar w:fldCharType="separate"/>
            </w:r>
            <w:r w:rsidR="009C07BE" w:rsidRPr="009C07BE">
              <w:rPr>
                <w:noProof/>
                <w:webHidden/>
                <w:sz w:val="20"/>
                <w:szCs w:val="20"/>
              </w:rPr>
              <w:t>5</w:t>
            </w:r>
            <w:r w:rsidRPr="009C07BE">
              <w:rPr>
                <w:webHidden/>
                <w:sz w:val="20"/>
                <w:szCs w:val="20"/>
              </w:rPr>
              <w:fldChar w:fldCharType="end"/>
            </w:r>
          </w:hyperlink>
        </w:p>
        <w:p w14:paraId="796D28EB" w14:textId="5512CABE" w:rsidR="0042068D" w:rsidRPr="009C07BE" w:rsidRDefault="0042068D" w:rsidP="009C07BE">
          <w:pPr>
            <w:pStyle w:val="TOC1"/>
            <w:spacing w:before="100" w:after="100" w:line="240" w:lineRule="auto"/>
            <w:rPr>
              <w:rFonts w:asciiTheme="minorHAnsi" w:eastAsiaTheme="minorEastAsia" w:hAnsiTheme="minorHAnsi" w:cstheme="minorBidi"/>
              <w:sz w:val="20"/>
              <w:szCs w:val="20"/>
              <w:lang w:eastAsia="en-AU"/>
            </w:rPr>
          </w:pPr>
          <w:hyperlink w:anchor="_Toc13642400" w:history="1">
            <w:r w:rsidRPr="009C07BE">
              <w:rPr>
                <w:rStyle w:val="Hyperlink"/>
                <w:sz w:val="20"/>
                <w:szCs w:val="20"/>
                <w:lang w:eastAsia="zh-CN"/>
              </w:rPr>
              <w:t>Team Updates</w:t>
            </w:r>
            <w:r w:rsidRPr="009C07BE">
              <w:rPr>
                <w:webHidden/>
                <w:sz w:val="20"/>
                <w:szCs w:val="20"/>
              </w:rPr>
              <w:tab/>
            </w:r>
            <w:r w:rsidRPr="009C07BE">
              <w:rPr>
                <w:webHidden/>
                <w:sz w:val="20"/>
                <w:szCs w:val="20"/>
              </w:rPr>
              <w:fldChar w:fldCharType="begin"/>
            </w:r>
            <w:r w:rsidRPr="009C07BE">
              <w:rPr>
                <w:webHidden/>
                <w:sz w:val="20"/>
                <w:szCs w:val="20"/>
              </w:rPr>
              <w:instrText xml:space="preserve"> PAGEREF _Toc13642400 \h </w:instrText>
            </w:r>
            <w:r w:rsidR="009C07BE" w:rsidRPr="009C07BE">
              <w:rPr>
                <w:webHidden/>
                <w:sz w:val="20"/>
                <w:szCs w:val="20"/>
              </w:rPr>
            </w:r>
            <w:r w:rsidR="009C07BE" w:rsidRPr="009C07BE">
              <w:rPr>
                <w:webHidden/>
                <w:sz w:val="20"/>
                <w:szCs w:val="20"/>
              </w:rPr>
              <w:fldChar w:fldCharType="separate"/>
            </w:r>
            <w:r w:rsidR="009C07BE" w:rsidRPr="009C07BE">
              <w:rPr>
                <w:noProof/>
                <w:webHidden/>
                <w:sz w:val="20"/>
                <w:szCs w:val="20"/>
              </w:rPr>
              <w:t>6</w:t>
            </w:r>
            <w:r w:rsidRPr="009C07BE">
              <w:rPr>
                <w:webHidden/>
                <w:sz w:val="20"/>
                <w:szCs w:val="20"/>
              </w:rPr>
              <w:fldChar w:fldCharType="end"/>
            </w:r>
          </w:hyperlink>
        </w:p>
        <w:p w14:paraId="6BC7B442" w14:textId="7AE66379" w:rsidR="0042068D" w:rsidRPr="009C07BE" w:rsidRDefault="0042068D" w:rsidP="009C07BE">
          <w:pPr>
            <w:pStyle w:val="TOC3"/>
            <w:spacing w:before="100" w:line="240" w:lineRule="auto"/>
            <w:rPr>
              <w:rFonts w:asciiTheme="minorHAnsi" w:eastAsiaTheme="minorEastAsia" w:hAnsiTheme="minorHAnsi" w:cstheme="minorBidi"/>
              <w:noProof w:val="0"/>
              <w:sz w:val="20"/>
              <w:szCs w:val="20"/>
              <w:lang w:eastAsia="en-AU"/>
            </w:rPr>
          </w:pPr>
          <w:hyperlink w:anchor="_Toc13642401" w:history="1">
            <w:r w:rsidRPr="009C07BE">
              <w:rPr>
                <w:rStyle w:val="Hyperlink"/>
                <w:sz w:val="20"/>
                <w:szCs w:val="20"/>
                <w:lang w:eastAsia="zh-CN"/>
              </w:rPr>
              <w:t>Active Australian Equities (AAE) Team</w:t>
            </w:r>
            <w:r w:rsidRPr="009C07BE">
              <w:rPr>
                <w:webHidden/>
                <w:sz w:val="20"/>
                <w:szCs w:val="20"/>
              </w:rPr>
              <w:tab/>
            </w:r>
            <w:r w:rsidRPr="009C07BE">
              <w:rPr>
                <w:webHidden/>
                <w:sz w:val="20"/>
                <w:szCs w:val="20"/>
              </w:rPr>
              <w:fldChar w:fldCharType="begin"/>
            </w:r>
            <w:r w:rsidRPr="009C07BE">
              <w:rPr>
                <w:webHidden/>
                <w:sz w:val="20"/>
                <w:szCs w:val="20"/>
              </w:rPr>
              <w:instrText xml:space="preserve"> PAGEREF _Toc13642401 \h </w:instrText>
            </w:r>
            <w:r w:rsidR="009C07BE" w:rsidRPr="009C07BE">
              <w:rPr>
                <w:webHidden/>
                <w:sz w:val="20"/>
                <w:szCs w:val="20"/>
              </w:rPr>
            </w:r>
            <w:r w:rsidR="009C07BE" w:rsidRPr="009C07BE">
              <w:rPr>
                <w:webHidden/>
                <w:sz w:val="20"/>
                <w:szCs w:val="20"/>
              </w:rPr>
              <w:fldChar w:fldCharType="separate"/>
            </w:r>
            <w:r w:rsidR="009C07BE" w:rsidRPr="009C07BE">
              <w:rPr>
                <w:webHidden/>
                <w:sz w:val="20"/>
                <w:szCs w:val="20"/>
              </w:rPr>
              <w:t>6</w:t>
            </w:r>
            <w:r w:rsidRPr="009C07BE">
              <w:rPr>
                <w:webHidden/>
                <w:sz w:val="20"/>
                <w:szCs w:val="20"/>
              </w:rPr>
              <w:fldChar w:fldCharType="end"/>
            </w:r>
          </w:hyperlink>
        </w:p>
        <w:p w14:paraId="675B46AE" w14:textId="06B6D3AA" w:rsidR="0042068D" w:rsidRPr="009C07BE" w:rsidRDefault="0042068D" w:rsidP="009C07BE">
          <w:pPr>
            <w:pStyle w:val="TOC3"/>
            <w:spacing w:before="100" w:line="240" w:lineRule="auto"/>
            <w:rPr>
              <w:rFonts w:asciiTheme="minorHAnsi" w:eastAsiaTheme="minorEastAsia" w:hAnsiTheme="minorHAnsi" w:cstheme="minorBidi"/>
              <w:noProof w:val="0"/>
              <w:sz w:val="20"/>
              <w:szCs w:val="20"/>
              <w:lang w:eastAsia="en-AU"/>
            </w:rPr>
          </w:pPr>
          <w:hyperlink w:anchor="_Toc13642402" w:history="1">
            <w:r w:rsidRPr="009C07BE">
              <w:rPr>
                <w:rStyle w:val="Hyperlink"/>
                <w:sz w:val="20"/>
                <w:szCs w:val="20"/>
                <w:lang w:eastAsia="zh-CN"/>
              </w:rPr>
              <w:t>Asset Allocation (AA) Team</w:t>
            </w:r>
            <w:r w:rsidRPr="009C07BE">
              <w:rPr>
                <w:webHidden/>
                <w:sz w:val="20"/>
                <w:szCs w:val="20"/>
              </w:rPr>
              <w:tab/>
            </w:r>
            <w:r w:rsidRPr="009C07BE">
              <w:rPr>
                <w:webHidden/>
                <w:sz w:val="20"/>
                <w:szCs w:val="20"/>
              </w:rPr>
              <w:fldChar w:fldCharType="begin"/>
            </w:r>
            <w:r w:rsidRPr="009C07BE">
              <w:rPr>
                <w:webHidden/>
                <w:sz w:val="20"/>
                <w:szCs w:val="20"/>
              </w:rPr>
              <w:instrText xml:space="preserve"> PAGEREF _Toc13642402 \h </w:instrText>
            </w:r>
            <w:r w:rsidR="009C07BE" w:rsidRPr="009C07BE">
              <w:rPr>
                <w:webHidden/>
                <w:sz w:val="20"/>
                <w:szCs w:val="20"/>
              </w:rPr>
            </w:r>
            <w:r w:rsidR="009C07BE" w:rsidRPr="009C07BE">
              <w:rPr>
                <w:webHidden/>
                <w:sz w:val="20"/>
                <w:szCs w:val="20"/>
              </w:rPr>
              <w:fldChar w:fldCharType="separate"/>
            </w:r>
            <w:r w:rsidR="009C07BE" w:rsidRPr="009C07BE">
              <w:rPr>
                <w:webHidden/>
                <w:sz w:val="20"/>
                <w:szCs w:val="20"/>
              </w:rPr>
              <w:t>6</w:t>
            </w:r>
            <w:r w:rsidRPr="009C07BE">
              <w:rPr>
                <w:webHidden/>
                <w:sz w:val="20"/>
                <w:szCs w:val="20"/>
              </w:rPr>
              <w:fldChar w:fldCharType="end"/>
            </w:r>
          </w:hyperlink>
        </w:p>
        <w:p w14:paraId="33B3610C" w14:textId="4DFD9E97" w:rsidR="0042068D" w:rsidRPr="009C07BE" w:rsidRDefault="0042068D" w:rsidP="009C07BE">
          <w:pPr>
            <w:pStyle w:val="TOC3"/>
            <w:spacing w:before="100" w:line="240" w:lineRule="auto"/>
            <w:rPr>
              <w:rFonts w:asciiTheme="minorHAnsi" w:eastAsiaTheme="minorEastAsia" w:hAnsiTheme="minorHAnsi" w:cstheme="minorBidi"/>
              <w:noProof w:val="0"/>
              <w:sz w:val="20"/>
              <w:szCs w:val="20"/>
              <w:lang w:eastAsia="en-AU"/>
            </w:rPr>
          </w:pPr>
          <w:hyperlink w:anchor="_Toc13642403" w:history="1">
            <w:r w:rsidRPr="009C07BE">
              <w:rPr>
                <w:rStyle w:val="Hyperlink"/>
                <w:sz w:val="20"/>
                <w:szCs w:val="20"/>
                <w:lang w:val="en-US"/>
              </w:rPr>
              <w:t>Risk &amp; Compliance (R&amp;C) Team</w:t>
            </w:r>
            <w:r w:rsidRPr="009C07BE">
              <w:rPr>
                <w:webHidden/>
                <w:sz w:val="20"/>
                <w:szCs w:val="20"/>
              </w:rPr>
              <w:tab/>
            </w:r>
            <w:r w:rsidRPr="009C07BE">
              <w:rPr>
                <w:webHidden/>
                <w:sz w:val="20"/>
                <w:szCs w:val="20"/>
              </w:rPr>
              <w:fldChar w:fldCharType="begin"/>
            </w:r>
            <w:r w:rsidRPr="009C07BE">
              <w:rPr>
                <w:webHidden/>
                <w:sz w:val="20"/>
                <w:szCs w:val="20"/>
              </w:rPr>
              <w:instrText xml:space="preserve"> PAGEREF _Toc13642403 \h </w:instrText>
            </w:r>
            <w:r w:rsidR="009C07BE" w:rsidRPr="009C07BE">
              <w:rPr>
                <w:webHidden/>
                <w:sz w:val="20"/>
                <w:szCs w:val="20"/>
              </w:rPr>
            </w:r>
            <w:r w:rsidR="009C07BE" w:rsidRPr="009C07BE">
              <w:rPr>
                <w:webHidden/>
                <w:sz w:val="20"/>
                <w:szCs w:val="20"/>
              </w:rPr>
              <w:fldChar w:fldCharType="separate"/>
            </w:r>
            <w:r w:rsidR="009C07BE" w:rsidRPr="009C07BE">
              <w:rPr>
                <w:webHidden/>
                <w:sz w:val="20"/>
                <w:szCs w:val="20"/>
              </w:rPr>
              <w:t>7</w:t>
            </w:r>
            <w:r w:rsidRPr="009C07BE">
              <w:rPr>
                <w:webHidden/>
                <w:sz w:val="20"/>
                <w:szCs w:val="20"/>
              </w:rPr>
              <w:fldChar w:fldCharType="end"/>
            </w:r>
          </w:hyperlink>
        </w:p>
        <w:p w14:paraId="039EC90D" w14:textId="183B4F56" w:rsidR="0042068D" w:rsidRPr="009C07BE" w:rsidRDefault="0042068D" w:rsidP="009C07BE">
          <w:pPr>
            <w:pStyle w:val="TOC3"/>
            <w:spacing w:before="100" w:line="240" w:lineRule="auto"/>
            <w:rPr>
              <w:rFonts w:asciiTheme="minorHAnsi" w:eastAsiaTheme="minorEastAsia" w:hAnsiTheme="minorHAnsi" w:cstheme="minorBidi"/>
              <w:noProof w:val="0"/>
              <w:sz w:val="20"/>
              <w:szCs w:val="20"/>
              <w:lang w:eastAsia="en-AU"/>
            </w:rPr>
          </w:pPr>
          <w:hyperlink w:anchor="_Toc13642404" w:history="1">
            <w:r w:rsidRPr="009C07BE">
              <w:rPr>
                <w:rStyle w:val="Hyperlink"/>
                <w:sz w:val="20"/>
                <w:szCs w:val="20"/>
                <w:lang w:val="en-US"/>
              </w:rPr>
              <w:t>Relationship Team</w:t>
            </w:r>
            <w:r w:rsidRPr="009C07BE">
              <w:rPr>
                <w:webHidden/>
                <w:sz w:val="20"/>
                <w:szCs w:val="20"/>
              </w:rPr>
              <w:tab/>
            </w:r>
            <w:r w:rsidRPr="009C07BE">
              <w:rPr>
                <w:webHidden/>
                <w:sz w:val="20"/>
                <w:szCs w:val="20"/>
              </w:rPr>
              <w:fldChar w:fldCharType="begin"/>
            </w:r>
            <w:r w:rsidRPr="009C07BE">
              <w:rPr>
                <w:webHidden/>
                <w:sz w:val="20"/>
                <w:szCs w:val="20"/>
              </w:rPr>
              <w:instrText xml:space="preserve"> PAGEREF _Toc13642404 \h </w:instrText>
            </w:r>
            <w:r w:rsidR="009C07BE" w:rsidRPr="009C07BE">
              <w:rPr>
                <w:webHidden/>
                <w:sz w:val="20"/>
                <w:szCs w:val="20"/>
              </w:rPr>
            </w:r>
            <w:r w:rsidR="009C07BE" w:rsidRPr="009C07BE">
              <w:rPr>
                <w:webHidden/>
                <w:sz w:val="20"/>
                <w:szCs w:val="20"/>
              </w:rPr>
              <w:fldChar w:fldCharType="separate"/>
            </w:r>
            <w:r w:rsidR="009C07BE" w:rsidRPr="009C07BE">
              <w:rPr>
                <w:webHidden/>
                <w:sz w:val="20"/>
                <w:szCs w:val="20"/>
              </w:rPr>
              <w:t>7</w:t>
            </w:r>
            <w:r w:rsidRPr="009C07BE">
              <w:rPr>
                <w:webHidden/>
                <w:sz w:val="20"/>
                <w:szCs w:val="20"/>
              </w:rPr>
              <w:fldChar w:fldCharType="end"/>
            </w:r>
          </w:hyperlink>
        </w:p>
        <w:p w14:paraId="7D93BA55" w14:textId="03A4069A" w:rsidR="0042068D" w:rsidRPr="009C07BE" w:rsidRDefault="0042068D" w:rsidP="009C07BE">
          <w:pPr>
            <w:pStyle w:val="TOC1"/>
            <w:spacing w:before="100" w:after="100" w:line="240" w:lineRule="auto"/>
            <w:rPr>
              <w:rFonts w:asciiTheme="minorHAnsi" w:eastAsiaTheme="minorEastAsia" w:hAnsiTheme="minorHAnsi" w:cstheme="minorBidi"/>
              <w:sz w:val="20"/>
              <w:szCs w:val="20"/>
              <w:lang w:eastAsia="en-AU"/>
            </w:rPr>
          </w:pPr>
          <w:hyperlink w:anchor="_Toc13642405" w:history="1">
            <w:r w:rsidRPr="009C07BE">
              <w:rPr>
                <w:rStyle w:val="Hyperlink"/>
                <w:sz w:val="20"/>
                <w:szCs w:val="20"/>
              </w:rPr>
              <w:t>Active Stock Positions</w:t>
            </w:r>
            <w:r w:rsidRPr="009C07BE">
              <w:rPr>
                <w:webHidden/>
                <w:sz w:val="20"/>
                <w:szCs w:val="20"/>
              </w:rPr>
              <w:tab/>
            </w:r>
            <w:r w:rsidRPr="009C07BE">
              <w:rPr>
                <w:webHidden/>
                <w:sz w:val="20"/>
                <w:szCs w:val="20"/>
              </w:rPr>
              <w:fldChar w:fldCharType="begin"/>
            </w:r>
            <w:r w:rsidRPr="009C07BE">
              <w:rPr>
                <w:webHidden/>
                <w:sz w:val="20"/>
                <w:szCs w:val="20"/>
              </w:rPr>
              <w:instrText xml:space="preserve"> PAGEREF _Toc13642405 \h </w:instrText>
            </w:r>
            <w:r w:rsidR="009C07BE" w:rsidRPr="009C07BE">
              <w:rPr>
                <w:webHidden/>
                <w:sz w:val="20"/>
                <w:szCs w:val="20"/>
              </w:rPr>
            </w:r>
            <w:r w:rsidR="009C07BE" w:rsidRPr="009C07BE">
              <w:rPr>
                <w:webHidden/>
                <w:sz w:val="20"/>
                <w:szCs w:val="20"/>
              </w:rPr>
              <w:fldChar w:fldCharType="separate"/>
            </w:r>
            <w:r w:rsidR="009C07BE" w:rsidRPr="009C07BE">
              <w:rPr>
                <w:noProof/>
                <w:webHidden/>
                <w:sz w:val="20"/>
                <w:szCs w:val="20"/>
              </w:rPr>
              <w:t>8</w:t>
            </w:r>
            <w:r w:rsidRPr="009C07BE">
              <w:rPr>
                <w:webHidden/>
                <w:sz w:val="20"/>
                <w:szCs w:val="20"/>
              </w:rPr>
              <w:fldChar w:fldCharType="end"/>
            </w:r>
          </w:hyperlink>
        </w:p>
        <w:p w14:paraId="27603B14" w14:textId="34C602F1" w:rsidR="0042068D" w:rsidRPr="009C07BE" w:rsidRDefault="0042068D" w:rsidP="009C07BE">
          <w:pPr>
            <w:pStyle w:val="TOC3"/>
            <w:spacing w:before="100" w:line="240" w:lineRule="auto"/>
            <w:rPr>
              <w:rFonts w:asciiTheme="minorHAnsi" w:eastAsiaTheme="minorEastAsia" w:hAnsiTheme="minorHAnsi" w:cstheme="minorBidi"/>
              <w:noProof w:val="0"/>
              <w:sz w:val="20"/>
              <w:szCs w:val="20"/>
              <w:lang w:eastAsia="en-AU"/>
            </w:rPr>
          </w:pPr>
          <w:hyperlink w:anchor="_Toc13642406" w:history="1">
            <w:r w:rsidRPr="009C07BE">
              <w:rPr>
                <w:rStyle w:val="Hyperlink"/>
                <w:sz w:val="20"/>
                <w:szCs w:val="20"/>
              </w:rPr>
              <w:t>Stock Spotlight: Inghams Group</w:t>
            </w:r>
            <w:r w:rsidRPr="009C07BE">
              <w:rPr>
                <w:webHidden/>
                <w:sz w:val="20"/>
                <w:szCs w:val="20"/>
              </w:rPr>
              <w:tab/>
            </w:r>
            <w:r w:rsidRPr="009C07BE">
              <w:rPr>
                <w:webHidden/>
                <w:sz w:val="20"/>
                <w:szCs w:val="20"/>
              </w:rPr>
              <w:fldChar w:fldCharType="begin"/>
            </w:r>
            <w:r w:rsidRPr="009C07BE">
              <w:rPr>
                <w:webHidden/>
                <w:sz w:val="20"/>
                <w:szCs w:val="20"/>
              </w:rPr>
              <w:instrText xml:space="preserve"> PAGEREF _Toc13642406 \h </w:instrText>
            </w:r>
            <w:r w:rsidR="009C07BE" w:rsidRPr="009C07BE">
              <w:rPr>
                <w:webHidden/>
                <w:sz w:val="20"/>
                <w:szCs w:val="20"/>
              </w:rPr>
            </w:r>
            <w:r w:rsidR="009C07BE" w:rsidRPr="009C07BE">
              <w:rPr>
                <w:webHidden/>
                <w:sz w:val="20"/>
                <w:szCs w:val="20"/>
              </w:rPr>
              <w:fldChar w:fldCharType="separate"/>
            </w:r>
            <w:r w:rsidR="009C07BE" w:rsidRPr="009C07BE">
              <w:rPr>
                <w:webHidden/>
                <w:sz w:val="20"/>
                <w:szCs w:val="20"/>
              </w:rPr>
              <w:t>8</w:t>
            </w:r>
            <w:r w:rsidRPr="009C07BE">
              <w:rPr>
                <w:webHidden/>
                <w:sz w:val="20"/>
                <w:szCs w:val="20"/>
              </w:rPr>
              <w:fldChar w:fldCharType="end"/>
            </w:r>
          </w:hyperlink>
        </w:p>
        <w:p w14:paraId="31C72CD5" w14:textId="5CA0E516" w:rsidR="0042068D" w:rsidRPr="009C07BE" w:rsidRDefault="0042068D" w:rsidP="009C07BE">
          <w:pPr>
            <w:pStyle w:val="TOC3"/>
            <w:spacing w:before="100" w:line="240" w:lineRule="auto"/>
            <w:rPr>
              <w:rFonts w:asciiTheme="minorHAnsi" w:eastAsiaTheme="minorEastAsia" w:hAnsiTheme="minorHAnsi" w:cstheme="minorBidi"/>
              <w:noProof w:val="0"/>
              <w:sz w:val="20"/>
              <w:szCs w:val="20"/>
              <w:lang w:eastAsia="en-AU"/>
            </w:rPr>
          </w:pPr>
          <w:hyperlink w:anchor="_Toc13642407" w:history="1">
            <w:r w:rsidRPr="009C07BE">
              <w:rPr>
                <w:rStyle w:val="Hyperlink"/>
                <w:sz w:val="20"/>
                <w:szCs w:val="20"/>
              </w:rPr>
              <w:t>Stock Spotlight: Westpac Banking Corporation</w:t>
            </w:r>
            <w:r w:rsidRPr="009C07BE">
              <w:rPr>
                <w:webHidden/>
                <w:sz w:val="20"/>
                <w:szCs w:val="20"/>
              </w:rPr>
              <w:tab/>
            </w:r>
            <w:r w:rsidRPr="009C07BE">
              <w:rPr>
                <w:webHidden/>
                <w:sz w:val="20"/>
                <w:szCs w:val="20"/>
              </w:rPr>
              <w:fldChar w:fldCharType="begin"/>
            </w:r>
            <w:r w:rsidRPr="009C07BE">
              <w:rPr>
                <w:webHidden/>
                <w:sz w:val="20"/>
                <w:szCs w:val="20"/>
              </w:rPr>
              <w:instrText xml:space="preserve"> PAGEREF _Toc13642407 \h </w:instrText>
            </w:r>
            <w:r w:rsidR="009C07BE" w:rsidRPr="009C07BE">
              <w:rPr>
                <w:webHidden/>
                <w:sz w:val="20"/>
                <w:szCs w:val="20"/>
              </w:rPr>
            </w:r>
            <w:r w:rsidR="009C07BE" w:rsidRPr="009C07BE">
              <w:rPr>
                <w:webHidden/>
                <w:sz w:val="20"/>
                <w:szCs w:val="20"/>
              </w:rPr>
              <w:fldChar w:fldCharType="separate"/>
            </w:r>
            <w:r w:rsidR="009C07BE" w:rsidRPr="009C07BE">
              <w:rPr>
                <w:webHidden/>
                <w:sz w:val="20"/>
                <w:szCs w:val="20"/>
              </w:rPr>
              <w:t>8</w:t>
            </w:r>
            <w:r w:rsidRPr="009C07BE">
              <w:rPr>
                <w:webHidden/>
                <w:sz w:val="20"/>
                <w:szCs w:val="20"/>
              </w:rPr>
              <w:fldChar w:fldCharType="end"/>
            </w:r>
          </w:hyperlink>
        </w:p>
        <w:p w14:paraId="410FB48E" w14:textId="360962BD" w:rsidR="0042068D" w:rsidRPr="009C07BE" w:rsidRDefault="0042068D" w:rsidP="009C07BE">
          <w:pPr>
            <w:pStyle w:val="TOC1"/>
            <w:spacing w:before="100" w:after="100" w:line="240" w:lineRule="auto"/>
            <w:rPr>
              <w:rFonts w:asciiTheme="minorHAnsi" w:eastAsiaTheme="minorEastAsia" w:hAnsiTheme="minorHAnsi" w:cstheme="minorBidi"/>
              <w:sz w:val="20"/>
              <w:szCs w:val="20"/>
              <w:lang w:eastAsia="en-AU"/>
            </w:rPr>
          </w:pPr>
          <w:hyperlink w:anchor="_Toc13642408" w:history="1">
            <w:r w:rsidRPr="009C07BE">
              <w:rPr>
                <w:rStyle w:val="Hyperlink"/>
                <w:sz w:val="20"/>
                <w:szCs w:val="20"/>
              </w:rPr>
              <w:t>Portfolio Overview</w:t>
            </w:r>
            <w:r w:rsidRPr="009C07BE">
              <w:rPr>
                <w:webHidden/>
                <w:sz w:val="20"/>
                <w:szCs w:val="20"/>
              </w:rPr>
              <w:tab/>
            </w:r>
            <w:r w:rsidRPr="009C07BE">
              <w:rPr>
                <w:webHidden/>
                <w:sz w:val="20"/>
                <w:szCs w:val="20"/>
              </w:rPr>
              <w:fldChar w:fldCharType="begin"/>
            </w:r>
            <w:r w:rsidRPr="009C07BE">
              <w:rPr>
                <w:webHidden/>
                <w:sz w:val="20"/>
                <w:szCs w:val="20"/>
              </w:rPr>
              <w:instrText xml:space="preserve"> PAGEREF _Toc13642408 \h </w:instrText>
            </w:r>
            <w:r w:rsidR="009C07BE" w:rsidRPr="009C07BE">
              <w:rPr>
                <w:webHidden/>
                <w:sz w:val="20"/>
                <w:szCs w:val="20"/>
              </w:rPr>
            </w:r>
            <w:r w:rsidR="009C07BE" w:rsidRPr="009C07BE">
              <w:rPr>
                <w:webHidden/>
                <w:sz w:val="20"/>
                <w:szCs w:val="20"/>
              </w:rPr>
              <w:fldChar w:fldCharType="separate"/>
            </w:r>
            <w:r w:rsidR="009C07BE" w:rsidRPr="009C07BE">
              <w:rPr>
                <w:noProof/>
                <w:webHidden/>
                <w:sz w:val="20"/>
                <w:szCs w:val="20"/>
              </w:rPr>
              <w:t>9</w:t>
            </w:r>
            <w:r w:rsidRPr="009C07BE">
              <w:rPr>
                <w:webHidden/>
                <w:sz w:val="20"/>
                <w:szCs w:val="20"/>
              </w:rPr>
              <w:fldChar w:fldCharType="end"/>
            </w:r>
          </w:hyperlink>
        </w:p>
        <w:p w14:paraId="128E88E0" w14:textId="0D243BE2" w:rsidR="0042068D" w:rsidRPr="009C07BE" w:rsidRDefault="0042068D" w:rsidP="009C07BE">
          <w:pPr>
            <w:pStyle w:val="TOC3"/>
            <w:spacing w:before="100" w:line="240" w:lineRule="auto"/>
            <w:rPr>
              <w:rFonts w:asciiTheme="minorHAnsi" w:eastAsiaTheme="minorEastAsia" w:hAnsiTheme="minorHAnsi" w:cstheme="minorBidi"/>
              <w:noProof w:val="0"/>
              <w:sz w:val="20"/>
              <w:szCs w:val="20"/>
              <w:lang w:eastAsia="en-AU"/>
            </w:rPr>
          </w:pPr>
          <w:hyperlink w:anchor="_Toc13642409" w:history="1">
            <w:r w:rsidRPr="009C07BE">
              <w:rPr>
                <w:rStyle w:val="Hyperlink"/>
                <w:sz w:val="20"/>
                <w:szCs w:val="20"/>
                <w:lang w:val="en-US"/>
              </w:rPr>
              <w:t>Portfolio Structure</w:t>
            </w:r>
            <w:r w:rsidRPr="009C07BE">
              <w:rPr>
                <w:webHidden/>
                <w:sz w:val="20"/>
                <w:szCs w:val="20"/>
              </w:rPr>
              <w:tab/>
            </w:r>
            <w:r w:rsidRPr="009C07BE">
              <w:rPr>
                <w:webHidden/>
                <w:sz w:val="20"/>
                <w:szCs w:val="20"/>
              </w:rPr>
              <w:fldChar w:fldCharType="begin"/>
            </w:r>
            <w:r w:rsidRPr="009C07BE">
              <w:rPr>
                <w:webHidden/>
                <w:sz w:val="20"/>
                <w:szCs w:val="20"/>
              </w:rPr>
              <w:instrText xml:space="preserve"> PAGEREF _Toc13642409 \h </w:instrText>
            </w:r>
            <w:r w:rsidR="009C07BE" w:rsidRPr="009C07BE">
              <w:rPr>
                <w:webHidden/>
                <w:sz w:val="20"/>
                <w:szCs w:val="20"/>
              </w:rPr>
            </w:r>
            <w:r w:rsidR="009C07BE" w:rsidRPr="009C07BE">
              <w:rPr>
                <w:webHidden/>
                <w:sz w:val="20"/>
                <w:szCs w:val="20"/>
              </w:rPr>
              <w:fldChar w:fldCharType="separate"/>
            </w:r>
            <w:r w:rsidR="009C07BE" w:rsidRPr="009C07BE">
              <w:rPr>
                <w:webHidden/>
                <w:sz w:val="20"/>
                <w:szCs w:val="20"/>
              </w:rPr>
              <w:t>9</w:t>
            </w:r>
            <w:r w:rsidRPr="009C07BE">
              <w:rPr>
                <w:webHidden/>
                <w:sz w:val="20"/>
                <w:szCs w:val="20"/>
              </w:rPr>
              <w:fldChar w:fldCharType="end"/>
            </w:r>
          </w:hyperlink>
        </w:p>
        <w:p w14:paraId="0125B253" w14:textId="7CBCE69B" w:rsidR="0042068D" w:rsidRPr="009C07BE" w:rsidRDefault="0042068D" w:rsidP="009C07BE">
          <w:pPr>
            <w:pStyle w:val="TOC3"/>
            <w:spacing w:before="100" w:line="240" w:lineRule="auto"/>
            <w:rPr>
              <w:rFonts w:asciiTheme="minorHAnsi" w:eastAsiaTheme="minorEastAsia" w:hAnsiTheme="minorHAnsi" w:cstheme="minorBidi"/>
              <w:noProof w:val="0"/>
              <w:sz w:val="20"/>
              <w:szCs w:val="20"/>
              <w:lang w:eastAsia="en-AU"/>
            </w:rPr>
          </w:pPr>
          <w:hyperlink w:anchor="_Toc13642410" w:history="1">
            <w:r w:rsidRPr="009C07BE">
              <w:rPr>
                <w:rStyle w:val="Hyperlink"/>
                <w:sz w:val="20"/>
                <w:szCs w:val="20"/>
                <w:lang w:val="en-US"/>
              </w:rPr>
              <w:t>Portfolio Performance</w:t>
            </w:r>
            <w:r w:rsidRPr="009C07BE">
              <w:rPr>
                <w:webHidden/>
                <w:sz w:val="20"/>
                <w:szCs w:val="20"/>
              </w:rPr>
              <w:tab/>
            </w:r>
            <w:r w:rsidRPr="009C07BE">
              <w:rPr>
                <w:webHidden/>
                <w:sz w:val="20"/>
                <w:szCs w:val="20"/>
              </w:rPr>
              <w:fldChar w:fldCharType="begin"/>
            </w:r>
            <w:r w:rsidRPr="009C07BE">
              <w:rPr>
                <w:webHidden/>
                <w:sz w:val="20"/>
                <w:szCs w:val="20"/>
              </w:rPr>
              <w:instrText xml:space="preserve"> PAGEREF _Toc13642410 \h </w:instrText>
            </w:r>
            <w:r w:rsidR="009C07BE" w:rsidRPr="009C07BE">
              <w:rPr>
                <w:webHidden/>
                <w:sz w:val="20"/>
                <w:szCs w:val="20"/>
              </w:rPr>
            </w:r>
            <w:r w:rsidR="009C07BE" w:rsidRPr="009C07BE">
              <w:rPr>
                <w:webHidden/>
                <w:sz w:val="20"/>
                <w:szCs w:val="20"/>
              </w:rPr>
              <w:fldChar w:fldCharType="separate"/>
            </w:r>
            <w:r w:rsidR="009C07BE" w:rsidRPr="009C07BE">
              <w:rPr>
                <w:webHidden/>
                <w:sz w:val="20"/>
                <w:szCs w:val="20"/>
              </w:rPr>
              <w:t>11</w:t>
            </w:r>
            <w:r w:rsidRPr="009C07BE">
              <w:rPr>
                <w:webHidden/>
                <w:sz w:val="20"/>
                <w:szCs w:val="20"/>
              </w:rPr>
              <w:fldChar w:fldCharType="end"/>
            </w:r>
          </w:hyperlink>
        </w:p>
        <w:p w14:paraId="1E36CF6E" w14:textId="545B057F" w:rsidR="0042068D" w:rsidRPr="009C07BE" w:rsidRDefault="0042068D" w:rsidP="009C07BE">
          <w:pPr>
            <w:pStyle w:val="TOC1"/>
            <w:spacing w:before="100" w:after="100" w:line="240" w:lineRule="auto"/>
            <w:rPr>
              <w:rFonts w:asciiTheme="minorHAnsi" w:eastAsiaTheme="minorEastAsia" w:hAnsiTheme="minorHAnsi" w:cstheme="minorBidi"/>
              <w:sz w:val="20"/>
              <w:szCs w:val="20"/>
              <w:lang w:eastAsia="en-AU"/>
            </w:rPr>
          </w:pPr>
          <w:hyperlink w:anchor="_Toc13642411" w:history="1">
            <w:r w:rsidRPr="009C07BE">
              <w:rPr>
                <w:rStyle w:val="Hyperlink"/>
                <w:sz w:val="20"/>
                <w:szCs w:val="20"/>
              </w:rPr>
              <w:t>Attribution Analysis</w:t>
            </w:r>
            <w:r w:rsidRPr="009C07BE">
              <w:rPr>
                <w:webHidden/>
                <w:sz w:val="20"/>
                <w:szCs w:val="20"/>
              </w:rPr>
              <w:tab/>
            </w:r>
            <w:r w:rsidRPr="009C07BE">
              <w:rPr>
                <w:webHidden/>
                <w:sz w:val="20"/>
                <w:szCs w:val="20"/>
              </w:rPr>
              <w:fldChar w:fldCharType="begin"/>
            </w:r>
            <w:r w:rsidRPr="009C07BE">
              <w:rPr>
                <w:webHidden/>
                <w:sz w:val="20"/>
                <w:szCs w:val="20"/>
              </w:rPr>
              <w:instrText xml:space="preserve"> PAGEREF _Toc13642411 \h </w:instrText>
            </w:r>
            <w:r w:rsidR="009C07BE" w:rsidRPr="009C07BE">
              <w:rPr>
                <w:webHidden/>
                <w:sz w:val="20"/>
                <w:szCs w:val="20"/>
              </w:rPr>
            </w:r>
            <w:r w:rsidR="009C07BE" w:rsidRPr="009C07BE">
              <w:rPr>
                <w:webHidden/>
                <w:sz w:val="20"/>
                <w:szCs w:val="20"/>
              </w:rPr>
              <w:fldChar w:fldCharType="separate"/>
            </w:r>
            <w:r w:rsidR="009C07BE" w:rsidRPr="009C07BE">
              <w:rPr>
                <w:noProof/>
                <w:webHidden/>
                <w:sz w:val="20"/>
                <w:szCs w:val="20"/>
              </w:rPr>
              <w:t>11</w:t>
            </w:r>
            <w:r w:rsidRPr="009C07BE">
              <w:rPr>
                <w:webHidden/>
                <w:sz w:val="20"/>
                <w:szCs w:val="20"/>
              </w:rPr>
              <w:fldChar w:fldCharType="end"/>
            </w:r>
          </w:hyperlink>
        </w:p>
        <w:p w14:paraId="37C0680F" w14:textId="5B6EA5D1" w:rsidR="0042068D" w:rsidRPr="009C07BE" w:rsidRDefault="0042068D" w:rsidP="009C07BE">
          <w:pPr>
            <w:pStyle w:val="TOC1"/>
            <w:spacing w:before="100" w:after="100" w:line="240" w:lineRule="auto"/>
            <w:rPr>
              <w:rFonts w:asciiTheme="minorHAnsi" w:eastAsiaTheme="minorEastAsia" w:hAnsiTheme="minorHAnsi" w:cstheme="minorBidi"/>
              <w:sz w:val="20"/>
              <w:szCs w:val="20"/>
              <w:lang w:eastAsia="en-AU"/>
            </w:rPr>
          </w:pPr>
          <w:hyperlink w:anchor="_Toc13642412" w:history="1">
            <w:r w:rsidRPr="009C07BE">
              <w:rPr>
                <w:rStyle w:val="Hyperlink"/>
                <w:sz w:val="20"/>
                <w:szCs w:val="20"/>
              </w:rPr>
              <w:t>Socially Responsible Investment (SRI) Report</w:t>
            </w:r>
            <w:r w:rsidRPr="009C07BE">
              <w:rPr>
                <w:webHidden/>
                <w:sz w:val="20"/>
                <w:szCs w:val="20"/>
              </w:rPr>
              <w:tab/>
            </w:r>
            <w:r w:rsidRPr="009C07BE">
              <w:rPr>
                <w:webHidden/>
                <w:sz w:val="20"/>
                <w:szCs w:val="20"/>
              </w:rPr>
              <w:fldChar w:fldCharType="begin"/>
            </w:r>
            <w:r w:rsidRPr="009C07BE">
              <w:rPr>
                <w:webHidden/>
                <w:sz w:val="20"/>
                <w:szCs w:val="20"/>
              </w:rPr>
              <w:instrText xml:space="preserve"> PAGEREF _Toc13642412 \h </w:instrText>
            </w:r>
            <w:r w:rsidR="009C07BE" w:rsidRPr="009C07BE">
              <w:rPr>
                <w:webHidden/>
                <w:sz w:val="20"/>
                <w:szCs w:val="20"/>
              </w:rPr>
            </w:r>
            <w:r w:rsidR="009C07BE" w:rsidRPr="009C07BE">
              <w:rPr>
                <w:webHidden/>
                <w:sz w:val="20"/>
                <w:szCs w:val="20"/>
              </w:rPr>
              <w:fldChar w:fldCharType="separate"/>
            </w:r>
            <w:r w:rsidR="009C07BE" w:rsidRPr="009C07BE">
              <w:rPr>
                <w:noProof/>
                <w:webHidden/>
                <w:sz w:val="20"/>
                <w:szCs w:val="20"/>
              </w:rPr>
              <w:t>13</w:t>
            </w:r>
            <w:r w:rsidRPr="009C07BE">
              <w:rPr>
                <w:webHidden/>
                <w:sz w:val="20"/>
                <w:szCs w:val="20"/>
              </w:rPr>
              <w:fldChar w:fldCharType="end"/>
            </w:r>
          </w:hyperlink>
        </w:p>
        <w:p w14:paraId="6B64D629" w14:textId="1FEEBE5B" w:rsidR="0042068D" w:rsidRPr="009C07BE" w:rsidRDefault="0042068D" w:rsidP="009C07BE">
          <w:pPr>
            <w:pStyle w:val="TOC1"/>
            <w:spacing w:before="100" w:after="100" w:line="240" w:lineRule="auto"/>
            <w:rPr>
              <w:rFonts w:asciiTheme="minorHAnsi" w:eastAsiaTheme="minorEastAsia" w:hAnsiTheme="minorHAnsi" w:cstheme="minorBidi"/>
              <w:sz w:val="20"/>
              <w:szCs w:val="20"/>
              <w:lang w:eastAsia="en-AU"/>
            </w:rPr>
          </w:pPr>
          <w:hyperlink w:anchor="_Toc13642413" w:history="1">
            <w:r w:rsidRPr="009C07BE">
              <w:rPr>
                <w:rStyle w:val="Hyperlink"/>
                <w:rFonts w:eastAsia="Times New Roman"/>
                <w:sz w:val="20"/>
                <w:szCs w:val="20"/>
                <w:lang w:eastAsia="en-AU"/>
              </w:rPr>
              <w:t>APPENDIX</w:t>
            </w:r>
            <w:r w:rsidRPr="009C07BE">
              <w:rPr>
                <w:webHidden/>
                <w:sz w:val="20"/>
                <w:szCs w:val="20"/>
              </w:rPr>
              <w:tab/>
            </w:r>
            <w:r w:rsidRPr="009C07BE">
              <w:rPr>
                <w:webHidden/>
                <w:sz w:val="20"/>
                <w:szCs w:val="20"/>
              </w:rPr>
              <w:fldChar w:fldCharType="begin"/>
            </w:r>
            <w:r w:rsidRPr="009C07BE">
              <w:rPr>
                <w:webHidden/>
                <w:sz w:val="20"/>
                <w:szCs w:val="20"/>
              </w:rPr>
              <w:instrText xml:space="preserve"> PAGEREF _Toc13642413 \h </w:instrText>
            </w:r>
            <w:r w:rsidR="009C07BE" w:rsidRPr="009C07BE">
              <w:rPr>
                <w:webHidden/>
                <w:sz w:val="20"/>
                <w:szCs w:val="20"/>
              </w:rPr>
            </w:r>
            <w:r w:rsidR="009C07BE" w:rsidRPr="009C07BE">
              <w:rPr>
                <w:webHidden/>
                <w:sz w:val="20"/>
                <w:szCs w:val="20"/>
              </w:rPr>
              <w:fldChar w:fldCharType="separate"/>
            </w:r>
            <w:r w:rsidR="009C07BE" w:rsidRPr="009C07BE">
              <w:rPr>
                <w:noProof/>
                <w:webHidden/>
                <w:sz w:val="20"/>
                <w:szCs w:val="20"/>
              </w:rPr>
              <w:t>14</w:t>
            </w:r>
            <w:r w:rsidRPr="009C07BE">
              <w:rPr>
                <w:webHidden/>
                <w:sz w:val="20"/>
                <w:szCs w:val="20"/>
              </w:rPr>
              <w:fldChar w:fldCharType="end"/>
            </w:r>
          </w:hyperlink>
        </w:p>
        <w:p w14:paraId="1678C8CD" w14:textId="76D8DB47" w:rsidR="0042068D" w:rsidRPr="009C07BE" w:rsidRDefault="0042068D" w:rsidP="009C07BE">
          <w:pPr>
            <w:pStyle w:val="TOC3"/>
            <w:spacing w:before="100" w:line="240" w:lineRule="auto"/>
            <w:rPr>
              <w:rFonts w:asciiTheme="minorHAnsi" w:eastAsiaTheme="minorEastAsia" w:hAnsiTheme="minorHAnsi" w:cstheme="minorBidi"/>
              <w:noProof w:val="0"/>
              <w:sz w:val="20"/>
              <w:szCs w:val="20"/>
              <w:lang w:eastAsia="en-AU"/>
            </w:rPr>
          </w:pPr>
          <w:hyperlink w:anchor="_Toc13642414" w:history="1">
            <w:r w:rsidRPr="009C07BE">
              <w:rPr>
                <w:rStyle w:val="Hyperlink"/>
                <w:rFonts w:eastAsia="Times New Roman"/>
                <w:sz w:val="20"/>
                <w:szCs w:val="20"/>
                <w:lang w:eastAsia="en-AU"/>
              </w:rPr>
              <w:t>SMF Activities during Semester 1, 2019</w:t>
            </w:r>
            <w:r w:rsidRPr="009C07BE">
              <w:rPr>
                <w:webHidden/>
                <w:sz w:val="20"/>
                <w:szCs w:val="20"/>
              </w:rPr>
              <w:tab/>
            </w:r>
            <w:r w:rsidRPr="009C07BE">
              <w:rPr>
                <w:webHidden/>
                <w:sz w:val="20"/>
                <w:szCs w:val="20"/>
              </w:rPr>
              <w:fldChar w:fldCharType="begin"/>
            </w:r>
            <w:r w:rsidRPr="009C07BE">
              <w:rPr>
                <w:webHidden/>
                <w:sz w:val="20"/>
                <w:szCs w:val="20"/>
              </w:rPr>
              <w:instrText xml:space="preserve"> PAGEREF _Toc13642414 \h </w:instrText>
            </w:r>
            <w:r w:rsidR="009C07BE" w:rsidRPr="009C07BE">
              <w:rPr>
                <w:webHidden/>
                <w:sz w:val="20"/>
                <w:szCs w:val="20"/>
              </w:rPr>
            </w:r>
            <w:r w:rsidR="009C07BE" w:rsidRPr="009C07BE">
              <w:rPr>
                <w:webHidden/>
                <w:sz w:val="20"/>
                <w:szCs w:val="20"/>
              </w:rPr>
              <w:fldChar w:fldCharType="separate"/>
            </w:r>
            <w:r w:rsidR="009C07BE" w:rsidRPr="009C07BE">
              <w:rPr>
                <w:webHidden/>
                <w:sz w:val="20"/>
                <w:szCs w:val="20"/>
              </w:rPr>
              <w:t>14</w:t>
            </w:r>
            <w:r w:rsidRPr="009C07BE">
              <w:rPr>
                <w:webHidden/>
                <w:sz w:val="20"/>
                <w:szCs w:val="20"/>
              </w:rPr>
              <w:fldChar w:fldCharType="end"/>
            </w:r>
          </w:hyperlink>
        </w:p>
        <w:p w14:paraId="32BC1526" w14:textId="43C03474" w:rsidR="0042068D" w:rsidRPr="009C07BE" w:rsidRDefault="0042068D" w:rsidP="009C07BE">
          <w:pPr>
            <w:pStyle w:val="TOC1"/>
            <w:spacing w:before="100" w:after="100" w:line="240" w:lineRule="auto"/>
            <w:rPr>
              <w:rFonts w:asciiTheme="minorHAnsi" w:eastAsiaTheme="minorEastAsia" w:hAnsiTheme="minorHAnsi" w:cstheme="minorBidi"/>
              <w:sz w:val="20"/>
              <w:szCs w:val="20"/>
              <w:lang w:eastAsia="en-AU"/>
            </w:rPr>
          </w:pPr>
          <w:hyperlink w:anchor="_Toc13642415" w:history="1">
            <w:r w:rsidRPr="009C07BE">
              <w:rPr>
                <w:rStyle w:val="Hyperlink"/>
                <w:rFonts w:eastAsia="Times New Roman"/>
                <w:sz w:val="20"/>
                <w:szCs w:val="20"/>
                <w:lang w:eastAsia="en-AU"/>
              </w:rPr>
              <w:t>SMF Team Membership</w:t>
            </w:r>
            <w:r w:rsidRPr="009C07BE">
              <w:rPr>
                <w:webHidden/>
                <w:sz w:val="20"/>
                <w:szCs w:val="20"/>
              </w:rPr>
              <w:tab/>
            </w:r>
            <w:r w:rsidRPr="009C07BE">
              <w:rPr>
                <w:webHidden/>
                <w:sz w:val="20"/>
                <w:szCs w:val="20"/>
              </w:rPr>
              <w:fldChar w:fldCharType="begin"/>
            </w:r>
            <w:r w:rsidRPr="009C07BE">
              <w:rPr>
                <w:webHidden/>
                <w:sz w:val="20"/>
                <w:szCs w:val="20"/>
              </w:rPr>
              <w:instrText xml:space="preserve"> PAGEREF _Toc13642415 \h </w:instrText>
            </w:r>
            <w:r w:rsidR="009C07BE" w:rsidRPr="009C07BE">
              <w:rPr>
                <w:webHidden/>
                <w:sz w:val="20"/>
                <w:szCs w:val="20"/>
              </w:rPr>
            </w:r>
            <w:r w:rsidR="009C07BE" w:rsidRPr="009C07BE">
              <w:rPr>
                <w:webHidden/>
                <w:sz w:val="20"/>
                <w:szCs w:val="20"/>
              </w:rPr>
              <w:fldChar w:fldCharType="separate"/>
            </w:r>
            <w:r w:rsidR="009C07BE" w:rsidRPr="009C07BE">
              <w:rPr>
                <w:noProof/>
                <w:webHidden/>
                <w:sz w:val="20"/>
                <w:szCs w:val="20"/>
              </w:rPr>
              <w:t>15</w:t>
            </w:r>
            <w:r w:rsidRPr="009C07BE">
              <w:rPr>
                <w:webHidden/>
                <w:sz w:val="20"/>
                <w:szCs w:val="20"/>
              </w:rPr>
              <w:fldChar w:fldCharType="end"/>
            </w:r>
          </w:hyperlink>
        </w:p>
        <w:p w14:paraId="748420E1" w14:textId="559BB919" w:rsidR="0042068D" w:rsidRPr="009C07BE" w:rsidRDefault="0042068D" w:rsidP="009C07BE">
          <w:pPr>
            <w:pStyle w:val="TOC3"/>
            <w:spacing w:before="100" w:line="240" w:lineRule="auto"/>
            <w:rPr>
              <w:rFonts w:asciiTheme="minorHAnsi" w:eastAsiaTheme="minorEastAsia" w:hAnsiTheme="minorHAnsi" w:cstheme="minorBidi"/>
              <w:noProof w:val="0"/>
              <w:sz w:val="20"/>
              <w:szCs w:val="20"/>
              <w:lang w:eastAsia="en-AU"/>
            </w:rPr>
          </w:pPr>
          <w:hyperlink w:anchor="_Toc13642416" w:history="1">
            <w:r w:rsidRPr="009C07BE">
              <w:rPr>
                <w:rStyle w:val="Hyperlink"/>
                <w:rFonts w:eastAsia="Times New Roman"/>
                <w:sz w:val="20"/>
                <w:szCs w:val="20"/>
                <w:lang w:eastAsia="en-AU"/>
              </w:rPr>
              <w:t>Members for Semester 1, 2019</w:t>
            </w:r>
            <w:r w:rsidRPr="009C07BE">
              <w:rPr>
                <w:webHidden/>
                <w:sz w:val="20"/>
                <w:szCs w:val="20"/>
              </w:rPr>
              <w:tab/>
            </w:r>
            <w:r w:rsidRPr="009C07BE">
              <w:rPr>
                <w:webHidden/>
                <w:sz w:val="20"/>
                <w:szCs w:val="20"/>
              </w:rPr>
              <w:fldChar w:fldCharType="begin"/>
            </w:r>
            <w:r w:rsidRPr="009C07BE">
              <w:rPr>
                <w:webHidden/>
                <w:sz w:val="20"/>
                <w:szCs w:val="20"/>
              </w:rPr>
              <w:instrText xml:space="preserve"> PAGEREF _Toc13642416 \h </w:instrText>
            </w:r>
            <w:r w:rsidR="009C07BE" w:rsidRPr="009C07BE">
              <w:rPr>
                <w:webHidden/>
                <w:sz w:val="20"/>
                <w:szCs w:val="20"/>
              </w:rPr>
            </w:r>
            <w:r w:rsidR="009C07BE" w:rsidRPr="009C07BE">
              <w:rPr>
                <w:webHidden/>
                <w:sz w:val="20"/>
                <w:szCs w:val="20"/>
              </w:rPr>
              <w:fldChar w:fldCharType="separate"/>
            </w:r>
            <w:r w:rsidR="009C07BE" w:rsidRPr="009C07BE">
              <w:rPr>
                <w:webHidden/>
                <w:sz w:val="20"/>
                <w:szCs w:val="20"/>
              </w:rPr>
              <w:t>15</w:t>
            </w:r>
            <w:r w:rsidRPr="009C07BE">
              <w:rPr>
                <w:webHidden/>
                <w:sz w:val="20"/>
                <w:szCs w:val="20"/>
              </w:rPr>
              <w:fldChar w:fldCharType="end"/>
            </w:r>
          </w:hyperlink>
        </w:p>
        <w:p w14:paraId="0BEE3BEC" w14:textId="1CA66826" w:rsidR="0042068D" w:rsidRPr="009C07BE" w:rsidRDefault="0042068D" w:rsidP="009C07BE">
          <w:pPr>
            <w:pStyle w:val="TOC3"/>
            <w:spacing w:before="100" w:line="240" w:lineRule="auto"/>
            <w:rPr>
              <w:rFonts w:asciiTheme="minorHAnsi" w:eastAsiaTheme="minorEastAsia" w:hAnsiTheme="minorHAnsi" w:cstheme="minorBidi"/>
              <w:noProof w:val="0"/>
              <w:sz w:val="20"/>
              <w:szCs w:val="20"/>
              <w:lang w:eastAsia="en-AU"/>
            </w:rPr>
          </w:pPr>
          <w:hyperlink w:anchor="_Toc13642417" w:history="1">
            <w:r w:rsidRPr="009C07BE">
              <w:rPr>
                <w:rStyle w:val="Hyperlink"/>
                <w:rFonts w:eastAsia="Times New Roman"/>
                <w:sz w:val="20"/>
                <w:szCs w:val="20"/>
                <w:lang w:eastAsia="en-AU"/>
              </w:rPr>
              <w:t>New Team Members for Semester 2, 2019</w:t>
            </w:r>
            <w:r w:rsidRPr="009C07BE">
              <w:rPr>
                <w:webHidden/>
                <w:sz w:val="20"/>
                <w:szCs w:val="20"/>
              </w:rPr>
              <w:tab/>
            </w:r>
            <w:r w:rsidRPr="009C07BE">
              <w:rPr>
                <w:webHidden/>
                <w:sz w:val="20"/>
                <w:szCs w:val="20"/>
              </w:rPr>
              <w:fldChar w:fldCharType="begin"/>
            </w:r>
            <w:r w:rsidRPr="009C07BE">
              <w:rPr>
                <w:webHidden/>
                <w:sz w:val="20"/>
                <w:szCs w:val="20"/>
              </w:rPr>
              <w:instrText xml:space="preserve"> PAGEREF _Toc13642417 \h </w:instrText>
            </w:r>
            <w:r w:rsidR="009C07BE" w:rsidRPr="009C07BE">
              <w:rPr>
                <w:webHidden/>
                <w:sz w:val="20"/>
                <w:szCs w:val="20"/>
              </w:rPr>
            </w:r>
            <w:r w:rsidR="009C07BE" w:rsidRPr="009C07BE">
              <w:rPr>
                <w:webHidden/>
                <w:sz w:val="20"/>
                <w:szCs w:val="20"/>
              </w:rPr>
              <w:fldChar w:fldCharType="separate"/>
            </w:r>
            <w:r w:rsidR="009C07BE" w:rsidRPr="009C07BE">
              <w:rPr>
                <w:webHidden/>
                <w:sz w:val="20"/>
                <w:szCs w:val="20"/>
              </w:rPr>
              <w:t>15</w:t>
            </w:r>
            <w:r w:rsidRPr="009C07BE">
              <w:rPr>
                <w:webHidden/>
                <w:sz w:val="20"/>
                <w:szCs w:val="20"/>
              </w:rPr>
              <w:fldChar w:fldCharType="end"/>
            </w:r>
          </w:hyperlink>
        </w:p>
        <w:p w14:paraId="6C985D5E" w14:textId="1FCC36D4" w:rsidR="00FB58A9" w:rsidRPr="009C07BE" w:rsidRDefault="00FB58A9" w:rsidP="009C07BE">
          <w:pPr>
            <w:pStyle w:val="TOC3"/>
            <w:spacing w:before="100" w:line="240" w:lineRule="auto"/>
            <w:rPr>
              <w:rFonts w:asciiTheme="minorHAnsi" w:eastAsiaTheme="minorEastAsia" w:hAnsiTheme="minorHAnsi" w:cstheme="minorBidi"/>
              <w:sz w:val="20"/>
              <w:szCs w:val="20"/>
              <w:lang w:eastAsia="en-AU"/>
            </w:rPr>
          </w:pPr>
          <w:r w:rsidRPr="009C07BE">
            <w:rPr>
              <w:b/>
              <w:sz w:val="20"/>
              <w:szCs w:val="20"/>
            </w:rPr>
            <w:fldChar w:fldCharType="end"/>
          </w:r>
        </w:p>
      </w:sdtContent>
    </w:sdt>
    <w:p w14:paraId="2C42D11E" w14:textId="32960F0E" w:rsidR="00FB58A9" w:rsidRPr="00BB06F4" w:rsidRDefault="00FB58A9" w:rsidP="00FB58A9">
      <w:pPr>
        <w:pStyle w:val="Heading1"/>
        <w:spacing w:before="0"/>
        <w:rPr>
          <w:sz w:val="24"/>
          <w:szCs w:val="24"/>
          <w:lang w:eastAsia="zh-CN"/>
        </w:rPr>
      </w:pPr>
      <w:bookmarkStart w:id="2" w:name="_Toc13642396"/>
      <w:r w:rsidRPr="00BB06F4">
        <w:rPr>
          <w:sz w:val="24"/>
          <w:szCs w:val="24"/>
          <w:lang w:eastAsia="zh-CN"/>
        </w:rPr>
        <w:t>Glossary</w:t>
      </w:r>
      <w:bookmarkEnd w:id="2"/>
      <w:r w:rsidRPr="00BB06F4">
        <w:rPr>
          <w:sz w:val="24"/>
          <w:szCs w:val="24"/>
        </w:rPr>
        <w:t xml:space="preserve"> </w:t>
      </w:r>
    </w:p>
    <w:p w14:paraId="1A5D2A04" w14:textId="77777777" w:rsidR="00FB58A9" w:rsidRPr="00FB58A9" w:rsidRDefault="00FB58A9" w:rsidP="00BB06F4">
      <w:pPr>
        <w:spacing w:before="40" w:after="0"/>
        <w:rPr>
          <w:sz w:val="20"/>
          <w:szCs w:val="20"/>
        </w:rPr>
      </w:pPr>
      <w:r w:rsidRPr="00FB58A9">
        <w:rPr>
          <w:b/>
          <w:sz w:val="20"/>
          <w:szCs w:val="20"/>
        </w:rPr>
        <w:t xml:space="preserve">AA </w:t>
      </w:r>
      <w:r w:rsidRPr="00FB58A9">
        <w:rPr>
          <w:sz w:val="20"/>
          <w:szCs w:val="20"/>
        </w:rPr>
        <w:t>– Asset Allocation</w:t>
      </w:r>
    </w:p>
    <w:p w14:paraId="0321A530" w14:textId="77777777" w:rsidR="00FB58A9" w:rsidRPr="00FB58A9" w:rsidRDefault="00FB58A9" w:rsidP="000B65F3">
      <w:pPr>
        <w:spacing w:before="20" w:after="0"/>
        <w:rPr>
          <w:sz w:val="20"/>
          <w:szCs w:val="20"/>
        </w:rPr>
      </w:pPr>
      <w:r w:rsidRPr="00FB58A9">
        <w:rPr>
          <w:b/>
          <w:sz w:val="20"/>
          <w:szCs w:val="20"/>
        </w:rPr>
        <w:t xml:space="preserve">AAE </w:t>
      </w:r>
      <w:r w:rsidRPr="00FB58A9">
        <w:rPr>
          <w:sz w:val="20"/>
          <w:szCs w:val="20"/>
        </w:rPr>
        <w:t>– Active Australian Equities</w:t>
      </w:r>
    </w:p>
    <w:p w14:paraId="3CCACBB9" w14:textId="77777777" w:rsidR="00FB58A9" w:rsidRPr="00FB58A9" w:rsidRDefault="00FB58A9" w:rsidP="000B65F3">
      <w:pPr>
        <w:spacing w:before="20" w:after="0"/>
        <w:rPr>
          <w:sz w:val="20"/>
          <w:szCs w:val="20"/>
        </w:rPr>
      </w:pPr>
      <w:r w:rsidRPr="00FB58A9">
        <w:rPr>
          <w:b/>
          <w:sz w:val="20"/>
          <w:szCs w:val="20"/>
        </w:rPr>
        <w:t xml:space="preserve">ANU </w:t>
      </w:r>
      <w:r w:rsidRPr="00FB58A9">
        <w:rPr>
          <w:sz w:val="20"/>
          <w:szCs w:val="20"/>
        </w:rPr>
        <w:t>– The Australian National University</w:t>
      </w:r>
    </w:p>
    <w:p w14:paraId="4AF65545" w14:textId="77777777" w:rsidR="00FB58A9" w:rsidRPr="00FB58A9" w:rsidRDefault="00FB58A9" w:rsidP="000B65F3">
      <w:pPr>
        <w:spacing w:before="20" w:after="0"/>
        <w:rPr>
          <w:sz w:val="20"/>
          <w:szCs w:val="20"/>
        </w:rPr>
      </w:pPr>
      <w:r w:rsidRPr="00FB58A9">
        <w:rPr>
          <w:b/>
          <w:sz w:val="20"/>
          <w:szCs w:val="20"/>
        </w:rPr>
        <w:t xml:space="preserve">BIN </w:t>
      </w:r>
      <w:r w:rsidRPr="00FB58A9">
        <w:rPr>
          <w:sz w:val="20"/>
          <w:szCs w:val="20"/>
        </w:rPr>
        <w:t>– Bingo Industries</w:t>
      </w:r>
    </w:p>
    <w:p w14:paraId="67321979" w14:textId="77777777" w:rsidR="00FB58A9" w:rsidRPr="00FB58A9" w:rsidRDefault="00FB58A9" w:rsidP="000B65F3">
      <w:pPr>
        <w:spacing w:before="20" w:after="0"/>
        <w:rPr>
          <w:b/>
          <w:sz w:val="20"/>
          <w:szCs w:val="20"/>
        </w:rPr>
      </w:pPr>
      <w:r w:rsidRPr="00FB58A9">
        <w:rPr>
          <w:b/>
          <w:sz w:val="20"/>
          <w:szCs w:val="20"/>
        </w:rPr>
        <w:t xml:space="preserve">CBE </w:t>
      </w:r>
      <w:r w:rsidRPr="00FB58A9">
        <w:rPr>
          <w:sz w:val="20"/>
          <w:szCs w:val="20"/>
        </w:rPr>
        <w:t xml:space="preserve">– College of Business and Economics </w:t>
      </w:r>
    </w:p>
    <w:p w14:paraId="080815E5" w14:textId="07823E56" w:rsidR="00FB58A9" w:rsidRDefault="00FB58A9" w:rsidP="000B65F3">
      <w:pPr>
        <w:spacing w:before="20" w:after="0"/>
        <w:rPr>
          <w:sz w:val="20"/>
          <w:szCs w:val="20"/>
        </w:rPr>
      </w:pPr>
      <w:r w:rsidRPr="00FB58A9">
        <w:rPr>
          <w:b/>
          <w:sz w:val="20"/>
          <w:szCs w:val="20"/>
        </w:rPr>
        <w:t xml:space="preserve">CIO – </w:t>
      </w:r>
      <w:r w:rsidRPr="00FB58A9">
        <w:rPr>
          <w:sz w:val="20"/>
          <w:szCs w:val="20"/>
        </w:rPr>
        <w:t>Chief Investment Officer</w:t>
      </w:r>
    </w:p>
    <w:p w14:paraId="28ADB01D" w14:textId="26E5A80F" w:rsidR="007C7A95" w:rsidRDefault="007C7A95" w:rsidP="000B65F3">
      <w:pPr>
        <w:spacing w:before="20" w:after="0"/>
        <w:rPr>
          <w:sz w:val="20"/>
          <w:szCs w:val="20"/>
        </w:rPr>
      </w:pPr>
      <w:r>
        <w:rPr>
          <w:b/>
          <w:sz w:val="20"/>
          <w:szCs w:val="20"/>
        </w:rPr>
        <w:t>CPI</w:t>
      </w:r>
      <w:r w:rsidRPr="00FB58A9">
        <w:rPr>
          <w:b/>
          <w:sz w:val="20"/>
          <w:szCs w:val="20"/>
        </w:rPr>
        <w:t xml:space="preserve"> – </w:t>
      </w:r>
      <w:r w:rsidRPr="00FB58A9">
        <w:rPr>
          <w:sz w:val="20"/>
          <w:szCs w:val="20"/>
        </w:rPr>
        <w:t>C</w:t>
      </w:r>
      <w:r>
        <w:rPr>
          <w:sz w:val="20"/>
          <w:szCs w:val="20"/>
        </w:rPr>
        <w:t>onsumer Price Index</w:t>
      </w:r>
    </w:p>
    <w:p w14:paraId="393CAAFD" w14:textId="77777777" w:rsidR="00FB58A9" w:rsidRPr="00FB58A9" w:rsidRDefault="00FB58A9" w:rsidP="000B65F3">
      <w:pPr>
        <w:spacing w:before="20" w:after="0"/>
        <w:rPr>
          <w:sz w:val="20"/>
          <w:szCs w:val="20"/>
        </w:rPr>
      </w:pPr>
      <w:r w:rsidRPr="00FB58A9">
        <w:rPr>
          <w:b/>
          <w:sz w:val="20"/>
          <w:szCs w:val="20"/>
        </w:rPr>
        <w:t xml:space="preserve">CRO </w:t>
      </w:r>
      <w:r w:rsidRPr="00FB58A9">
        <w:rPr>
          <w:sz w:val="20"/>
          <w:szCs w:val="20"/>
        </w:rPr>
        <w:t>– Chief Risk Officer</w:t>
      </w:r>
    </w:p>
    <w:p w14:paraId="4823B644" w14:textId="4031D651" w:rsidR="006815AF" w:rsidRPr="006815AF" w:rsidRDefault="006815AF" w:rsidP="000B65F3">
      <w:pPr>
        <w:spacing w:before="20" w:after="0"/>
        <w:rPr>
          <w:sz w:val="20"/>
          <w:szCs w:val="20"/>
        </w:rPr>
      </w:pPr>
      <w:r>
        <w:rPr>
          <w:b/>
          <w:sz w:val="20"/>
          <w:szCs w:val="20"/>
        </w:rPr>
        <w:t>DCF</w:t>
      </w:r>
      <w:r w:rsidRPr="00FB58A9">
        <w:rPr>
          <w:b/>
          <w:sz w:val="20"/>
          <w:szCs w:val="20"/>
        </w:rPr>
        <w:t xml:space="preserve"> </w:t>
      </w:r>
      <w:r w:rsidRPr="00FB58A9">
        <w:rPr>
          <w:sz w:val="20"/>
          <w:szCs w:val="20"/>
        </w:rPr>
        <w:t xml:space="preserve">– </w:t>
      </w:r>
      <w:r>
        <w:rPr>
          <w:sz w:val="20"/>
          <w:szCs w:val="20"/>
        </w:rPr>
        <w:t>Discounted Cash Flow</w:t>
      </w:r>
    </w:p>
    <w:p w14:paraId="6778799C" w14:textId="639E39FE" w:rsidR="00FB58A9" w:rsidRPr="00FB58A9" w:rsidRDefault="00FB58A9" w:rsidP="000B65F3">
      <w:pPr>
        <w:spacing w:before="20" w:after="0"/>
        <w:rPr>
          <w:sz w:val="20"/>
          <w:szCs w:val="20"/>
        </w:rPr>
      </w:pPr>
      <w:r w:rsidRPr="00FB58A9">
        <w:rPr>
          <w:b/>
          <w:sz w:val="20"/>
          <w:szCs w:val="20"/>
        </w:rPr>
        <w:t>ESG</w:t>
      </w:r>
      <w:r w:rsidRPr="00FB58A9">
        <w:rPr>
          <w:sz w:val="20"/>
          <w:szCs w:val="20"/>
        </w:rPr>
        <w:t xml:space="preserve"> – Environmental, Social and Governance</w:t>
      </w:r>
    </w:p>
    <w:p w14:paraId="13DE3D60" w14:textId="77777777" w:rsidR="00FB58A9" w:rsidRPr="00FB58A9" w:rsidRDefault="00FB58A9" w:rsidP="000B65F3">
      <w:pPr>
        <w:spacing w:before="20" w:after="0"/>
        <w:rPr>
          <w:sz w:val="20"/>
          <w:szCs w:val="20"/>
        </w:rPr>
      </w:pPr>
      <w:r w:rsidRPr="00FB58A9">
        <w:rPr>
          <w:b/>
          <w:sz w:val="20"/>
          <w:szCs w:val="20"/>
        </w:rPr>
        <w:t>ETF</w:t>
      </w:r>
      <w:r w:rsidRPr="00FB58A9">
        <w:rPr>
          <w:sz w:val="20"/>
          <w:szCs w:val="20"/>
        </w:rPr>
        <w:t xml:space="preserve"> – Exchanged-Traded Fund</w:t>
      </w:r>
    </w:p>
    <w:p w14:paraId="4FE54E56" w14:textId="77777777" w:rsidR="00FB58A9" w:rsidRPr="00FB58A9" w:rsidRDefault="00FB58A9" w:rsidP="000B65F3">
      <w:pPr>
        <w:spacing w:before="20" w:after="0"/>
        <w:rPr>
          <w:sz w:val="20"/>
          <w:szCs w:val="20"/>
        </w:rPr>
      </w:pPr>
      <w:r w:rsidRPr="00FB58A9">
        <w:rPr>
          <w:b/>
          <w:sz w:val="20"/>
          <w:szCs w:val="20"/>
        </w:rPr>
        <w:t xml:space="preserve">IAC </w:t>
      </w:r>
      <w:r w:rsidRPr="00FB58A9">
        <w:rPr>
          <w:sz w:val="20"/>
          <w:szCs w:val="20"/>
        </w:rPr>
        <w:t>– Investment Advisory Committee</w:t>
      </w:r>
    </w:p>
    <w:p w14:paraId="553EE6FE" w14:textId="2B636ED5" w:rsidR="00FB58A9" w:rsidRDefault="00FB58A9" w:rsidP="000B65F3">
      <w:pPr>
        <w:spacing w:before="20" w:after="0"/>
        <w:rPr>
          <w:sz w:val="20"/>
          <w:szCs w:val="20"/>
        </w:rPr>
      </w:pPr>
      <w:r>
        <w:rPr>
          <w:b/>
          <w:sz w:val="20"/>
          <w:szCs w:val="20"/>
        </w:rPr>
        <w:t>ING</w:t>
      </w:r>
      <w:r w:rsidRPr="00FB58A9">
        <w:rPr>
          <w:sz w:val="20"/>
          <w:szCs w:val="20"/>
        </w:rPr>
        <w:t xml:space="preserve"> – </w:t>
      </w:r>
      <w:r>
        <w:rPr>
          <w:sz w:val="20"/>
          <w:szCs w:val="20"/>
        </w:rPr>
        <w:t>Inghams</w:t>
      </w:r>
      <w:r w:rsidR="000E793A">
        <w:rPr>
          <w:sz w:val="20"/>
          <w:szCs w:val="20"/>
        </w:rPr>
        <w:t xml:space="preserve"> Group</w:t>
      </w:r>
    </w:p>
    <w:p w14:paraId="2AFB1781" w14:textId="77777777" w:rsidR="00FB58A9" w:rsidRPr="00FB58A9" w:rsidRDefault="00FB58A9" w:rsidP="000B65F3">
      <w:pPr>
        <w:spacing w:before="20" w:after="0"/>
        <w:rPr>
          <w:sz w:val="20"/>
          <w:szCs w:val="20"/>
        </w:rPr>
      </w:pPr>
      <w:r w:rsidRPr="00FB58A9">
        <w:rPr>
          <w:b/>
          <w:sz w:val="20"/>
          <w:szCs w:val="20"/>
        </w:rPr>
        <w:t>LTIP</w:t>
      </w:r>
      <w:r w:rsidRPr="00FB58A9">
        <w:rPr>
          <w:sz w:val="20"/>
          <w:szCs w:val="20"/>
        </w:rPr>
        <w:t xml:space="preserve"> – Long Term Investment Pool</w:t>
      </w:r>
    </w:p>
    <w:p w14:paraId="01F270EA" w14:textId="77777777" w:rsidR="00FB58A9" w:rsidRPr="00FB58A9" w:rsidRDefault="00FB58A9" w:rsidP="000B65F3">
      <w:pPr>
        <w:spacing w:before="20" w:after="0"/>
        <w:rPr>
          <w:sz w:val="20"/>
          <w:szCs w:val="20"/>
        </w:rPr>
      </w:pPr>
      <w:r w:rsidRPr="00FB58A9">
        <w:rPr>
          <w:b/>
          <w:sz w:val="20"/>
          <w:szCs w:val="20"/>
        </w:rPr>
        <w:t xml:space="preserve">SMF – </w:t>
      </w:r>
      <w:r w:rsidRPr="00FB58A9">
        <w:rPr>
          <w:sz w:val="20"/>
          <w:szCs w:val="20"/>
        </w:rPr>
        <w:t>Student Managed Fund</w:t>
      </w:r>
    </w:p>
    <w:p w14:paraId="282DF89E" w14:textId="77777777" w:rsidR="00FB58A9" w:rsidRPr="00FB58A9" w:rsidRDefault="00FB58A9" w:rsidP="000B65F3">
      <w:pPr>
        <w:spacing w:before="20" w:after="0"/>
        <w:rPr>
          <w:sz w:val="20"/>
          <w:szCs w:val="20"/>
        </w:rPr>
      </w:pPr>
      <w:r w:rsidRPr="00FB58A9">
        <w:rPr>
          <w:b/>
          <w:sz w:val="20"/>
          <w:szCs w:val="20"/>
        </w:rPr>
        <w:t xml:space="preserve">SRI – </w:t>
      </w:r>
      <w:r w:rsidRPr="00FB58A9">
        <w:rPr>
          <w:sz w:val="20"/>
          <w:szCs w:val="20"/>
        </w:rPr>
        <w:t>Socially Responsible Investment</w:t>
      </w:r>
    </w:p>
    <w:p w14:paraId="06A78DEF" w14:textId="77777777" w:rsidR="00FB58A9" w:rsidRPr="00FB58A9" w:rsidRDefault="00FB58A9" w:rsidP="000B65F3">
      <w:pPr>
        <w:spacing w:before="20" w:after="0"/>
        <w:rPr>
          <w:sz w:val="20"/>
          <w:szCs w:val="20"/>
        </w:rPr>
      </w:pPr>
      <w:r w:rsidRPr="00FB58A9">
        <w:rPr>
          <w:b/>
          <w:sz w:val="20"/>
          <w:szCs w:val="20"/>
        </w:rPr>
        <w:t>R&amp;C</w:t>
      </w:r>
      <w:r w:rsidRPr="00FB58A9">
        <w:rPr>
          <w:sz w:val="20"/>
          <w:szCs w:val="20"/>
        </w:rPr>
        <w:t xml:space="preserve"> – Risk and Compliance</w:t>
      </w:r>
    </w:p>
    <w:p w14:paraId="64FCB6B4" w14:textId="77777777" w:rsidR="00FB58A9" w:rsidRPr="00FB58A9" w:rsidRDefault="00FB58A9" w:rsidP="000B65F3">
      <w:pPr>
        <w:spacing w:before="20" w:after="0"/>
        <w:rPr>
          <w:sz w:val="20"/>
          <w:szCs w:val="20"/>
        </w:rPr>
      </w:pPr>
      <w:r w:rsidRPr="00FB58A9">
        <w:rPr>
          <w:b/>
          <w:sz w:val="20"/>
          <w:szCs w:val="20"/>
        </w:rPr>
        <w:t>RIO</w:t>
      </w:r>
      <w:r w:rsidRPr="00FB58A9">
        <w:rPr>
          <w:sz w:val="20"/>
          <w:szCs w:val="20"/>
        </w:rPr>
        <w:t xml:space="preserve"> – Rio Tinto Limited</w:t>
      </w:r>
    </w:p>
    <w:p w14:paraId="0626E575" w14:textId="545452BF" w:rsidR="006815AF" w:rsidRDefault="006815AF" w:rsidP="000B65F3">
      <w:pPr>
        <w:spacing w:before="20" w:after="0"/>
        <w:rPr>
          <w:sz w:val="20"/>
          <w:szCs w:val="20"/>
        </w:rPr>
      </w:pPr>
      <w:r w:rsidRPr="00FB58A9">
        <w:rPr>
          <w:b/>
          <w:sz w:val="20"/>
          <w:szCs w:val="20"/>
        </w:rPr>
        <w:t>R</w:t>
      </w:r>
      <w:r>
        <w:rPr>
          <w:b/>
          <w:sz w:val="20"/>
          <w:szCs w:val="20"/>
        </w:rPr>
        <w:t>OE</w:t>
      </w:r>
      <w:r w:rsidRPr="00FB58A9">
        <w:rPr>
          <w:sz w:val="20"/>
          <w:szCs w:val="20"/>
        </w:rPr>
        <w:t xml:space="preserve"> – R</w:t>
      </w:r>
      <w:r>
        <w:rPr>
          <w:sz w:val="20"/>
          <w:szCs w:val="20"/>
        </w:rPr>
        <w:t>eturn on Equity</w:t>
      </w:r>
    </w:p>
    <w:p w14:paraId="64BDB0B2" w14:textId="0FAF3692" w:rsidR="000B65F3" w:rsidRPr="006815AF" w:rsidRDefault="000B65F3" w:rsidP="000B65F3">
      <w:pPr>
        <w:spacing w:before="20" w:after="0"/>
        <w:rPr>
          <w:sz w:val="20"/>
          <w:szCs w:val="20"/>
        </w:rPr>
      </w:pPr>
      <w:r w:rsidRPr="000B65F3">
        <w:rPr>
          <w:b/>
          <w:sz w:val="20"/>
          <w:szCs w:val="20"/>
        </w:rPr>
        <w:t>RSFAS</w:t>
      </w:r>
      <w:r>
        <w:rPr>
          <w:sz w:val="20"/>
          <w:szCs w:val="20"/>
        </w:rPr>
        <w:t xml:space="preserve"> – Research School of Finance, Actuarial Studies and Statistics </w:t>
      </w:r>
    </w:p>
    <w:p w14:paraId="4BEEB60D" w14:textId="7765597C" w:rsidR="00FB58A9" w:rsidRDefault="00FB58A9" w:rsidP="000B65F3">
      <w:pPr>
        <w:spacing w:before="20" w:after="0"/>
        <w:rPr>
          <w:sz w:val="20"/>
          <w:szCs w:val="20"/>
        </w:rPr>
      </w:pPr>
      <w:r w:rsidRPr="00FB58A9">
        <w:rPr>
          <w:b/>
          <w:sz w:val="20"/>
          <w:szCs w:val="20"/>
        </w:rPr>
        <w:t>TLS</w:t>
      </w:r>
      <w:r w:rsidRPr="00FB58A9">
        <w:rPr>
          <w:sz w:val="20"/>
          <w:szCs w:val="20"/>
        </w:rPr>
        <w:t xml:space="preserve"> – Telstra Corporation Limited</w:t>
      </w:r>
    </w:p>
    <w:p w14:paraId="0B66E17C" w14:textId="201A21A7" w:rsidR="006815AF" w:rsidRDefault="00FB58A9" w:rsidP="000B65F3">
      <w:pPr>
        <w:spacing w:before="20" w:after="0"/>
        <w:rPr>
          <w:sz w:val="20"/>
          <w:szCs w:val="20"/>
        </w:rPr>
      </w:pPr>
      <w:r>
        <w:rPr>
          <w:b/>
          <w:sz w:val="20"/>
          <w:szCs w:val="20"/>
        </w:rPr>
        <w:t>WBC</w:t>
      </w:r>
      <w:r w:rsidRPr="00FB58A9">
        <w:rPr>
          <w:sz w:val="20"/>
          <w:szCs w:val="20"/>
        </w:rPr>
        <w:t xml:space="preserve"> – </w:t>
      </w:r>
      <w:r>
        <w:rPr>
          <w:sz w:val="20"/>
          <w:szCs w:val="20"/>
        </w:rPr>
        <w:t>Westpac Banking Corporation</w:t>
      </w:r>
    </w:p>
    <w:p w14:paraId="59CA6536" w14:textId="5255E480" w:rsidR="0015032A" w:rsidRPr="00136215" w:rsidRDefault="0015032A" w:rsidP="00CA3707">
      <w:pPr>
        <w:pStyle w:val="Heading1"/>
        <w:spacing w:before="360"/>
        <w:rPr>
          <w:sz w:val="24"/>
          <w:szCs w:val="24"/>
          <w:lang w:eastAsia="zh-CN"/>
        </w:rPr>
      </w:pPr>
      <w:bookmarkStart w:id="3" w:name="_Toc13642397"/>
      <w:r w:rsidRPr="00136215">
        <w:rPr>
          <w:sz w:val="24"/>
          <w:szCs w:val="24"/>
          <w:lang w:eastAsia="zh-CN"/>
        </w:rPr>
        <w:lastRenderedPageBreak/>
        <w:t>About this Report</w:t>
      </w:r>
      <w:bookmarkEnd w:id="0"/>
      <w:bookmarkEnd w:id="3"/>
    </w:p>
    <w:p w14:paraId="4499A05C" w14:textId="0D6F0164" w:rsidR="00A35896" w:rsidRDefault="00A35896" w:rsidP="00BB06F4">
      <w:pPr>
        <w:widowControl/>
        <w:spacing w:before="180" w:after="180"/>
        <w:rPr>
          <w:sz w:val="20"/>
          <w:szCs w:val="20"/>
          <w:lang w:eastAsia="zh-CN"/>
        </w:rPr>
      </w:pPr>
      <w:r w:rsidRPr="002C3CF3">
        <w:rPr>
          <w:sz w:val="20"/>
          <w:szCs w:val="20"/>
          <w:lang w:eastAsia="zh-CN"/>
        </w:rPr>
        <w:t>The ANU Student Managed Fund</w:t>
      </w:r>
      <w:r>
        <w:rPr>
          <w:sz w:val="20"/>
          <w:szCs w:val="20"/>
          <w:lang w:eastAsia="zh-CN"/>
        </w:rPr>
        <w:t xml:space="preserve"> (SMF)</w:t>
      </w:r>
      <w:r w:rsidRPr="002C3CF3">
        <w:rPr>
          <w:sz w:val="20"/>
          <w:szCs w:val="20"/>
          <w:lang w:eastAsia="zh-CN"/>
        </w:rPr>
        <w:t xml:space="preserve"> is pleased to report on </w:t>
      </w:r>
      <w:r>
        <w:rPr>
          <w:sz w:val="20"/>
          <w:szCs w:val="20"/>
          <w:lang w:eastAsia="zh-CN"/>
        </w:rPr>
        <w:t>its</w:t>
      </w:r>
      <w:r w:rsidRPr="002C3CF3">
        <w:rPr>
          <w:sz w:val="20"/>
          <w:szCs w:val="20"/>
          <w:lang w:eastAsia="zh-CN"/>
        </w:rPr>
        <w:t xml:space="preserve"> progress and achievements over Semester 1, 2019. </w:t>
      </w:r>
      <w:r w:rsidR="00D05497">
        <w:rPr>
          <w:sz w:val="20"/>
          <w:szCs w:val="20"/>
          <w:lang w:eastAsia="zh-CN"/>
        </w:rPr>
        <w:t xml:space="preserve">As well as the usual </w:t>
      </w:r>
      <w:r w:rsidR="00D05497" w:rsidRPr="002C3CF3">
        <w:rPr>
          <w:sz w:val="20"/>
          <w:szCs w:val="20"/>
          <w:lang w:eastAsia="zh-CN"/>
        </w:rPr>
        <w:t>report</w:t>
      </w:r>
      <w:r w:rsidR="00D05497">
        <w:rPr>
          <w:sz w:val="20"/>
          <w:szCs w:val="20"/>
          <w:lang w:eastAsia="zh-CN"/>
        </w:rPr>
        <w:t>s</w:t>
      </w:r>
      <w:r w:rsidR="00D05497" w:rsidRPr="002C3CF3">
        <w:rPr>
          <w:sz w:val="20"/>
          <w:szCs w:val="20"/>
          <w:lang w:eastAsia="zh-CN"/>
        </w:rPr>
        <w:t xml:space="preserve"> </w:t>
      </w:r>
      <w:r w:rsidR="00D05497">
        <w:rPr>
          <w:sz w:val="20"/>
          <w:szCs w:val="20"/>
          <w:lang w:eastAsia="zh-CN"/>
        </w:rPr>
        <w:t>from the</w:t>
      </w:r>
      <w:r w:rsidR="00D05497" w:rsidRPr="002C3CF3">
        <w:rPr>
          <w:sz w:val="20"/>
          <w:szCs w:val="20"/>
          <w:lang w:eastAsia="zh-CN"/>
        </w:rPr>
        <w:t xml:space="preserve"> </w:t>
      </w:r>
      <w:r w:rsidR="00D05497">
        <w:rPr>
          <w:sz w:val="20"/>
          <w:szCs w:val="20"/>
          <w:lang w:eastAsia="zh-CN"/>
        </w:rPr>
        <w:t xml:space="preserve">Convenors, the </w:t>
      </w:r>
      <w:r w:rsidR="006815AF">
        <w:rPr>
          <w:sz w:val="20"/>
          <w:szCs w:val="20"/>
          <w:lang w:eastAsia="zh-CN"/>
        </w:rPr>
        <w:t>Chief Investment Officer (</w:t>
      </w:r>
      <w:r w:rsidR="00D05497" w:rsidRPr="002C3CF3">
        <w:rPr>
          <w:sz w:val="20"/>
          <w:szCs w:val="20"/>
          <w:lang w:eastAsia="zh-CN"/>
        </w:rPr>
        <w:t>CIO</w:t>
      </w:r>
      <w:r w:rsidR="006815AF">
        <w:rPr>
          <w:sz w:val="20"/>
          <w:szCs w:val="20"/>
          <w:lang w:eastAsia="zh-CN"/>
        </w:rPr>
        <w:t>)</w:t>
      </w:r>
      <w:r w:rsidR="00D05497">
        <w:rPr>
          <w:sz w:val="20"/>
          <w:szCs w:val="20"/>
          <w:lang w:eastAsia="zh-CN"/>
        </w:rPr>
        <w:t xml:space="preserve"> and each team, we present ‘spotlights’ on two stocks added to the portfolio during the semester – Inghams</w:t>
      </w:r>
      <w:r w:rsidR="006815AF">
        <w:rPr>
          <w:sz w:val="20"/>
          <w:szCs w:val="20"/>
          <w:lang w:eastAsia="zh-CN"/>
        </w:rPr>
        <w:t xml:space="preserve"> Group (ING)</w:t>
      </w:r>
      <w:r w:rsidR="00D05497">
        <w:rPr>
          <w:sz w:val="20"/>
          <w:szCs w:val="20"/>
          <w:lang w:eastAsia="zh-CN"/>
        </w:rPr>
        <w:t xml:space="preserve"> and Westpac</w:t>
      </w:r>
      <w:r w:rsidR="006815AF">
        <w:rPr>
          <w:sz w:val="20"/>
          <w:szCs w:val="20"/>
          <w:lang w:eastAsia="zh-CN"/>
        </w:rPr>
        <w:t xml:space="preserve"> Banking Corporation (WBC)</w:t>
      </w:r>
      <w:r w:rsidR="00D05497">
        <w:rPr>
          <w:sz w:val="20"/>
          <w:szCs w:val="20"/>
          <w:lang w:eastAsia="zh-CN"/>
        </w:rPr>
        <w:t xml:space="preserve">. We are also pleased </w:t>
      </w:r>
      <w:r w:rsidR="008D244C">
        <w:rPr>
          <w:sz w:val="20"/>
          <w:szCs w:val="20"/>
          <w:lang w:eastAsia="zh-CN"/>
        </w:rPr>
        <w:t xml:space="preserve">to report </w:t>
      </w:r>
      <w:r w:rsidR="00D05497">
        <w:rPr>
          <w:sz w:val="20"/>
          <w:szCs w:val="20"/>
          <w:lang w:eastAsia="zh-CN"/>
        </w:rPr>
        <w:t xml:space="preserve">that the Fund </w:t>
      </w:r>
      <w:r w:rsidR="008D244C">
        <w:rPr>
          <w:sz w:val="20"/>
          <w:szCs w:val="20"/>
          <w:lang w:eastAsia="zh-CN"/>
        </w:rPr>
        <w:t xml:space="preserve">has solidly </w:t>
      </w:r>
      <w:r w:rsidR="00D05497">
        <w:rPr>
          <w:sz w:val="20"/>
          <w:szCs w:val="20"/>
          <w:lang w:eastAsia="zh-CN"/>
        </w:rPr>
        <w:t xml:space="preserve">outperformed both its reference portfolio and the return target so far during 2019, after a more difficult 2018. </w:t>
      </w:r>
      <w:r w:rsidR="008D244C">
        <w:rPr>
          <w:sz w:val="20"/>
          <w:szCs w:val="20"/>
          <w:lang w:eastAsia="zh-CN"/>
        </w:rPr>
        <w:t>This</w:t>
      </w:r>
      <w:r w:rsidR="00D05497">
        <w:rPr>
          <w:sz w:val="20"/>
          <w:szCs w:val="20"/>
          <w:lang w:eastAsia="zh-CN"/>
        </w:rPr>
        <w:t xml:space="preserve"> report also </w:t>
      </w:r>
      <w:r w:rsidR="00D05497" w:rsidRPr="002C3CF3">
        <w:rPr>
          <w:sz w:val="20"/>
          <w:szCs w:val="20"/>
          <w:lang w:eastAsia="zh-CN"/>
        </w:rPr>
        <w:t>provide</w:t>
      </w:r>
      <w:r w:rsidR="00D05497">
        <w:rPr>
          <w:sz w:val="20"/>
          <w:szCs w:val="20"/>
          <w:lang w:eastAsia="zh-CN"/>
        </w:rPr>
        <w:t>s</w:t>
      </w:r>
      <w:r w:rsidR="00D05497" w:rsidRPr="002C3CF3">
        <w:rPr>
          <w:sz w:val="20"/>
          <w:szCs w:val="20"/>
          <w:lang w:eastAsia="zh-CN"/>
        </w:rPr>
        <w:t xml:space="preserve"> a statement of compliance</w:t>
      </w:r>
      <w:r w:rsidR="00D05497">
        <w:rPr>
          <w:sz w:val="20"/>
          <w:szCs w:val="20"/>
          <w:lang w:eastAsia="zh-CN"/>
        </w:rPr>
        <w:t xml:space="preserve"> with the University’s </w:t>
      </w:r>
      <w:r w:rsidR="006815AF">
        <w:rPr>
          <w:sz w:val="20"/>
          <w:szCs w:val="20"/>
          <w:lang w:eastAsia="zh-CN"/>
        </w:rPr>
        <w:t>Socially Responsible Investment (</w:t>
      </w:r>
      <w:r w:rsidR="00D05497">
        <w:rPr>
          <w:sz w:val="20"/>
          <w:szCs w:val="20"/>
          <w:lang w:eastAsia="zh-CN"/>
        </w:rPr>
        <w:t>SRI</w:t>
      </w:r>
      <w:r w:rsidR="006815AF">
        <w:rPr>
          <w:sz w:val="20"/>
          <w:szCs w:val="20"/>
          <w:lang w:eastAsia="zh-CN"/>
        </w:rPr>
        <w:t>)</w:t>
      </w:r>
      <w:r w:rsidR="00D05497">
        <w:rPr>
          <w:sz w:val="20"/>
          <w:szCs w:val="20"/>
          <w:lang w:eastAsia="zh-CN"/>
        </w:rPr>
        <w:t xml:space="preserve"> policy</w:t>
      </w:r>
      <w:r w:rsidR="00D05497" w:rsidRPr="002C3CF3">
        <w:rPr>
          <w:sz w:val="20"/>
          <w:szCs w:val="20"/>
          <w:lang w:eastAsia="zh-CN"/>
        </w:rPr>
        <w:t>.</w:t>
      </w:r>
      <w:r w:rsidRPr="002C3CF3">
        <w:rPr>
          <w:sz w:val="20"/>
          <w:szCs w:val="20"/>
          <w:lang w:eastAsia="zh-CN"/>
        </w:rPr>
        <w:t xml:space="preserve"> </w:t>
      </w:r>
    </w:p>
    <w:p w14:paraId="54A9B7CC" w14:textId="4825589C" w:rsidR="00A35896" w:rsidRPr="002C3CF3" w:rsidRDefault="00A35896" w:rsidP="00502FEE">
      <w:pPr>
        <w:widowControl/>
        <w:spacing w:before="180" w:after="180"/>
        <w:rPr>
          <w:i/>
          <w:sz w:val="20"/>
          <w:szCs w:val="20"/>
          <w:lang w:val="en-US"/>
        </w:rPr>
      </w:pPr>
      <w:r>
        <w:rPr>
          <w:sz w:val="20"/>
          <w:szCs w:val="20"/>
          <w:lang w:eastAsia="zh-CN"/>
        </w:rPr>
        <w:t xml:space="preserve">We </w:t>
      </w:r>
      <w:r w:rsidR="00C16B51">
        <w:rPr>
          <w:sz w:val="20"/>
          <w:szCs w:val="20"/>
          <w:lang w:eastAsia="zh-CN"/>
        </w:rPr>
        <w:t xml:space="preserve">hope </w:t>
      </w:r>
      <w:r>
        <w:rPr>
          <w:sz w:val="20"/>
          <w:szCs w:val="20"/>
          <w:lang w:eastAsia="zh-CN"/>
        </w:rPr>
        <w:t>you</w:t>
      </w:r>
      <w:r w:rsidR="00C16B51">
        <w:rPr>
          <w:sz w:val="20"/>
          <w:szCs w:val="20"/>
          <w:lang w:eastAsia="zh-CN"/>
        </w:rPr>
        <w:t xml:space="preserve"> will</w:t>
      </w:r>
      <w:r>
        <w:rPr>
          <w:sz w:val="20"/>
          <w:szCs w:val="20"/>
          <w:lang w:eastAsia="zh-CN"/>
        </w:rPr>
        <w:t xml:space="preserve"> find this report both informative and interesting. </w:t>
      </w:r>
      <w:r w:rsidRPr="002C3CF3">
        <w:rPr>
          <w:sz w:val="20"/>
          <w:szCs w:val="20"/>
          <w:lang w:eastAsia="zh-CN"/>
        </w:rPr>
        <w:t>We would welcome feedback and the opportunity to address any further enquiries, which can be directed to the SMF email address (</w:t>
      </w:r>
      <w:hyperlink r:id="rId9" w:history="1">
        <w:r w:rsidRPr="002C3CF3">
          <w:rPr>
            <w:rStyle w:val="Hyperlink"/>
            <w:sz w:val="20"/>
            <w:szCs w:val="20"/>
          </w:rPr>
          <w:t>smf.rsfas@anu.edu.au</w:t>
        </w:r>
      </w:hyperlink>
      <w:r w:rsidRPr="002C3CF3">
        <w:rPr>
          <w:sz w:val="20"/>
          <w:szCs w:val="20"/>
        </w:rPr>
        <w:t>).</w:t>
      </w:r>
    </w:p>
    <w:p w14:paraId="0DFCE6CD" w14:textId="77777777" w:rsidR="0015032A" w:rsidRDefault="0015032A" w:rsidP="00502FEE">
      <w:pPr>
        <w:widowControl/>
        <w:spacing w:before="180" w:after="0"/>
        <w:rPr>
          <w:i/>
          <w:sz w:val="20"/>
          <w:szCs w:val="20"/>
          <w:lang w:val="en-US"/>
        </w:rPr>
      </w:pPr>
      <w:r>
        <w:rPr>
          <w:i/>
          <w:sz w:val="20"/>
          <w:szCs w:val="20"/>
          <w:lang w:val="en-US"/>
        </w:rPr>
        <w:t>Alisha Nath &amp; Sophie Lebang</w:t>
      </w:r>
      <w:r w:rsidRPr="006771EF">
        <w:rPr>
          <w:i/>
          <w:sz w:val="20"/>
          <w:szCs w:val="20"/>
          <w:lang w:val="en-US"/>
        </w:rPr>
        <w:t xml:space="preserve"> </w:t>
      </w:r>
    </w:p>
    <w:p w14:paraId="3A2F0A35" w14:textId="77777777" w:rsidR="0015032A" w:rsidRDefault="0015032A" w:rsidP="00CA3707">
      <w:pPr>
        <w:spacing w:before="0" w:after="0"/>
        <w:rPr>
          <w:sz w:val="20"/>
          <w:szCs w:val="20"/>
          <w:lang w:eastAsia="zh-CN"/>
        </w:rPr>
      </w:pPr>
      <w:r>
        <w:rPr>
          <w:i/>
          <w:sz w:val="20"/>
          <w:szCs w:val="20"/>
          <w:lang w:val="en-US"/>
        </w:rPr>
        <w:t>Relationship Officers</w:t>
      </w:r>
    </w:p>
    <w:p w14:paraId="5A5E2F5E" w14:textId="77777777" w:rsidR="00E9408E" w:rsidRDefault="00E9408E">
      <w:pPr>
        <w:widowControl/>
        <w:spacing w:before="0" w:after="160" w:line="259" w:lineRule="auto"/>
        <w:jc w:val="left"/>
        <w:rPr>
          <w:rFonts w:eastAsiaTheme="minorEastAsia"/>
          <w:b/>
          <w:color w:val="5B9BD5" w:themeColor="accent1"/>
          <w:spacing w:val="15"/>
          <w:lang w:eastAsia="zh-CN"/>
        </w:rPr>
      </w:pPr>
      <w:bookmarkStart w:id="4" w:name="_Toc517159288"/>
      <w:r>
        <w:rPr>
          <w:lang w:eastAsia="zh-CN"/>
        </w:rPr>
        <w:br w:type="page"/>
      </w:r>
    </w:p>
    <w:p w14:paraId="39A774E3" w14:textId="553481A3" w:rsidR="0015032A" w:rsidRPr="00136215" w:rsidRDefault="0015032A" w:rsidP="00CA3707">
      <w:pPr>
        <w:pStyle w:val="Heading1"/>
        <w:spacing w:before="360"/>
        <w:rPr>
          <w:sz w:val="24"/>
          <w:szCs w:val="24"/>
          <w:lang w:eastAsia="zh-CN"/>
        </w:rPr>
      </w:pPr>
      <w:bookmarkStart w:id="5" w:name="_Toc13642398"/>
      <w:r w:rsidRPr="00136215">
        <w:rPr>
          <w:sz w:val="24"/>
          <w:szCs w:val="24"/>
          <w:lang w:eastAsia="zh-CN"/>
        </w:rPr>
        <w:lastRenderedPageBreak/>
        <w:t>Convenor Report</w:t>
      </w:r>
      <w:bookmarkEnd w:id="4"/>
      <w:bookmarkEnd w:id="5"/>
    </w:p>
    <w:p w14:paraId="683BF5F0" w14:textId="2DA02AF2" w:rsidR="0015032A" w:rsidRPr="000200D2" w:rsidRDefault="0015032A" w:rsidP="00BB06F4">
      <w:pPr>
        <w:widowControl/>
        <w:spacing w:before="180" w:after="180"/>
        <w:rPr>
          <w:sz w:val="20"/>
          <w:szCs w:val="20"/>
        </w:rPr>
      </w:pPr>
      <w:r w:rsidRPr="000200D2">
        <w:rPr>
          <w:sz w:val="20"/>
          <w:szCs w:val="20"/>
        </w:rPr>
        <w:t xml:space="preserve">Our past reports have highlighted how the </w:t>
      </w:r>
      <w:r w:rsidR="00D05497">
        <w:rPr>
          <w:sz w:val="20"/>
          <w:szCs w:val="20"/>
        </w:rPr>
        <w:t xml:space="preserve">SMF </w:t>
      </w:r>
      <w:r w:rsidRPr="00C00397">
        <w:rPr>
          <w:sz w:val="20"/>
          <w:szCs w:val="20"/>
        </w:rPr>
        <w:t>is</w:t>
      </w:r>
      <w:r w:rsidRPr="000200D2">
        <w:rPr>
          <w:sz w:val="20"/>
          <w:szCs w:val="20"/>
        </w:rPr>
        <w:t xml:space="preserve"> proving a powerful learning and even transformational experience for students, particularly through developing softer skills around leadership, accepting responsibility, taking initiative, teamwork, and so on. This time we discuss how much </w:t>
      </w:r>
      <w:r w:rsidR="00D05497">
        <w:rPr>
          <w:sz w:val="20"/>
          <w:szCs w:val="20"/>
        </w:rPr>
        <w:t xml:space="preserve">effort </w:t>
      </w:r>
      <w:r w:rsidRPr="000200D2">
        <w:rPr>
          <w:sz w:val="20"/>
          <w:szCs w:val="20"/>
        </w:rPr>
        <w:t xml:space="preserve">the students put into the SMF, the career paths of SMF alumni, and the silver lining from the loss on </w:t>
      </w:r>
      <w:r w:rsidRPr="00C00397">
        <w:rPr>
          <w:sz w:val="20"/>
          <w:szCs w:val="20"/>
        </w:rPr>
        <w:t>Bingo</w:t>
      </w:r>
      <w:r w:rsidR="00911038" w:rsidRPr="00C00397">
        <w:rPr>
          <w:sz w:val="20"/>
          <w:szCs w:val="20"/>
        </w:rPr>
        <w:t xml:space="preserve"> Industries (BIN)</w:t>
      </w:r>
      <w:r w:rsidRPr="00C00397">
        <w:rPr>
          <w:sz w:val="20"/>
          <w:szCs w:val="20"/>
        </w:rPr>
        <w:t>.</w:t>
      </w:r>
      <w:r w:rsidRPr="000200D2">
        <w:rPr>
          <w:sz w:val="20"/>
          <w:szCs w:val="20"/>
        </w:rPr>
        <w:t xml:space="preserve"> We also give a shout-out to the SMF Investment Advisory Committee (IAC)</w:t>
      </w:r>
      <w:r w:rsidR="00937725">
        <w:rPr>
          <w:sz w:val="20"/>
          <w:szCs w:val="20"/>
        </w:rPr>
        <w:t>.</w:t>
      </w:r>
    </w:p>
    <w:p w14:paraId="5F56F158" w14:textId="7EFCB8BC" w:rsidR="0015032A" w:rsidRPr="000200D2" w:rsidRDefault="0015032A" w:rsidP="00BB06F4">
      <w:pPr>
        <w:widowControl/>
        <w:spacing w:before="180" w:after="180"/>
        <w:rPr>
          <w:sz w:val="20"/>
          <w:szCs w:val="20"/>
        </w:rPr>
      </w:pPr>
      <w:r w:rsidRPr="000200D2">
        <w:rPr>
          <w:sz w:val="20"/>
          <w:szCs w:val="20"/>
        </w:rPr>
        <w:t xml:space="preserve">The commitment of the students to the SMF cannot be understated. The SMF is only one of four courses students take during a (short) semester of 14 weeks, which includes a two-week mid-semester break. Nevertheless, they consistently deliver their numerous and challenging tasks on time and with high quality. </w:t>
      </w:r>
      <w:r w:rsidR="00DE0983">
        <w:rPr>
          <w:sz w:val="20"/>
          <w:szCs w:val="20"/>
        </w:rPr>
        <w:t xml:space="preserve">Students exhibit </w:t>
      </w:r>
      <w:r w:rsidR="00DE0983" w:rsidRPr="00DE0983">
        <w:rPr>
          <w:sz w:val="20"/>
          <w:szCs w:val="20"/>
        </w:rPr>
        <w:t>unprecedented commitment</w:t>
      </w:r>
      <w:r w:rsidR="00DE0983">
        <w:rPr>
          <w:sz w:val="20"/>
          <w:szCs w:val="20"/>
        </w:rPr>
        <w:t xml:space="preserve"> and put in considerable effort</w:t>
      </w:r>
      <w:r w:rsidR="00DE0983" w:rsidRPr="00DE0983">
        <w:rPr>
          <w:sz w:val="20"/>
          <w:szCs w:val="20"/>
        </w:rPr>
        <w:t xml:space="preserve">, </w:t>
      </w:r>
      <w:r w:rsidR="00DE0983">
        <w:rPr>
          <w:sz w:val="20"/>
          <w:szCs w:val="20"/>
        </w:rPr>
        <w:t xml:space="preserve">for instance </w:t>
      </w:r>
      <w:r w:rsidR="00DE0983" w:rsidRPr="00DE0983">
        <w:rPr>
          <w:sz w:val="20"/>
          <w:szCs w:val="20"/>
        </w:rPr>
        <w:t xml:space="preserve">working through multiple </w:t>
      </w:r>
      <w:r w:rsidR="00DE0983">
        <w:rPr>
          <w:sz w:val="20"/>
          <w:szCs w:val="20"/>
        </w:rPr>
        <w:t xml:space="preserve">report </w:t>
      </w:r>
      <w:r w:rsidR="00DE0983" w:rsidRPr="00DE0983">
        <w:rPr>
          <w:sz w:val="20"/>
          <w:szCs w:val="20"/>
        </w:rPr>
        <w:t>drafts</w:t>
      </w:r>
      <w:r w:rsidR="00DE0983">
        <w:rPr>
          <w:sz w:val="20"/>
          <w:szCs w:val="20"/>
        </w:rPr>
        <w:t xml:space="preserve"> </w:t>
      </w:r>
      <w:r w:rsidR="00DE0983" w:rsidRPr="00DE0983">
        <w:rPr>
          <w:sz w:val="20"/>
          <w:szCs w:val="20"/>
        </w:rPr>
        <w:t xml:space="preserve">with both ourselves and their team members until </w:t>
      </w:r>
      <w:r w:rsidR="00DE0983">
        <w:rPr>
          <w:sz w:val="20"/>
          <w:szCs w:val="20"/>
        </w:rPr>
        <w:t>the report is</w:t>
      </w:r>
      <w:r w:rsidR="00DE0983" w:rsidRPr="00DE0983">
        <w:rPr>
          <w:sz w:val="20"/>
          <w:szCs w:val="20"/>
        </w:rPr>
        <w:t xml:space="preserve"> the best it can be.</w:t>
      </w:r>
      <w:r w:rsidR="00DE0983">
        <w:rPr>
          <w:sz w:val="20"/>
          <w:szCs w:val="20"/>
        </w:rPr>
        <w:t xml:space="preserve"> </w:t>
      </w:r>
      <w:r w:rsidRPr="000200D2">
        <w:rPr>
          <w:sz w:val="20"/>
          <w:szCs w:val="20"/>
        </w:rPr>
        <w:t>The grades awarded in the SMF tend to be high in reflection (we don’t grade to a bell curve). But we do</w:t>
      </w:r>
      <w:r w:rsidR="00D05497">
        <w:rPr>
          <w:sz w:val="20"/>
          <w:szCs w:val="20"/>
        </w:rPr>
        <w:t xml:space="preserve"> not</w:t>
      </w:r>
      <w:r w:rsidRPr="000200D2">
        <w:rPr>
          <w:sz w:val="20"/>
          <w:szCs w:val="20"/>
        </w:rPr>
        <w:t xml:space="preserve"> think that grades are why they do it. Rather, the students seem to believe in the SMF and its purpose of funding the SMF Equity Scholarship, and are working for the team. We are very proud of the culture that has emerged within the Fund.</w:t>
      </w:r>
    </w:p>
    <w:p w14:paraId="2575B229" w14:textId="77777777" w:rsidR="0015032A" w:rsidRPr="000200D2" w:rsidRDefault="0015032A" w:rsidP="00BB06F4">
      <w:pPr>
        <w:widowControl/>
        <w:spacing w:before="180" w:after="180"/>
        <w:rPr>
          <w:sz w:val="20"/>
          <w:szCs w:val="20"/>
        </w:rPr>
      </w:pPr>
      <w:r w:rsidRPr="000200D2">
        <w:rPr>
          <w:sz w:val="20"/>
          <w:szCs w:val="20"/>
        </w:rPr>
        <w:t>The SMF has now been operating long enough to get an early idea of how it can influence career prospects. A number of SMF alumni have secured great jobs with leading investment industry firms, including Dimensional Fund Advisors, Goldman Sachs, JP Morgan, Morgan Stanley, Queensland Investment Corporation and Texas Partners Group. Others are working in major advisory firms; and quite a few have progressed to undertake an honours year. We hear stories of how the SMF helps students in securing internships, and how it becomes a focus of conversation during interviews. While only the start of a long journey, the signs are promising. Our hope is that those involved in the SMF will have successful careers, and form an engaged network for both the Fund and the University over the years to come.</w:t>
      </w:r>
    </w:p>
    <w:p w14:paraId="2F4085AB" w14:textId="5C35397F" w:rsidR="0015032A" w:rsidRPr="000200D2" w:rsidRDefault="0015032A" w:rsidP="00BB06F4">
      <w:pPr>
        <w:widowControl/>
        <w:spacing w:before="180" w:after="180"/>
        <w:rPr>
          <w:sz w:val="20"/>
          <w:szCs w:val="20"/>
        </w:rPr>
      </w:pPr>
      <w:r w:rsidRPr="000200D2">
        <w:rPr>
          <w:sz w:val="20"/>
          <w:szCs w:val="20"/>
        </w:rPr>
        <w:t xml:space="preserve">And Bingo… Those who have been reading the SMF reports would have noticed that the Fund purchased Bingo Industries last year in front of some adverse news, including an earnings downgrade, that saw the stock price fall about 60% before recovering. It is </w:t>
      </w:r>
      <w:r w:rsidR="008D244C">
        <w:rPr>
          <w:sz w:val="20"/>
          <w:szCs w:val="20"/>
        </w:rPr>
        <w:t>currently</w:t>
      </w:r>
      <w:r w:rsidRPr="000200D2">
        <w:rPr>
          <w:sz w:val="20"/>
          <w:szCs w:val="20"/>
        </w:rPr>
        <w:t xml:space="preserve"> trading at </w:t>
      </w:r>
      <w:r w:rsidR="008D244C">
        <w:rPr>
          <w:sz w:val="20"/>
          <w:szCs w:val="20"/>
        </w:rPr>
        <w:t xml:space="preserve">22% </w:t>
      </w:r>
      <w:r w:rsidRPr="000200D2">
        <w:rPr>
          <w:sz w:val="20"/>
          <w:szCs w:val="20"/>
        </w:rPr>
        <w:t xml:space="preserve">below the price we paid. While this is clearly undesirable in terms of the Fund’s investment objective, it has proved very valuable in terms of the learning objective. You learn the most from mistakes, and so it has proved with the Bingo experience. It has driven home the point that investing is far from easy and underlined the need to undertake stock analysis with a healthy degree of scepticism. It brought the students face-to-face with risk, the difficulty of decision making under uncertainty, and the dangers of paying up for a stock based on optimistic assumptions. The primary analyst involved has come a very long way and will probably get more out of their time with the SMF than anybody </w:t>
      </w:r>
      <w:r w:rsidR="00EF0B04">
        <w:rPr>
          <w:sz w:val="20"/>
          <w:szCs w:val="20"/>
        </w:rPr>
        <w:t xml:space="preserve">else </w:t>
      </w:r>
      <w:r w:rsidRPr="000200D2">
        <w:rPr>
          <w:sz w:val="20"/>
          <w:szCs w:val="20"/>
        </w:rPr>
        <w:t>in the team. On balance, the loss on Bingo looks more like a boon than a calamity.</w:t>
      </w:r>
    </w:p>
    <w:p w14:paraId="5954C27E" w14:textId="02C74B80" w:rsidR="0015032A" w:rsidRPr="000200D2" w:rsidRDefault="0015032A" w:rsidP="00BB06F4">
      <w:pPr>
        <w:widowControl/>
        <w:spacing w:before="180" w:after="180"/>
        <w:rPr>
          <w:sz w:val="20"/>
          <w:szCs w:val="20"/>
        </w:rPr>
      </w:pPr>
      <w:r w:rsidRPr="000200D2">
        <w:rPr>
          <w:sz w:val="20"/>
          <w:szCs w:val="20"/>
        </w:rPr>
        <w:t xml:space="preserve">Finally, we would like to thank the IAC, which is a group of industry professionals that freely give their time. The group comprises Heath Behncke, who is just starting up his own global tech fund; Risman Cornelius and Debbie Saunders from Whitehelm Capital; Mary Fallon from the ANU Investment Office; and Andre Morony, who has held many roles including CIO of BT Fund Management and Commonwealth Super Corporation. Knowing that investment recommendations need to pass muster with a group of experienced professionals is critical. It helps focus the mind, and motivates students to reach for excellence. They learn a lot from the wise counsel and lines of questioning in the pressure-cooker environment of IAC meetings. The interaction with </w:t>
      </w:r>
      <w:r w:rsidR="005410C9">
        <w:rPr>
          <w:sz w:val="20"/>
          <w:szCs w:val="20"/>
        </w:rPr>
        <w:t xml:space="preserve">the </w:t>
      </w:r>
      <w:r w:rsidRPr="000200D2">
        <w:rPr>
          <w:sz w:val="20"/>
          <w:szCs w:val="20"/>
        </w:rPr>
        <w:t>IAC is one of the many features that make the SMF experience unlike any other gained at university.</w:t>
      </w:r>
    </w:p>
    <w:p w14:paraId="23B63FA8" w14:textId="3F834721" w:rsidR="0015032A" w:rsidRPr="006771EF" w:rsidRDefault="0015032A" w:rsidP="00502FEE">
      <w:pPr>
        <w:widowControl/>
        <w:spacing w:before="180" w:after="0"/>
        <w:rPr>
          <w:i/>
          <w:sz w:val="20"/>
          <w:szCs w:val="20"/>
        </w:rPr>
      </w:pPr>
      <w:r w:rsidRPr="006771EF">
        <w:rPr>
          <w:i/>
          <w:sz w:val="20"/>
          <w:szCs w:val="20"/>
        </w:rPr>
        <w:t>Dr Anna von Reibnitz, Course Convenor</w:t>
      </w:r>
    </w:p>
    <w:p w14:paraId="166BB7FD" w14:textId="0F9138D3" w:rsidR="00867A98" w:rsidRDefault="0015032A" w:rsidP="00867A98">
      <w:pPr>
        <w:spacing w:before="0" w:after="0"/>
        <w:rPr>
          <w:rFonts w:eastAsiaTheme="minorEastAsia"/>
          <w:b/>
          <w:color w:val="5B9BD5" w:themeColor="accent1"/>
          <w:spacing w:val="15"/>
          <w:lang w:eastAsia="zh-CN"/>
        </w:rPr>
      </w:pPr>
      <w:r w:rsidRPr="006771EF">
        <w:rPr>
          <w:i/>
          <w:sz w:val="20"/>
          <w:szCs w:val="20"/>
        </w:rPr>
        <w:t>A/Prof. Geoff Warren, Fund Convenor</w:t>
      </w:r>
      <w:bookmarkStart w:id="6" w:name="_Toc517159289"/>
      <w:r w:rsidR="00867A98">
        <w:rPr>
          <w:lang w:eastAsia="zh-CN"/>
        </w:rPr>
        <w:br w:type="page"/>
      </w:r>
    </w:p>
    <w:p w14:paraId="28F7EAD7" w14:textId="6C347BDA" w:rsidR="0015032A" w:rsidRPr="000200D2" w:rsidRDefault="0015032A">
      <w:pPr>
        <w:pStyle w:val="Heading1"/>
        <w:spacing w:before="360"/>
        <w:rPr>
          <w:sz w:val="24"/>
          <w:szCs w:val="24"/>
          <w:lang w:eastAsia="zh-CN"/>
        </w:rPr>
      </w:pPr>
      <w:bookmarkStart w:id="7" w:name="_Toc13642399"/>
      <w:r w:rsidRPr="00136215">
        <w:rPr>
          <w:sz w:val="24"/>
          <w:szCs w:val="24"/>
          <w:lang w:eastAsia="zh-CN"/>
        </w:rPr>
        <w:lastRenderedPageBreak/>
        <w:t>Chief Investment Officer</w:t>
      </w:r>
      <w:r w:rsidR="006815AF">
        <w:rPr>
          <w:sz w:val="24"/>
          <w:szCs w:val="24"/>
          <w:lang w:eastAsia="zh-CN"/>
        </w:rPr>
        <w:t xml:space="preserve"> (CIO)</w:t>
      </w:r>
      <w:r w:rsidRPr="00136215">
        <w:rPr>
          <w:sz w:val="24"/>
          <w:szCs w:val="24"/>
          <w:lang w:eastAsia="zh-CN"/>
        </w:rPr>
        <w:t xml:space="preserve"> Report</w:t>
      </w:r>
      <w:bookmarkEnd w:id="6"/>
      <w:bookmarkEnd w:id="7"/>
    </w:p>
    <w:p w14:paraId="49F8FA52" w14:textId="77777777" w:rsidR="0015032A" w:rsidRPr="000200D2" w:rsidRDefault="0015032A" w:rsidP="00DA692E">
      <w:pPr>
        <w:widowControl/>
        <w:spacing w:before="180" w:after="180"/>
        <w:rPr>
          <w:sz w:val="20"/>
          <w:szCs w:val="20"/>
        </w:rPr>
      </w:pPr>
      <w:r w:rsidRPr="000200D2">
        <w:rPr>
          <w:sz w:val="20"/>
          <w:szCs w:val="20"/>
        </w:rPr>
        <w:t>On completion of another successful semester for the SMF, I am pleased to report on our progress towards each of our learning, investment and developmental objectives.</w:t>
      </w:r>
    </w:p>
    <w:p w14:paraId="6FA7E8D0" w14:textId="617A3791" w:rsidR="0015032A" w:rsidRPr="000200D2" w:rsidRDefault="0015032A" w:rsidP="00DA692E">
      <w:pPr>
        <w:widowControl/>
        <w:spacing w:before="180" w:after="180"/>
        <w:rPr>
          <w:sz w:val="20"/>
          <w:szCs w:val="20"/>
        </w:rPr>
      </w:pPr>
      <w:r w:rsidRPr="000200D2">
        <w:rPr>
          <w:sz w:val="20"/>
          <w:szCs w:val="20"/>
        </w:rPr>
        <w:t>Our learning objective centres upon the SMF providing students practical experience in managing investments. The ‘hands on’ approach to learning is truly unique</w:t>
      </w:r>
      <w:r w:rsidR="009E1BB6">
        <w:rPr>
          <w:sz w:val="20"/>
          <w:szCs w:val="20"/>
        </w:rPr>
        <w:t>,</w:t>
      </w:r>
      <w:r w:rsidRPr="000200D2">
        <w:rPr>
          <w:sz w:val="20"/>
          <w:szCs w:val="20"/>
        </w:rPr>
        <w:t xml:space="preserve"> and the responsibility that is entrusted </w:t>
      </w:r>
      <w:r w:rsidR="009E1BB6">
        <w:rPr>
          <w:sz w:val="20"/>
          <w:szCs w:val="20"/>
        </w:rPr>
        <w:t>to</w:t>
      </w:r>
      <w:r w:rsidR="009E1BB6" w:rsidRPr="000200D2">
        <w:rPr>
          <w:sz w:val="20"/>
          <w:szCs w:val="20"/>
        </w:rPr>
        <w:t xml:space="preserve"> </w:t>
      </w:r>
      <w:r w:rsidRPr="000200D2">
        <w:rPr>
          <w:sz w:val="20"/>
          <w:szCs w:val="20"/>
        </w:rPr>
        <w:t>students is both empowering and enriching. As students, we feel responsible for the outcomes of the Fund. For what is a difficult objective to quantify progress toward, I can say that this course has been the most challenging yet rewarding experience of my educational life. Along with the technical expertise that we develop, the Fund provides an environment to grow interpersonal skills such as leadership, communication and teamwork. The Fund provides a medium from which students engage with experienced industry professionals</w:t>
      </w:r>
      <w:r w:rsidR="00793D5D">
        <w:rPr>
          <w:sz w:val="20"/>
          <w:szCs w:val="20"/>
        </w:rPr>
        <w:t>, including those</w:t>
      </w:r>
      <w:r w:rsidRPr="000200D2">
        <w:rPr>
          <w:sz w:val="20"/>
          <w:szCs w:val="20"/>
        </w:rPr>
        <w:t xml:space="preserve"> on the Investment Advisory Committee. This semester we </w:t>
      </w:r>
      <w:r w:rsidR="00793D5D">
        <w:rPr>
          <w:sz w:val="20"/>
          <w:szCs w:val="20"/>
        </w:rPr>
        <w:t xml:space="preserve">also </w:t>
      </w:r>
      <w:r w:rsidRPr="000200D2">
        <w:rPr>
          <w:sz w:val="20"/>
          <w:szCs w:val="20"/>
        </w:rPr>
        <w:t>had Dr Don Hamson</w:t>
      </w:r>
      <w:r w:rsidR="00793D5D">
        <w:rPr>
          <w:sz w:val="20"/>
          <w:szCs w:val="20"/>
        </w:rPr>
        <w:t>, Managing Director of Plato Investment Management,</w:t>
      </w:r>
      <w:r w:rsidRPr="000200D2">
        <w:rPr>
          <w:sz w:val="20"/>
          <w:szCs w:val="20"/>
        </w:rPr>
        <w:t xml:space="preserve"> and John Hempton</w:t>
      </w:r>
      <w:r w:rsidR="00793D5D">
        <w:rPr>
          <w:sz w:val="20"/>
          <w:szCs w:val="20"/>
        </w:rPr>
        <w:t xml:space="preserve">, </w:t>
      </w:r>
      <w:r w:rsidR="00FB68AB">
        <w:rPr>
          <w:sz w:val="20"/>
          <w:szCs w:val="20"/>
        </w:rPr>
        <w:t>Founder and CIO of Bronte Capital</w:t>
      </w:r>
      <w:r w:rsidR="00793D5D">
        <w:rPr>
          <w:sz w:val="20"/>
          <w:szCs w:val="20"/>
        </w:rPr>
        <w:t>,</w:t>
      </w:r>
      <w:r w:rsidRPr="000200D2">
        <w:rPr>
          <w:sz w:val="20"/>
          <w:szCs w:val="20"/>
        </w:rPr>
        <w:t xml:space="preserve"> deliver presentations to the Fund. The insights and learning derived from these experiences are invaluable. The constant and personal guidance offered by our Convenors adds to the unique environment created by the SMF and leads many students to conclude that</w:t>
      </w:r>
      <w:r w:rsidR="00793D5D">
        <w:rPr>
          <w:sz w:val="20"/>
          <w:szCs w:val="20"/>
        </w:rPr>
        <w:t xml:space="preserve"> the</w:t>
      </w:r>
      <w:r w:rsidRPr="000200D2">
        <w:rPr>
          <w:sz w:val="20"/>
          <w:szCs w:val="20"/>
        </w:rPr>
        <w:t xml:space="preserve"> Fund is the ‘best course’ they have completed.</w:t>
      </w:r>
    </w:p>
    <w:p w14:paraId="179B6947" w14:textId="4D4FF90C" w:rsidR="0015032A" w:rsidRPr="000200D2" w:rsidRDefault="0015032A" w:rsidP="00DA692E">
      <w:pPr>
        <w:widowControl/>
        <w:spacing w:before="180" w:after="180"/>
        <w:rPr>
          <w:sz w:val="20"/>
          <w:szCs w:val="20"/>
        </w:rPr>
      </w:pPr>
      <w:r w:rsidRPr="000200D2">
        <w:rPr>
          <w:sz w:val="20"/>
          <w:szCs w:val="20"/>
        </w:rPr>
        <w:t xml:space="preserve">The Fund pursues an investment objective of maximising the long-term trade-off between the expected value of funds invested, against the risk of a sustained reduction in the real value of those funds. To </w:t>
      </w:r>
      <w:r w:rsidR="00316144">
        <w:rPr>
          <w:sz w:val="20"/>
          <w:szCs w:val="20"/>
        </w:rPr>
        <w:t xml:space="preserve">maintain </w:t>
      </w:r>
      <w:r w:rsidRPr="000200D2">
        <w:rPr>
          <w:sz w:val="20"/>
          <w:szCs w:val="20"/>
        </w:rPr>
        <w:t>our philanthropic initiatives</w:t>
      </w:r>
      <w:r w:rsidR="00316144">
        <w:rPr>
          <w:sz w:val="20"/>
          <w:szCs w:val="20"/>
        </w:rPr>
        <w:t>,</w:t>
      </w:r>
      <w:r w:rsidRPr="000200D2">
        <w:rPr>
          <w:sz w:val="20"/>
          <w:szCs w:val="20"/>
        </w:rPr>
        <w:t xml:space="preserve"> the Fund </w:t>
      </w:r>
      <w:r w:rsidR="00316144">
        <w:rPr>
          <w:sz w:val="20"/>
          <w:szCs w:val="20"/>
        </w:rPr>
        <w:t xml:space="preserve">aims to deliver </w:t>
      </w:r>
      <w:r w:rsidRPr="000200D2">
        <w:rPr>
          <w:sz w:val="20"/>
          <w:szCs w:val="20"/>
        </w:rPr>
        <w:t xml:space="preserve">a return </w:t>
      </w:r>
      <w:r w:rsidR="00316144">
        <w:rPr>
          <w:sz w:val="20"/>
          <w:szCs w:val="20"/>
        </w:rPr>
        <w:t xml:space="preserve">equal to </w:t>
      </w:r>
      <w:r w:rsidRPr="000200D2">
        <w:rPr>
          <w:sz w:val="20"/>
          <w:szCs w:val="20"/>
        </w:rPr>
        <w:t>the distribution rate of 4.5%</w:t>
      </w:r>
      <w:r w:rsidR="00316144">
        <w:rPr>
          <w:sz w:val="20"/>
          <w:szCs w:val="20"/>
        </w:rPr>
        <w:t xml:space="preserve"> plus inflation, which amounts to a target return of 7% per annum at an expected inflation rate of 2.5%</w:t>
      </w:r>
      <w:r w:rsidRPr="000200D2">
        <w:rPr>
          <w:sz w:val="20"/>
          <w:szCs w:val="20"/>
        </w:rPr>
        <w:t xml:space="preserve">. As an endowment fund, the long-term nature of the investment objective is embedded in all aspects of the Fund’s operations and is embraced by the student cohort. This investment philosophy leads the team to believe an insufficient </w:t>
      </w:r>
      <w:r w:rsidR="005F3380" w:rsidRPr="000200D2">
        <w:rPr>
          <w:sz w:val="20"/>
          <w:szCs w:val="20"/>
        </w:rPr>
        <w:t>period</w:t>
      </w:r>
      <w:r w:rsidRPr="000200D2">
        <w:rPr>
          <w:sz w:val="20"/>
          <w:szCs w:val="20"/>
        </w:rPr>
        <w:t xml:space="preserve"> has elapsed to provide meaningful judgement on the Fund’s progress to the investment objective. Nevertheless, </w:t>
      </w:r>
      <w:r w:rsidR="00316144">
        <w:rPr>
          <w:sz w:val="20"/>
          <w:szCs w:val="20"/>
        </w:rPr>
        <w:t>it is gratifying that a</w:t>
      </w:r>
      <w:r w:rsidRPr="000200D2">
        <w:rPr>
          <w:sz w:val="20"/>
          <w:szCs w:val="20"/>
        </w:rPr>
        <w:t xml:space="preserve">s of </w:t>
      </w:r>
      <w:r w:rsidR="00F63467" w:rsidRPr="00257409">
        <w:rPr>
          <w:sz w:val="20"/>
          <w:szCs w:val="20"/>
        </w:rPr>
        <w:t>21 June 2019</w:t>
      </w:r>
      <w:r w:rsidRPr="00257409">
        <w:rPr>
          <w:sz w:val="20"/>
          <w:szCs w:val="20"/>
        </w:rPr>
        <w:t>,</w:t>
      </w:r>
      <w:r w:rsidRPr="000200D2">
        <w:rPr>
          <w:sz w:val="20"/>
          <w:szCs w:val="20"/>
        </w:rPr>
        <w:t xml:space="preserve"> the Fund’s return since inception on 16 April 2018 </w:t>
      </w:r>
      <w:r w:rsidR="00FE03B2">
        <w:rPr>
          <w:sz w:val="20"/>
          <w:szCs w:val="20"/>
        </w:rPr>
        <w:t>of</w:t>
      </w:r>
      <w:r w:rsidRPr="000200D2">
        <w:rPr>
          <w:sz w:val="20"/>
          <w:szCs w:val="20"/>
        </w:rPr>
        <w:t xml:space="preserve"> </w:t>
      </w:r>
      <w:r w:rsidR="00F63467" w:rsidRPr="00257409">
        <w:rPr>
          <w:sz w:val="20"/>
          <w:szCs w:val="20"/>
        </w:rPr>
        <w:t>15.</w:t>
      </w:r>
      <w:r w:rsidR="005A64F3">
        <w:rPr>
          <w:sz w:val="20"/>
          <w:szCs w:val="20"/>
        </w:rPr>
        <w:t>85</w:t>
      </w:r>
      <w:r w:rsidRPr="00257409">
        <w:rPr>
          <w:sz w:val="20"/>
          <w:szCs w:val="20"/>
        </w:rPr>
        <w:t>%</w:t>
      </w:r>
      <w:r w:rsidR="00FE03B2">
        <w:rPr>
          <w:sz w:val="20"/>
          <w:szCs w:val="20"/>
        </w:rPr>
        <w:t xml:space="preserve"> has</w:t>
      </w:r>
      <w:r w:rsidR="00316144">
        <w:rPr>
          <w:sz w:val="20"/>
          <w:szCs w:val="20"/>
        </w:rPr>
        <w:t xml:space="preserve"> well-exceeded the target</w:t>
      </w:r>
      <w:r w:rsidRPr="00DD1D7E">
        <w:rPr>
          <w:sz w:val="20"/>
          <w:szCs w:val="20"/>
        </w:rPr>
        <w:t>.</w:t>
      </w:r>
      <w:r w:rsidRPr="000200D2">
        <w:rPr>
          <w:sz w:val="20"/>
          <w:szCs w:val="20"/>
        </w:rPr>
        <w:t xml:space="preserve"> The Fund</w:t>
      </w:r>
      <w:r w:rsidR="00866A51">
        <w:rPr>
          <w:sz w:val="20"/>
          <w:szCs w:val="20"/>
        </w:rPr>
        <w:t xml:space="preserve"> </w:t>
      </w:r>
      <w:r w:rsidR="00316144">
        <w:rPr>
          <w:sz w:val="20"/>
          <w:szCs w:val="20"/>
        </w:rPr>
        <w:t>moderately underperformed the</w:t>
      </w:r>
      <w:r w:rsidRPr="000200D2">
        <w:rPr>
          <w:sz w:val="20"/>
          <w:szCs w:val="20"/>
        </w:rPr>
        <w:t xml:space="preserve"> reference portfolio </w:t>
      </w:r>
      <w:r w:rsidR="00316144">
        <w:rPr>
          <w:sz w:val="20"/>
          <w:szCs w:val="20"/>
        </w:rPr>
        <w:t>over this period, which</w:t>
      </w:r>
      <w:r w:rsidRPr="000200D2">
        <w:rPr>
          <w:sz w:val="20"/>
          <w:szCs w:val="20"/>
        </w:rPr>
        <w:t xml:space="preserve"> returned </w:t>
      </w:r>
      <w:r w:rsidR="00DD1D7E">
        <w:rPr>
          <w:sz w:val="20"/>
          <w:szCs w:val="20"/>
        </w:rPr>
        <w:t>16.</w:t>
      </w:r>
      <w:r w:rsidR="005A64F3">
        <w:rPr>
          <w:sz w:val="20"/>
          <w:szCs w:val="20"/>
        </w:rPr>
        <w:t>32%</w:t>
      </w:r>
      <w:r w:rsidRPr="000200D2">
        <w:rPr>
          <w:sz w:val="20"/>
          <w:szCs w:val="20"/>
        </w:rPr>
        <w:t xml:space="preserve">. </w:t>
      </w:r>
      <w:r w:rsidR="00866A51">
        <w:rPr>
          <w:sz w:val="20"/>
          <w:szCs w:val="20"/>
        </w:rPr>
        <w:t xml:space="preserve">This is largely attributable to the underperformance of the active Australian equities (AAE) portfolio relative to the </w:t>
      </w:r>
      <w:r w:rsidR="00C9318D">
        <w:rPr>
          <w:sz w:val="20"/>
          <w:szCs w:val="20"/>
        </w:rPr>
        <w:t>benchmark S&amp;P/</w:t>
      </w:r>
      <w:r w:rsidR="00866A51">
        <w:rPr>
          <w:sz w:val="20"/>
          <w:szCs w:val="20"/>
        </w:rPr>
        <w:t>ASX200</w:t>
      </w:r>
      <w:r w:rsidR="00C9318D">
        <w:rPr>
          <w:sz w:val="20"/>
          <w:szCs w:val="20"/>
        </w:rPr>
        <w:t xml:space="preserve"> ETF</w:t>
      </w:r>
      <w:r w:rsidR="00866A51">
        <w:rPr>
          <w:sz w:val="20"/>
          <w:szCs w:val="20"/>
        </w:rPr>
        <w:t xml:space="preserve">, which in turn can be traced to a contribution of -2.38% from Bingo. Meanwhile, it is encouraging that our two initial active stock positions of </w:t>
      </w:r>
      <w:r w:rsidR="00DD1D7E" w:rsidRPr="00257409">
        <w:rPr>
          <w:sz w:val="20"/>
          <w:szCs w:val="20"/>
        </w:rPr>
        <w:t>Rio Tinto</w:t>
      </w:r>
      <w:r w:rsidR="008B0C09">
        <w:rPr>
          <w:sz w:val="20"/>
          <w:szCs w:val="20"/>
        </w:rPr>
        <w:t xml:space="preserve"> </w:t>
      </w:r>
      <w:r w:rsidRPr="00257409">
        <w:rPr>
          <w:sz w:val="20"/>
          <w:szCs w:val="20"/>
        </w:rPr>
        <w:t xml:space="preserve">and </w:t>
      </w:r>
      <w:r w:rsidR="00DD1D7E" w:rsidRPr="00257409">
        <w:rPr>
          <w:sz w:val="20"/>
          <w:szCs w:val="20"/>
        </w:rPr>
        <w:t>Telstra</w:t>
      </w:r>
      <w:r w:rsidRPr="00257409">
        <w:rPr>
          <w:sz w:val="20"/>
          <w:szCs w:val="20"/>
        </w:rPr>
        <w:t xml:space="preserve"> </w:t>
      </w:r>
      <w:r w:rsidR="00866A51">
        <w:rPr>
          <w:sz w:val="20"/>
          <w:szCs w:val="20"/>
        </w:rPr>
        <w:t>made positive contributions of +0.58% and +</w:t>
      </w:r>
      <w:r w:rsidR="00785FD5">
        <w:rPr>
          <w:sz w:val="20"/>
          <w:szCs w:val="20"/>
        </w:rPr>
        <w:t>2.14</w:t>
      </w:r>
      <w:r w:rsidRPr="00257409">
        <w:rPr>
          <w:sz w:val="20"/>
          <w:szCs w:val="20"/>
        </w:rPr>
        <w:t>%</w:t>
      </w:r>
      <w:r w:rsidR="00866A51">
        <w:rPr>
          <w:sz w:val="20"/>
          <w:szCs w:val="20"/>
        </w:rPr>
        <w:t xml:space="preserve"> versus the </w:t>
      </w:r>
      <w:r w:rsidR="00C9318D">
        <w:rPr>
          <w:sz w:val="20"/>
          <w:szCs w:val="20"/>
        </w:rPr>
        <w:t>S&amp;P/</w:t>
      </w:r>
      <w:r w:rsidR="00866A51">
        <w:rPr>
          <w:sz w:val="20"/>
          <w:szCs w:val="20"/>
        </w:rPr>
        <w:t>ASX200</w:t>
      </w:r>
      <w:r w:rsidR="00C9318D">
        <w:rPr>
          <w:sz w:val="20"/>
          <w:szCs w:val="20"/>
        </w:rPr>
        <w:t xml:space="preserve"> ETF</w:t>
      </w:r>
      <w:r w:rsidR="00866A51">
        <w:rPr>
          <w:sz w:val="20"/>
          <w:szCs w:val="20"/>
        </w:rPr>
        <w:t>, respectively.</w:t>
      </w:r>
      <w:r w:rsidR="00FE03B2">
        <w:rPr>
          <w:sz w:val="20"/>
          <w:szCs w:val="20"/>
        </w:rPr>
        <w:t xml:space="preserve"> </w:t>
      </w:r>
      <w:r w:rsidRPr="000200D2">
        <w:rPr>
          <w:sz w:val="20"/>
          <w:szCs w:val="20"/>
        </w:rPr>
        <w:t xml:space="preserve">We are </w:t>
      </w:r>
      <w:r w:rsidR="00074768">
        <w:rPr>
          <w:sz w:val="20"/>
          <w:szCs w:val="20"/>
        </w:rPr>
        <w:t>encouraged by</w:t>
      </w:r>
      <w:r w:rsidRPr="000200D2">
        <w:rPr>
          <w:sz w:val="20"/>
          <w:szCs w:val="20"/>
        </w:rPr>
        <w:t xml:space="preserve"> our progress</w:t>
      </w:r>
      <w:r w:rsidR="00F917DC">
        <w:rPr>
          <w:sz w:val="20"/>
          <w:szCs w:val="20"/>
        </w:rPr>
        <w:t xml:space="preserve"> on many </w:t>
      </w:r>
      <w:r w:rsidR="00665C75">
        <w:rPr>
          <w:sz w:val="20"/>
          <w:szCs w:val="20"/>
        </w:rPr>
        <w:t>fronts yet</w:t>
      </w:r>
      <w:r w:rsidRPr="000200D2">
        <w:rPr>
          <w:sz w:val="20"/>
          <w:szCs w:val="20"/>
        </w:rPr>
        <w:t xml:space="preserve"> recognise </w:t>
      </w:r>
      <w:r w:rsidR="00F917DC">
        <w:rPr>
          <w:sz w:val="20"/>
          <w:szCs w:val="20"/>
        </w:rPr>
        <w:t xml:space="preserve">that </w:t>
      </w:r>
      <w:r w:rsidRPr="000200D2">
        <w:rPr>
          <w:sz w:val="20"/>
          <w:szCs w:val="20"/>
        </w:rPr>
        <w:t>the true measure of success regarding the investment objective will not be realised in the short-term.</w:t>
      </w:r>
    </w:p>
    <w:p w14:paraId="40228A0E" w14:textId="32CD2AEF" w:rsidR="0015032A" w:rsidRPr="000200D2" w:rsidRDefault="0015032A" w:rsidP="00DA692E">
      <w:pPr>
        <w:widowControl/>
        <w:spacing w:before="180" w:after="180"/>
        <w:rPr>
          <w:sz w:val="20"/>
          <w:szCs w:val="20"/>
        </w:rPr>
      </w:pPr>
      <w:r w:rsidRPr="000200D2">
        <w:rPr>
          <w:sz w:val="20"/>
          <w:szCs w:val="20"/>
        </w:rPr>
        <w:t xml:space="preserve">A developmental objective is included to reflect the importance the Fund places on building relationships within and beyond the </w:t>
      </w:r>
      <w:r w:rsidR="003369DF">
        <w:rPr>
          <w:sz w:val="20"/>
          <w:szCs w:val="20"/>
        </w:rPr>
        <w:t>U</w:t>
      </w:r>
      <w:r w:rsidRPr="000200D2">
        <w:rPr>
          <w:sz w:val="20"/>
          <w:szCs w:val="20"/>
        </w:rPr>
        <w:t>niversity. In supporting the RSFAS Student Managed Fund Equity Scholarship, our philanthropic commitments are indicative of our intention to give back to the ANU community. In order to raise awareness of the Fund and engage with potential applicants, the Fund twice participated in the College of Business and Economics (CBE) Student Information Market during the semester. The Fund also pitched to students in various finance courses. Throughout the semester we have been liaising with</w:t>
      </w:r>
      <w:r w:rsidR="00866A51">
        <w:rPr>
          <w:sz w:val="20"/>
          <w:szCs w:val="20"/>
        </w:rPr>
        <w:t xml:space="preserve"> the University</w:t>
      </w:r>
      <w:r w:rsidRPr="000200D2">
        <w:rPr>
          <w:sz w:val="20"/>
          <w:szCs w:val="20"/>
        </w:rPr>
        <w:t xml:space="preserve"> to create an official SMF Logo, </w:t>
      </w:r>
      <w:r w:rsidR="00171F02">
        <w:rPr>
          <w:sz w:val="20"/>
          <w:szCs w:val="20"/>
        </w:rPr>
        <w:t>design</w:t>
      </w:r>
      <w:r w:rsidR="00171F02" w:rsidRPr="000200D2">
        <w:rPr>
          <w:sz w:val="20"/>
          <w:szCs w:val="20"/>
        </w:rPr>
        <w:t xml:space="preserve"> </w:t>
      </w:r>
      <w:r w:rsidRPr="000200D2">
        <w:rPr>
          <w:sz w:val="20"/>
          <w:szCs w:val="20"/>
        </w:rPr>
        <w:t xml:space="preserve">promotional material and develop a website. </w:t>
      </w:r>
      <w:r w:rsidR="00257409">
        <w:rPr>
          <w:sz w:val="20"/>
          <w:szCs w:val="20"/>
        </w:rPr>
        <w:t xml:space="preserve">A draft </w:t>
      </w:r>
      <w:r w:rsidRPr="000200D2">
        <w:rPr>
          <w:sz w:val="20"/>
          <w:szCs w:val="20"/>
        </w:rPr>
        <w:t>SMF Website is</w:t>
      </w:r>
      <w:r w:rsidR="00257409">
        <w:rPr>
          <w:sz w:val="20"/>
          <w:szCs w:val="20"/>
        </w:rPr>
        <w:t xml:space="preserve"> currently being created under the ANU RSFAS layout.</w:t>
      </w:r>
      <w:r w:rsidRPr="000200D2">
        <w:rPr>
          <w:sz w:val="20"/>
          <w:szCs w:val="20"/>
        </w:rPr>
        <w:t xml:space="preserve"> The successful launch of an SMF Facebook and </w:t>
      </w:r>
      <w:r w:rsidR="009B43AA">
        <w:rPr>
          <w:sz w:val="20"/>
          <w:szCs w:val="20"/>
        </w:rPr>
        <w:t xml:space="preserve">a draft </w:t>
      </w:r>
      <w:r w:rsidRPr="000200D2">
        <w:rPr>
          <w:sz w:val="20"/>
          <w:szCs w:val="20"/>
        </w:rPr>
        <w:t>LinkedIn page will further enhance our ability to interact with external parties. Our developmental objective is also measured by the impact the course has on students and their inclination to remain involved with the ANU and SMF. This semester we have had Ben Rada Martin</w:t>
      </w:r>
      <w:r w:rsidR="00074768">
        <w:rPr>
          <w:sz w:val="20"/>
          <w:szCs w:val="20"/>
        </w:rPr>
        <w:t>,</w:t>
      </w:r>
      <w:r w:rsidRPr="000200D2">
        <w:rPr>
          <w:sz w:val="20"/>
          <w:szCs w:val="20"/>
        </w:rPr>
        <w:t xml:space="preserve"> who had previously functioned as the Head of AAE</w:t>
      </w:r>
      <w:r w:rsidR="009801AC">
        <w:rPr>
          <w:sz w:val="20"/>
          <w:szCs w:val="20"/>
        </w:rPr>
        <w:t>,</w:t>
      </w:r>
      <w:r w:rsidRPr="000200D2">
        <w:rPr>
          <w:sz w:val="20"/>
          <w:szCs w:val="20"/>
        </w:rPr>
        <w:t xml:space="preserve"> return to provide guidance to the current cohort. Ben has accepted a graduate role at Goldman Sachs and his continued engagement with the Fund is indicative of the permanent value the SMF provides students. We are pleased with the progress we have made towards our developmental objectives and I believe this will continue in forthcoming semesters.</w:t>
      </w:r>
    </w:p>
    <w:p w14:paraId="08171CF2" w14:textId="7102FE9D" w:rsidR="0015032A" w:rsidRDefault="0015032A" w:rsidP="005E089A">
      <w:pPr>
        <w:widowControl/>
        <w:spacing w:before="180" w:after="180"/>
        <w:rPr>
          <w:sz w:val="20"/>
          <w:szCs w:val="20"/>
        </w:rPr>
      </w:pPr>
      <w:r w:rsidRPr="000200D2">
        <w:rPr>
          <w:sz w:val="20"/>
          <w:szCs w:val="20"/>
        </w:rPr>
        <w:t>Overall, I am incredibly proud of the progress we have made this semester and I believe there is a solid foundation for future cohorts to build upon. The current junior cohort will be progressing to senior roles within the Fund next semester. I am in no doubt these students, with the addition of new members, will progress the Fund along its positive trajectory. On a personal note, I am grateful for my time in the Fund. I have learnt more about myself and funds management than I could have imagined. I look forward to staying engaged with the SMF and seeing the progre</w:t>
      </w:r>
      <w:r>
        <w:rPr>
          <w:sz w:val="20"/>
          <w:szCs w:val="20"/>
        </w:rPr>
        <w:t>ss that continues next semester</w:t>
      </w:r>
      <w:r w:rsidR="00DB2F4B">
        <w:rPr>
          <w:sz w:val="20"/>
          <w:szCs w:val="20"/>
        </w:rPr>
        <w:t xml:space="preserve"> and beyond</w:t>
      </w:r>
      <w:r>
        <w:rPr>
          <w:sz w:val="20"/>
          <w:szCs w:val="20"/>
        </w:rPr>
        <w:t>.</w:t>
      </w:r>
    </w:p>
    <w:p w14:paraId="79BE2BEE" w14:textId="77777777" w:rsidR="0015032A" w:rsidRPr="006771EF" w:rsidRDefault="0015032A" w:rsidP="00502FEE">
      <w:pPr>
        <w:spacing w:before="180"/>
        <w:rPr>
          <w:i/>
          <w:sz w:val="20"/>
          <w:szCs w:val="20"/>
        </w:rPr>
      </w:pPr>
      <w:r>
        <w:rPr>
          <w:i/>
          <w:sz w:val="20"/>
          <w:szCs w:val="20"/>
        </w:rPr>
        <w:t>Saurav Patel</w:t>
      </w:r>
      <w:r w:rsidRPr="006771EF">
        <w:rPr>
          <w:i/>
          <w:sz w:val="20"/>
          <w:szCs w:val="20"/>
        </w:rPr>
        <w:t>, CIO</w:t>
      </w:r>
    </w:p>
    <w:p w14:paraId="0FA83643" w14:textId="77777777" w:rsidR="0015032A" w:rsidRDefault="0015032A" w:rsidP="00C04C9B">
      <w:pPr>
        <w:widowControl/>
        <w:spacing w:line="312" w:lineRule="auto"/>
        <w:rPr>
          <w:rFonts w:eastAsiaTheme="minorEastAsia"/>
          <w:b/>
          <w:color w:val="5B9BD5" w:themeColor="accent1"/>
          <w:spacing w:val="15"/>
          <w:lang w:eastAsia="zh-CN"/>
        </w:rPr>
      </w:pPr>
      <w:r>
        <w:rPr>
          <w:lang w:eastAsia="zh-CN"/>
        </w:rPr>
        <w:br w:type="page"/>
      </w:r>
    </w:p>
    <w:p w14:paraId="433651ED" w14:textId="77777777" w:rsidR="0015032A" w:rsidRPr="00BF3830" w:rsidRDefault="0015032A">
      <w:pPr>
        <w:pStyle w:val="Heading1"/>
        <w:spacing w:before="360"/>
        <w:rPr>
          <w:sz w:val="24"/>
          <w:szCs w:val="24"/>
          <w:lang w:eastAsia="zh-CN"/>
        </w:rPr>
      </w:pPr>
      <w:bookmarkStart w:id="8" w:name="_Toc517159290"/>
      <w:bookmarkStart w:id="9" w:name="_Toc13642400"/>
      <w:r>
        <w:rPr>
          <w:sz w:val="24"/>
          <w:szCs w:val="24"/>
          <w:lang w:eastAsia="zh-CN"/>
        </w:rPr>
        <w:lastRenderedPageBreak/>
        <w:t>Team Updates</w:t>
      </w:r>
      <w:bookmarkEnd w:id="8"/>
      <w:bookmarkEnd w:id="9"/>
    </w:p>
    <w:p w14:paraId="15F1C3AC" w14:textId="77777777" w:rsidR="0015032A" w:rsidRPr="00AB58A2" w:rsidRDefault="0015032A">
      <w:pPr>
        <w:pStyle w:val="Heading3"/>
        <w:rPr>
          <w:lang w:eastAsia="zh-CN"/>
        </w:rPr>
      </w:pPr>
      <w:bookmarkStart w:id="10" w:name="_Toc517159291"/>
      <w:bookmarkStart w:id="11" w:name="_Toc13642401"/>
      <w:r w:rsidRPr="00AB58A2">
        <w:rPr>
          <w:lang w:eastAsia="zh-CN"/>
        </w:rPr>
        <w:t xml:space="preserve">Active Australian Equities </w:t>
      </w:r>
      <w:r>
        <w:rPr>
          <w:lang w:eastAsia="zh-CN"/>
        </w:rPr>
        <w:t xml:space="preserve">(AAE) </w:t>
      </w:r>
      <w:r w:rsidRPr="00AB58A2">
        <w:rPr>
          <w:lang w:eastAsia="zh-CN"/>
        </w:rPr>
        <w:t>Team</w:t>
      </w:r>
      <w:bookmarkEnd w:id="10"/>
      <w:bookmarkEnd w:id="11"/>
    </w:p>
    <w:p w14:paraId="63E1F3EA" w14:textId="4D06A9F4" w:rsidR="0015032A" w:rsidRPr="000200D2" w:rsidRDefault="0015032A" w:rsidP="005E089A">
      <w:pPr>
        <w:widowControl/>
        <w:spacing w:before="180" w:after="180"/>
        <w:rPr>
          <w:sz w:val="20"/>
          <w:szCs w:val="20"/>
        </w:rPr>
      </w:pPr>
      <w:r w:rsidRPr="000200D2">
        <w:rPr>
          <w:sz w:val="20"/>
          <w:szCs w:val="20"/>
        </w:rPr>
        <w:t xml:space="preserve">The AAE team is pleased to announce our achievements </w:t>
      </w:r>
      <w:r w:rsidR="007F3AA7">
        <w:rPr>
          <w:sz w:val="20"/>
          <w:szCs w:val="20"/>
        </w:rPr>
        <w:t>in</w:t>
      </w:r>
      <w:r w:rsidRPr="000200D2">
        <w:rPr>
          <w:sz w:val="20"/>
          <w:szCs w:val="20"/>
        </w:rPr>
        <w:t xml:space="preserve"> the AAE portfolio throughout the semester.</w:t>
      </w:r>
      <w:r w:rsidR="00FE03B2">
        <w:rPr>
          <w:sz w:val="20"/>
          <w:szCs w:val="20"/>
        </w:rPr>
        <w:t xml:space="preserve"> </w:t>
      </w:r>
      <w:r w:rsidR="005F3380">
        <w:rPr>
          <w:sz w:val="20"/>
          <w:szCs w:val="20"/>
        </w:rPr>
        <w:t xml:space="preserve">Through </w:t>
      </w:r>
      <w:r w:rsidRPr="000200D2">
        <w:rPr>
          <w:sz w:val="20"/>
          <w:szCs w:val="20"/>
        </w:rPr>
        <w:t xml:space="preserve">continuous implementation of the AAE Investment Process </w:t>
      </w:r>
      <w:r w:rsidR="005F3380">
        <w:rPr>
          <w:sz w:val="20"/>
          <w:szCs w:val="20"/>
        </w:rPr>
        <w:t>(</w:t>
      </w:r>
      <w:r w:rsidRPr="000200D2">
        <w:rPr>
          <w:sz w:val="20"/>
          <w:szCs w:val="20"/>
        </w:rPr>
        <w:t xml:space="preserve">IP), 20 candidate stock reports and six in-depth stock analyses have been </w:t>
      </w:r>
      <w:r w:rsidR="005F3380">
        <w:rPr>
          <w:sz w:val="20"/>
          <w:szCs w:val="20"/>
        </w:rPr>
        <w:t xml:space="preserve">completed </w:t>
      </w:r>
      <w:r w:rsidRPr="000200D2">
        <w:rPr>
          <w:sz w:val="20"/>
          <w:szCs w:val="20"/>
        </w:rPr>
        <w:t>after the initialisation screening (stock filter)</w:t>
      </w:r>
      <w:r w:rsidR="005F3380">
        <w:rPr>
          <w:sz w:val="20"/>
          <w:szCs w:val="20"/>
        </w:rPr>
        <w:t xml:space="preserve"> stage</w:t>
      </w:r>
      <w:r w:rsidRPr="000200D2">
        <w:rPr>
          <w:sz w:val="20"/>
          <w:szCs w:val="20"/>
        </w:rPr>
        <w:t xml:space="preserve">. </w:t>
      </w:r>
      <w:r w:rsidR="0022709F">
        <w:rPr>
          <w:sz w:val="20"/>
          <w:szCs w:val="20"/>
        </w:rPr>
        <w:t>T</w:t>
      </w:r>
      <w:r w:rsidRPr="000200D2">
        <w:rPr>
          <w:sz w:val="20"/>
          <w:szCs w:val="20"/>
        </w:rPr>
        <w:t>wo stock recommendations</w:t>
      </w:r>
      <w:r w:rsidR="0022709F">
        <w:rPr>
          <w:sz w:val="20"/>
          <w:szCs w:val="20"/>
        </w:rPr>
        <w:t xml:space="preserve"> put forward by the AAE team</w:t>
      </w:r>
      <w:r w:rsidRPr="000200D2">
        <w:rPr>
          <w:sz w:val="20"/>
          <w:szCs w:val="20"/>
        </w:rPr>
        <w:t xml:space="preserve"> have been endorsed by the IAC</w:t>
      </w:r>
      <w:r w:rsidR="0022709F">
        <w:rPr>
          <w:sz w:val="20"/>
          <w:szCs w:val="20"/>
        </w:rPr>
        <w:t xml:space="preserve"> this semester</w:t>
      </w:r>
      <w:r w:rsidR="007F3AA7">
        <w:rPr>
          <w:sz w:val="20"/>
          <w:szCs w:val="20"/>
        </w:rPr>
        <w:t xml:space="preserve">: </w:t>
      </w:r>
      <w:r w:rsidRPr="000200D2">
        <w:rPr>
          <w:sz w:val="20"/>
          <w:szCs w:val="20"/>
        </w:rPr>
        <w:t>Inghams Group (ING)</w:t>
      </w:r>
      <w:r w:rsidR="007F5E48">
        <w:rPr>
          <w:sz w:val="20"/>
          <w:szCs w:val="20"/>
        </w:rPr>
        <w:t xml:space="preserve"> and </w:t>
      </w:r>
      <w:r w:rsidRPr="000200D2">
        <w:rPr>
          <w:sz w:val="20"/>
          <w:szCs w:val="20"/>
        </w:rPr>
        <w:t>Westpac</w:t>
      </w:r>
      <w:r w:rsidR="007F5E48">
        <w:rPr>
          <w:sz w:val="20"/>
          <w:szCs w:val="20"/>
        </w:rPr>
        <w:t xml:space="preserve"> Banking Corporation</w:t>
      </w:r>
      <w:r w:rsidRPr="000200D2">
        <w:rPr>
          <w:sz w:val="20"/>
          <w:szCs w:val="20"/>
        </w:rPr>
        <w:t xml:space="preserve"> (WBC). As at </w:t>
      </w:r>
      <w:r w:rsidR="00DB7B17" w:rsidRPr="00C93436">
        <w:rPr>
          <w:sz w:val="20"/>
          <w:szCs w:val="20"/>
        </w:rPr>
        <w:t>21 June</w:t>
      </w:r>
      <w:r w:rsidRPr="00C93436">
        <w:rPr>
          <w:sz w:val="20"/>
          <w:szCs w:val="20"/>
        </w:rPr>
        <w:t xml:space="preserve"> 2019</w:t>
      </w:r>
      <w:r w:rsidRPr="000200D2">
        <w:rPr>
          <w:sz w:val="20"/>
          <w:szCs w:val="20"/>
        </w:rPr>
        <w:t xml:space="preserve">, there is </w:t>
      </w:r>
      <w:r w:rsidR="007F5E48">
        <w:rPr>
          <w:sz w:val="20"/>
          <w:szCs w:val="20"/>
        </w:rPr>
        <w:t>a</w:t>
      </w:r>
      <w:r w:rsidRPr="000200D2">
        <w:rPr>
          <w:sz w:val="20"/>
          <w:szCs w:val="20"/>
        </w:rPr>
        <w:t xml:space="preserve"> </w:t>
      </w:r>
      <w:r w:rsidR="00DB7B17" w:rsidRPr="00C93436">
        <w:rPr>
          <w:sz w:val="20"/>
          <w:szCs w:val="20"/>
        </w:rPr>
        <w:t>40.1</w:t>
      </w:r>
      <w:r w:rsidRPr="00C93436">
        <w:rPr>
          <w:sz w:val="20"/>
          <w:szCs w:val="20"/>
        </w:rPr>
        <w:t>%</w:t>
      </w:r>
      <w:r w:rsidRPr="000200D2">
        <w:rPr>
          <w:sz w:val="20"/>
          <w:szCs w:val="20"/>
        </w:rPr>
        <w:t xml:space="preserve"> active stock position in the AAE portfolio. All the stocks </w:t>
      </w:r>
      <w:r w:rsidR="00374714">
        <w:rPr>
          <w:sz w:val="20"/>
          <w:szCs w:val="20"/>
        </w:rPr>
        <w:t xml:space="preserve">held </w:t>
      </w:r>
      <w:r w:rsidRPr="000200D2">
        <w:rPr>
          <w:sz w:val="20"/>
          <w:szCs w:val="20"/>
        </w:rPr>
        <w:t xml:space="preserve">have been reassessed and will be monitored </w:t>
      </w:r>
      <w:r w:rsidR="007F3AA7">
        <w:rPr>
          <w:sz w:val="20"/>
          <w:szCs w:val="20"/>
        </w:rPr>
        <w:t>on</w:t>
      </w:r>
      <w:r w:rsidR="007F3AA7" w:rsidRPr="000200D2">
        <w:rPr>
          <w:sz w:val="20"/>
          <w:szCs w:val="20"/>
        </w:rPr>
        <w:t xml:space="preserve"> </w:t>
      </w:r>
      <w:r w:rsidRPr="000200D2">
        <w:rPr>
          <w:sz w:val="20"/>
          <w:szCs w:val="20"/>
        </w:rPr>
        <w:t xml:space="preserve">an ongoing basis. </w:t>
      </w:r>
    </w:p>
    <w:p w14:paraId="6E574E9E" w14:textId="700D860E" w:rsidR="0015032A" w:rsidRPr="000200D2" w:rsidRDefault="0015032A" w:rsidP="005E089A">
      <w:pPr>
        <w:widowControl/>
        <w:spacing w:before="180" w:after="180"/>
        <w:rPr>
          <w:sz w:val="20"/>
          <w:szCs w:val="20"/>
        </w:rPr>
      </w:pPr>
      <w:r w:rsidRPr="000200D2">
        <w:rPr>
          <w:sz w:val="20"/>
          <w:szCs w:val="20"/>
        </w:rPr>
        <w:t xml:space="preserve">This semester has been challenging for the team, especially </w:t>
      </w:r>
      <w:r w:rsidR="007F3AA7">
        <w:rPr>
          <w:sz w:val="20"/>
          <w:szCs w:val="20"/>
        </w:rPr>
        <w:t>in light of</w:t>
      </w:r>
      <w:r w:rsidR="007F3AA7" w:rsidRPr="000200D2">
        <w:rPr>
          <w:sz w:val="20"/>
          <w:szCs w:val="20"/>
        </w:rPr>
        <w:t xml:space="preserve"> </w:t>
      </w:r>
      <w:r w:rsidRPr="000200D2">
        <w:rPr>
          <w:sz w:val="20"/>
          <w:szCs w:val="20"/>
        </w:rPr>
        <w:t xml:space="preserve">the underperformance of </w:t>
      </w:r>
      <w:r w:rsidR="00E14AE4">
        <w:rPr>
          <w:sz w:val="20"/>
          <w:szCs w:val="20"/>
        </w:rPr>
        <w:t xml:space="preserve">Bingo </w:t>
      </w:r>
      <w:r w:rsidRPr="000200D2">
        <w:rPr>
          <w:sz w:val="20"/>
          <w:szCs w:val="20"/>
        </w:rPr>
        <w:t xml:space="preserve">after purchase. The team </w:t>
      </w:r>
      <w:r w:rsidR="0022709F">
        <w:rPr>
          <w:sz w:val="20"/>
          <w:szCs w:val="20"/>
        </w:rPr>
        <w:t xml:space="preserve">reviewed </w:t>
      </w:r>
      <w:r w:rsidR="00E14AE4">
        <w:rPr>
          <w:sz w:val="20"/>
          <w:szCs w:val="20"/>
        </w:rPr>
        <w:t xml:space="preserve">Bingo </w:t>
      </w:r>
      <w:r w:rsidRPr="000200D2">
        <w:rPr>
          <w:sz w:val="20"/>
          <w:szCs w:val="20"/>
        </w:rPr>
        <w:t xml:space="preserve">and subsequently </w:t>
      </w:r>
      <w:r w:rsidR="007F5E48">
        <w:rPr>
          <w:sz w:val="20"/>
          <w:szCs w:val="20"/>
        </w:rPr>
        <w:t xml:space="preserve">recommended a reduction in target weight </w:t>
      </w:r>
      <w:r w:rsidRPr="000200D2">
        <w:rPr>
          <w:sz w:val="20"/>
          <w:szCs w:val="20"/>
        </w:rPr>
        <w:t>based on detailed analysis and in-depth discussion</w:t>
      </w:r>
      <w:r w:rsidR="007F5E48">
        <w:rPr>
          <w:sz w:val="20"/>
          <w:szCs w:val="20"/>
        </w:rPr>
        <w:t xml:space="preserve"> within the Fund</w:t>
      </w:r>
      <w:r w:rsidRPr="000200D2">
        <w:rPr>
          <w:sz w:val="20"/>
          <w:szCs w:val="20"/>
        </w:rPr>
        <w:t>. It is a hard lesson to learn but also a golden opportunity to provide the team with more insights within the waste management industry</w:t>
      </w:r>
      <w:r w:rsidR="007F3AA7">
        <w:rPr>
          <w:sz w:val="20"/>
          <w:szCs w:val="20"/>
        </w:rPr>
        <w:t>. It</w:t>
      </w:r>
      <w:r w:rsidRPr="000200D2">
        <w:rPr>
          <w:sz w:val="20"/>
          <w:szCs w:val="20"/>
        </w:rPr>
        <w:t xml:space="preserve"> </w:t>
      </w:r>
      <w:r w:rsidR="005367E6">
        <w:rPr>
          <w:sz w:val="20"/>
          <w:szCs w:val="20"/>
        </w:rPr>
        <w:t xml:space="preserve">reiterated the </w:t>
      </w:r>
      <w:r w:rsidR="007F3AA7">
        <w:rPr>
          <w:sz w:val="20"/>
          <w:szCs w:val="20"/>
        </w:rPr>
        <w:t xml:space="preserve">vital </w:t>
      </w:r>
      <w:r w:rsidR="005367E6">
        <w:rPr>
          <w:sz w:val="20"/>
          <w:szCs w:val="20"/>
        </w:rPr>
        <w:t xml:space="preserve">importance of thorough research in our recommendations. </w:t>
      </w:r>
      <w:r w:rsidR="007F3AA7">
        <w:rPr>
          <w:sz w:val="20"/>
          <w:szCs w:val="20"/>
        </w:rPr>
        <w:t>Through this experience</w:t>
      </w:r>
      <w:r w:rsidRPr="000200D2">
        <w:rPr>
          <w:sz w:val="20"/>
          <w:szCs w:val="20"/>
        </w:rPr>
        <w:t>, the team is now in a better position to take on any challenges in the future.</w:t>
      </w:r>
    </w:p>
    <w:p w14:paraId="266FF1D8" w14:textId="3173F7B1" w:rsidR="0015032A" w:rsidRPr="000200D2" w:rsidRDefault="0015032A" w:rsidP="005E089A">
      <w:pPr>
        <w:widowControl/>
        <w:spacing w:before="180" w:after="180"/>
        <w:rPr>
          <w:sz w:val="20"/>
          <w:szCs w:val="20"/>
        </w:rPr>
      </w:pPr>
      <w:r w:rsidRPr="000200D2">
        <w:rPr>
          <w:sz w:val="20"/>
          <w:szCs w:val="20"/>
        </w:rPr>
        <w:t>The team extend</w:t>
      </w:r>
      <w:r w:rsidR="007F3AA7">
        <w:rPr>
          <w:sz w:val="20"/>
          <w:szCs w:val="20"/>
        </w:rPr>
        <w:t>s</w:t>
      </w:r>
      <w:r w:rsidRPr="000200D2">
        <w:rPr>
          <w:sz w:val="20"/>
          <w:szCs w:val="20"/>
        </w:rPr>
        <w:t xml:space="preserve"> our sincere gratitude to all the industry practitioners who have provided us with valuable </w:t>
      </w:r>
      <w:r w:rsidR="005367E6">
        <w:rPr>
          <w:sz w:val="20"/>
          <w:szCs w:val="20"/>
        </w:rPr>
        <w:t xml:space="preserve">advice </w:t>
      </w:r>
      <w:r w:rsidRPr="000200D2">
        <w:rPr>
          <w:sz w:val="20"/>
          <w:szCs w:val="20"/>
        </w:rPr>
        <w:t xml:space="preserve">on improving </w:t>
      </w:r>
      <w:r w:rsidR="007F3AA7">
        <w:rPr>
          <w:sz w:val="20"/>
          <w:szCs w:val="20"/>
        </w:rPr>
        <w:t>our</w:t>
      </w:r>
      <w:r w:rsidRPr="000200D2">
        <w:rPr>
          <w:sz w:val="20"/>
          <w:szCs w:val="20"/>
        </w:rPr>
        <w:t xml:space="preserve"> investment process. </w:t>
      </w:r>
      <w:r w:rsidR="007F3AA7">
        <w:rPr>
          <w:sz w:val="20"/>
          <w:szCs w:val="20"/>
        </w:rPr>
        <w:t>In addition to implementing</w:t>
      </w:r>
      <w:r w:rsidRPr="000200D2">
        <w:rPr>
          <w:sz w:val="20"/>
          <w:szCs w:val="20"/>
        </w:rPr>
        <w:t xml:space="preserve"> clustering analysis, developing</w:t>
      </w:r>
      <w:r w:rsidR="005367E6">
        <w:rPr>
          <w:sz w:val="20"/>
          <w:szCs w:val="20"/>
        </w:rPr>
        <w:t xml:space="preserve"> a</w:t>
      </w:r>
      <w:r w:rsidRPr="000200D2">
        <w:rPr>
          <w:sz w:val="20"/>
          <w:szCs w:val="20"/>
        </w:rPr>
        <w:t xml:space="preserve"> qualitative stock filter </w:t>
      </w:r>
      <w:r w:rsidR="005367E6">
        <w:rPr>
          <w:sz w:val="20"/>
          <w:szCs w:val="20"/>
        </w:rPr>
        <w:t xml:space="preserve">and </w:t>
      </w:r>
      <w:r w:rsidRPr="000200D2">
        <w:rPr>
          <w:sz w:val="20"/>
          <w:szCs w:val="20"/>
        </w:rPr>
        <w:t xml:space="preserve">improving the </w:t>
      </w:r>
      <w:r w:rsidR="007F3AA7">
        <w:rPr>
          <w:sz w:val="20"/>
          <w:szCs w:val="20"/>
        </w:rPr>
        <w:t>existing</w:t>
      </w:r>
      <w:r w:rsidR="007F3AA7" w:rsidRPr="000200D2">
        <w:rPr>
          <w:sz w:val="20"/>
          <w:szCs w:val="20"/>
        </w:rPr>
        <w:t xml:space="preserve"> </w:t>
      </w:r>
      <w:r w:rsidRPr="000200D2">
        <w:rPr>
          <w:sz w:val="20"/>
          <w:szCs w:val="20"/>
        </w:rPr>
        <w:t xml:space="preserve">quantitative stock filter, the team has </w:t>
      </w:r>
      <w:r w:rsidR="005367E6">
        <w:rPr>
          <w:sz w:val="20"/>
          <w:szCs w:val="20"/>
        </w:rPr>
        <w:t>created various valuation models for com</w:t>
      </w:r>
      <w:r w:rsidRPr="000200D2">
        <w:rPr>
          <w:sz w:val="20"/>
          <w:szCs w:val="20"/>
        </w:rPr>
        <w:t xml:space="preserve">panies with </w:t>
      </w:r>
      <w:r w:rsidR="005367E6">
        <w:rPr>
          <w:sz w:val="20"/>
          <w:szCs w:val="20"/>
        </w:rPr>
        <w:t xml:space="preserve">unique </w:t>
      </w:r>
      <w:r w:rsidRPr="000200D2">
        <w:rPr>
          <w:sz w:val="20"/>
          <w:szCs w:val="20"/>
        </w:rPr>
        <w:t>characteristics</w:t>
      </w:r>
      <w:r w:rsidR="005367E6">
        <w:rPr>
          <w:sz w:val="20"/>
          <w:szCs w:val="20"/>
        </w:rPr>
        <w:t xml:space="preserve"> </w:t>
      </w:r>
      <w:r w:rsidR="007F3AA7">
        <w:rPr>
          <w:sz w:val="20"/>
          <w:szCs w:val="20"/>
        </w:rPr>
        <w:t>and upgraded the standard</w:t>
      </w:r>
      <w:r w:rsidRPr="000200D2">
        <w:rPr>
          <w:sz w:val="20"/>
          <w:szCs w:val="20"/>
        </w:rPr>
        <w:t xml:space="preserve"> </w:t>
      </w:r>
      <w:r w:rsidR="006815AF">
        <w:rPr>
          <w:sz w:val="20"/>
          <w:szCs w:val="20"/>
        </w:rPr>
        <w:t>Discounted Cash Flow (</w:t>
      </w:r>
      <w:r w:rsidRPr="000200D2">
        <w:rPr>
          <w:sz w:val="20"/>
          <w:szCs w:val="20"/>
        </w:rPr>
        <w:t>DCF</w:t>
      </w:r>
      <w:r w:rsidR="006815AF">
        <w:rPr>
          <w:sz w:val="20"/>
          <w:szCs w:val="20"/>
        </w:rPr>
        <w:t>)</w:t>
      </w:r>
      <w:r w:rsidRPr="000200D2">
        <w:rPr>
          <w:sz w:val="20"/>
          <w:szCs w:val="20"/>
        </w:rPr>
        <w:t xml:space="preserve"> valuation model. We </w:t>
      </w:r>
      <w:r w:rsidR="007F3AA7">
        <w:rPr>
          <w:sz w:val="20"/>
          <w:szCs w:val="20"/>
        </w:rPr>
        <w:t>are passionate</w:t>
      </w:r>
      <w:r w:rsidRPr="000200D2">
        <w:rPr>
          <w:sz w:val="20"/>
          <w:szCs w:val="20"/>
        </w:rPr>
        <w:t xml:space="preserve"> in our work to extensively improve valuation efficiency, which will ultimately benefit the </w:t>
      </w:r>
      <w:r w:rsidR="005367E6">
        <w:rPr>
          <w:sz w:val="20"/>
          <w:szCs w:val="20"/>
        </w:rPr>
        <w:t>F</w:t>
      </w:r>
      <w:r w:rsidRPr="000200D2">
        <w:rPr>
          <w:sz w:val="20"/>
          <w:szCs w:val="20"/>
        </w:rPr>
        <w:t xml:space="preserve">und’s legacy. More supporting documents have been created and provided for </w:t>
      </w:r>
      <w:r w:rsidR="005367E6">
        <w:rPr>
          <w:sz w:val="20"/>
          <w:szCs w:val="20"/>
        </w:rPr>
        <w:t xml:space="preserve">the benefit of </w:t>
      </w:r>
      <w:r w:rsidRPr="000200D2">
        <w:rPr>
          <w:sz w:val="20"/>
          <w:szCs w:val="20"/>
        </w:rPr>
        <w:t xml:space="preserve">future </w:t>
      </w:r>
      <w:r w:rsidR="005367E6">
        <w:rPr>
          <w:sz w:val="20"/>
          <w:szCs w:val="20"/>
        </w:rPr>
        <w:t xml:space="preserve">cohorts </w:t>
      </w:r>
      <w:r w:rsidRPr="000200D2">
        <w:rPr>
          <w:sz w:val="20"/>
          <w:szCs w:val="20"/>
        </w:rPr>
        <w:t xml:space="preserve">as </w:t>
      </w:r>
      <w:r w:rsidR="007159E5">
        <w:rPr>
          <w:sz w:val="20"/>
          <w:szCs w:val="20"/>
        </w:rPr>
        <w:t>a result</w:t>
      </w:r>
      <w:r w:rsidRPr="000200D2">
        <w:rPr>
          <w:sz w:val="20"/>
          <w:szCs w:val="20"/>
        </w:rPr>
        <w:t>.</w:t>
      </w:r>
    </w:p>
    <w:p w14:paraId="2F9DBB6B" w14:textId="09A3D7F2" w:rsidR="0015032A" w:rsidRPr="000200D2" w:rsidRDefault="0015032A" w:rsidP="005E089A">
      <w:pPr>
        <w:widowControl/>
        <w:spacing w:before="180" w:after="180"/>
        <w:rPr>
          <w:sz w:val="20"/>
          <w:szCs w:val="20"/>
        </w:rPr>
      </w:pPr>
      <w:r w:rsidRPr="000200D2">
        <w:rPr>
          <w:sz w:val="20"/>
          <w:szCs w:val="20"/>
        </w:rPr>
        <w:t>With the contin</w:t>
      </w:r>
      <w:r w:rsidR="007159E5">
        <w:rPr>
          <w:sz w:val="20"/>
          <w:szCs w:val="20"/>
        </w:rPr>
        <w:t>ued</w:t>
      </w:r>
      <w:r w:rsidRPr="000200D2">
        <w:rPr>
          <w:sz w:val="20"/>
          <w:szCs w:val="20"/>
        </w:rPr>
        <w:t xml:space="preserve"> expansion of our team, we formed a new structure </w:t>
      </w:r>
      <w:r w:rsidR="00374714">
        <w:rPr>
          <w:sz w:val="20"/>
          <w:szCs w:val="20"/>
        </w:rPr>
        <w:t>under</w:t>
      </w:r>
      <w:r w:rsidR="005367E6">
        <w:rPr>
          <w:sz w:val="20"/>
          <w:szCs w:val="20"/>
        </w:rPr>
        <w:t xml:space="preserve"> </w:t>
      </w:r>
      <w:r w:rsidR="007159E5">
        <w:rPr>
          <w:sz w:val="20"/>
          <w:szCs w:val="20"/>
        </w:rPr>
        <w:t xml:space="preserve">which </w:t>
      </w:r>
      <w:r w:rsidRPr="000200D2">
        <w:rPr>
          <w:sz w:val="20"/>
          <w:szCs w:val="20"/>
        </w:rPr>
        <w:t xml:space="preserve">each analyst </w:t>
      </w:r>
      <w:r w:rsidR="007159E5">
        <w:rPr>
          <w:sz w:val="20"/>
          <w:szCs w:val="20"/>
        </w:rPr>
        <w:t xml:space="preserve">is assigned </w:t>
      </w:r>
      <w:r w:rsidRPr="000200D2">
        <w:rPr>
          <w:sz w:val="20"/>
          <w:szCs w:val="20"/>
        </w:rPr>
        <w:t xml:space="preserve">to </w:t>
      </w:r>
      <w:r w:rsidR="007159E5">
        <w:rPr>
          <w:sz w:val="20"/>
          <w:szCs w:val="20"/>
        </w:rPr>
        <w:t>a</w:t>
      </w:r>
      <w:r w:rsidRPr="000200D2">
        <w:rPr>
          <w:sz w:val="20"/>
          <w:szCs w:val="20"/>
        </w:rPr>
        <w:t xml:space="preserve"> </w:t>
      </w:r>
      <w:r w:rsidR="007159E5">
        <w:rPr>
          <w:sz w:val="20"/>
          <w:szCs w:val="20"/>
        </w:rPr>
        <w:t>particular</w:t>
      </w:r>
      <w:r w:rsidR="007159E5" w:rsidRPr="000200D2">
        <w:rPr>
          <w:sz w:val="20"/>
          <w:szCs w:val="20"/>
        </w:rPr>
        <w:t xml:space="preserve"> </w:t>
      </w:r>
      <w:r w:rsidRPr="000200D2">
        <w:rPr>
          <w:sz w:val="20"/>
          <w:szCs w:val="20"/>
        </w:rPr>
        <w:t>industr</w:t>
      </w:r>
      <w:r w:rsidR="007159E5">
        <w:rPr>
          <w:sz w:val="20"/>
          <w:szCs w:val="20"/>
        </w:rPr>
        <w:t>y. In doing so, we aim</w:t>
      </w:r>
      <w:r w:rsidRPr="000200D2">
        <w:rPr>
          <w:sz w:val="20"/>
          <w:szCs w:val="20"/>
        </w:rPr>
        <w:t xml:space="preserve"> to </w:t>
      </w:r>
      <w:r w:rsidR="005367E6">
        <w:rPr>
          <w:sz w:val="20"/>
          <w:szCs w:val="20"/>
        </w:rPr>
        <w:t>increase efficiency and develop more in</w:t>
      </w:r>
      <w:r w:rsidR="0022709F">
        <w:rPr>
          <w:sz w:val="20"/>
          <w:szCs w:val="20"/>
        </w:rPr>
        <w:t>-</w:t>
      </w:r>
      <w:r w:rsidR="005367E6">
        <w:rPr>
          <w:sz w:val="20"/>
          <w:szCs w:val="20"/>
        </w:rPr>
        <w:t xml:space="preserve">depth knowledge of industry dynamics. </w:t>
      </w:r>
      <w:r w:rsidRPr="000200D2">
        <w:rPr>
          <w:sz w:val="20"/>
          <w:szCs w:val="20"/>
        </w:rPr>
        <w:t xml:space="preserve">Over the semester we have also continued implementing the ‘buddy system’ </w:t>
      </w:r>
      <w:r w:rsidR="007159E5">
        <w:rPr>
          <w:sz w:val="20"/>
          <w:szCs w:val="20"/>
        </w:rPr>
        <w:t>to promote the Fund’s legacy</w:t>
      </w:r>
      <w:r w:rsidR="005C1793">
        <w:rPr>
          <w:sz w:val="20"/>
          <w:szCs w:val="20"/>
        </w:rPr>
        <w:t>,</w:t>
      </w:r>
      <w:r w:rsidR="005367E6">
        <w:rPr>
          <w:sz w:val="20"/>
          <w:szCs w:val="20"/>
        </w:rPr>
        <w:t xml:space="preserve"> by pairing each junior analyst with a s</w:t>
      </w:r>
      <w:r w:rsidRPr="000200D2">
        <w:rPr>
          <w:sz w:val="20"/>
          <w:szCs w:val="20"/>
        </w:rPr>
        <w:t xml:space="preserve">enior analyst to facilitate </w:t>
      </w:r>
      <w:r w:rsidR="005367E6">
        <w:rPr>
          <w:sz w:val="20"/>
          <w:szCs w:val="20"/>
        </w:rPr>
        <w:t xml:space="preserve">the </w:t>
      </w:r>
      <w:r w:rsidRPr="000200D2">
        <w:rPr>
          <w:sz w:val="20"/>
          <w:szCs w:val="20"/>
        </w:rPr>
        <w:t>transfer of knowledge and skills.</w:t>
      </w:r>
    </w:p>
    <w:p w14:paraId="325D1E25" w14:textId="09B6FD47" w:rsidR="00785FD5" w:rsidRPr="000200D2" w:rsidRDefault="0015032A" w:rsidP="005E089A">
      <w:pPr>
        <w:widowControl/>
        <w:spacing w:before="180" w:after="180"/>
        <w:rPr>
          <w:sz w:val="20"/>
          <w:szCs w:val="20"/>
        </w:rPr>
      </w:pPr>
      <w:r w:rsidRPr="000200D2">
        <w:rPr>
          <w:sz w:val="20"/>
          <w:szCs w:val="20"/>
        </w:rPr>
        <w:t xml:space="preserve">I would like </w:t>
      </w:r>
      <w:r w:rsidR="005367E6" w:rsidRPr="000200D2">
        <w:rPr>
          <w:sz w:val="20"/>
          <w:szCs w:val="20"/>
        </w:rPr>
        <w:t>to thank</w:t>
      </w:r>
      <w:r w:rsidRPr="000200D2">
        <w:rPr>
          <w:sz w:val="20"/>
          <w:szCs w:val="20"/>
        </w:rPr>
        <w:t xml:space="preserve"> all members </w:t>
      </w:r>
      <w:r w:rsidR="005367E6">
        <w:rPr>
          <w:sz w:val="20"/>
          <w:szCs w:val="20"/>
        </w:rPr>
        <w:t xml:space="preserve">of </w:t>
      </w:r>
      <w:r w:rsidRPr="000200D2">
        <w:rPr>
          <w:sz w:val="20"/>
          <w:szCs w:val="20"/>
        </w:rPr>
        <w:t>the AAE team for their brilliant work and effort over the semester.</w:t>
      </w:r>
      <w:r w:rsidR="00785FD5">
        <w:rPr>
          <w:sz w:val="20"/>
          <w:szCs w:val="20"/>
        </w:rPr>
        <w:t xml:space="preserve"> Next semester the AAE team welcomes four new junior analysts</w:t>
      </w:r>
      <w:r w:rsidR="00B70A28">
        <w:rPr>
          <w:sz w:val="20"/>
          <w:szCs w:val="20"/>
        </w:rPr>
        <w:t>:</w:t>
      </w:r>
      <w:r w:rsidR="00785FD5">
        <w:rPr>
          <w:sz w:val="20"/>
          <w:szCs w:val="20"/>
        </w:rPr>
        <w:t xml:space="preserve"> William Ranson-Smith, Todd O’Dea, </w:t>
      </w:r>
      <w:r w:rsidR="006815AF">
        <w:rPr>
          <w:sz w:val="20"/>
          <w:szCs w:val="20"/>
        </w:rPr>
        <w:t>Shengchang (</w:t>
      </w:r>
      <w:r w:rsidR="00785FD5">
        <w:rPr>
          <w:sz w:val="20"/>
          <w:szCs w:val="20"/>
        </w:rPr>
        <w:t>Albert</w:t>
      </w:r>
      <w:r w:rsidR="006815AF">
        <w:rPr>
          <w:sz w:val="20"/>
          <w:szCs w:val="20"/>
        </w:rPr>
        <w:t>)</w:t>
      </w:r>
      <w:r w:rsidR="00785FD5">
        <w:rPr>
          <w:sz w:val="20"/>
          <w:szCs w:val="20"/>
        </w:rPr>
        <w:t xml:space="preserve"> Zhang and </w:t>
      </w:r>
      <w:r w:rsidR="006815AF">
        <w:rPr>
          <w:sz w:val="20"/>
          <w:szCs w:val="20"/>
        </w:rPr>
        <w:t>Jia Jun (</w:t>
      </w:r>
      <w:r w:rsidR="00785FD5">
        <w:rPr>
          <w:sz w:val="20"/>
          <w:szCs w:val="20"/>
        </w:rPr>
        <w:t>Desmond</w:t>
      </w:r>
      <w:r w:rsidR="006815AF">
        <w:rPr>
          <w:sz w:val="20"/>
          <w:szCs w:val="20"/>
        </w:rPr>
        <w:t>)</w:t>
      </w:r>
      <w:r w:rsidR="00785FD5">
        <w:rPr>
          <w:sz w:val="20"/>
          <w:szCs w:val="20"/>
        </w:rPr>
        <w:t xml:space="preserve"> N</w:t>
      </w:r>
      <w:r w:rsidR="00C83261">
        <w:rPr>
          <w:sz w:val="20"/>
          <w:szCs w:val="20"/>
        </w:rPr>
        <w:t>g</w:t>
      </w:r>
      <w:r w:rsidR="00785FD5">
        <w:rPr>
          <w:sz w:val="20"/>
          <w:szCs w:val="20"/>
        </w:rPr>
        <w:t xml:space="preserve"> who </w:t>
      </w:r>
      <w:r w:rsidR="009C2A93">
        <w:rPr>
          <w:sz w:val="20"/>
          <w:szCs w:val="20"/>
        </w:rPr>
        <w:t xml:space="preserve">will continue the development of the AAE team and our ability to contribute to the Student Managed Fund. </w:t>
      </w:r>
    </w:p>
    <w:p w14:paraId="272B7361" w14:textId="6DEB3847" w:rsidR="0015032A" w:rsidRPr="00AB1473" w:rsidRDefault="0015032A" w:rsidP="00502FEE">
      <w:pPr>
        <w:spacing w:before="180"/>
        <w:rPr>
          <w:i/>
          <w:sz w:val="20"/>
          <w:szCs w:val="20"/>
        </w:rPr>
      </w:pPr>
      <w:r w:rsidRPr="000200D2">
        <w:rPr>
          <w:i/>
          <w:sz w:val="20"/>
          <w:szCs w:val="20"/>
        </w:rPr>
        <w:t>Chux</w:t>
      </w:r>
      <w:r w:rsidR="00AB1473">
        <w:rPr>
          <w:i/>
          <w:sz w:val="20"/>
          <w:szCs w:val="20"/>
        </w:rPr>
        <w:t>uan (Jessie) Jiang, Head of AAE</w:t>
      </w:r>
    </w:p>
    <w:p w14:paraId="48F6207C" w14:textId="77777777" w:rsidR="0015032A" w:rsidRPr="00AB58A2" w:rsidRDefault="0015032A" w:rsidP="00B70A28">
      <w:pPr>
        <w:pStyle w:val="Heading3"/>
        <w:spacing w:before="360"/>
        <w:rPr>
          <w:lang w:eastAsia="zh-CN"/>
        </w:rPr>
      </w:pPr>
      <w:bookmarkStart w:id="12" w:name="_Toc517159292"/>
      <w:bookmarkStart w:id="13" w:name="_Toc13642402"/>
      <w:r w:rsidRPr="00AB58A2">
        <w:rPr>
          <w:lang w:eastAsia="zh-CN"/>
        </w:rPr>
        <w:t>Asset Allocation</w:t>
      </w:r>
      <w:r>
        <w:rPr>
          <w:lang w:eastAsia="zh-CN"/>
        </w:rPr>
        <w:t xml:space="preserve"> (AA)</w:t>
      </w:r>
      <w:r w:rsidRPr="00AB58A2">
        <w:rPr>
          <w:lang w:eastAsia="zh-CN"/>
        </w:rPr>
        <w:t xml:space="preserve"> Team</w:t>
      </w:r>
      <w:bookmarkEnd w:id="12"/>
      <w:bookmarkEnd w:id="13"/>
    </w:p>
    <w:p w14:paraId="01E36894" w14:textId="58E1BE0E" w:rsidR="0015032A" w:rsidRPr="000200D2" w:rsidRDefault="0015032A" w:rsidP="005E089A">
      <w:pPr>
        <w:widowControl/>
        <w:spacing w:before="180" w:after="180"/>
        <w:rPr>
          <w:sz w:val="20"/>
          <w:szCs w:val="20"/>
        </w:rPr>
      </w:pPr>
      <w:r w:rsidRPr="000200D2">
        <w:rPr>
          <w:sz w:val="20"/>
          <w:szCs w:val="20"/>
        </w:rPr>
        <w:t>The AA team commenced with five members in Semester 1, 2019</w:t>
      </w:r>
      <w:r w:rsidR="005C1793">
        <w:rPr>
          <w:sz w:val="20"/>
          <w:szCs w:val="20"/>
        </w:rPr>
        <w:t xml:space="preserve">, expanding on the </w:t>
      </w:r>
      <w:r w:rsidRPr="000200D2">
        <w:rPr>
          <w:sz w:val="20"/>
          <w:szCs w:val="20"/>
        </w:rPr>
        <w:t xml:space="preserve">four members of Semester 2, 2018. Our key focus was towards completing the AA </w:t>
      </w:r>
      <w:r w:rsidR="00B70A28">
        <w:rPr>
          <w:sz w:val="20"/>
          <w:szCs w:val="20"/>
        </w:rPr>
        <w:t>investment process (</w:t>
      </w:r>
      <w:r w:rsidRPr="000200D2">
        <w:rPr>
          <w:sz w:val="20"/>
          <w:szCs w:val="20"/>
        </w:rPr>
        <w:t>IP</w:t>
      </w:r>
      <w:r w:rsidR="00B70A28">
        <w:rPr>
          <w:sz w:val="20"/>
          <w:szCs w:val="20"/>
        </w:rPr>
        <w:t>)</w:t>
      </w:r>
      <w:r w:rsidRPr="000200D2">
        <w:rPr>
          <w:sz w:val="20"/>
          <w:szCs w:val="20"/>
        </w:rPr>
        <w:t>.</w:t>
      </w:r>
      <w:r w:rsidR="009C2A93">
        <w:rPr>
          <w:sz w:val="20"/>
          <w:szCs w:val="20"/>
        </w:rPr>
        <w:t xml:space="preserve"> O</w:t>
      </w:r>
      <w:r w:rsidRPr="000200D2">
        <w:rPr>
          <w:sz w:val="20"/>
          <w:szCs w:val="20"/>
        </w:rPr>
        <w:t>verall, the development of IP documents was quite extensive. The team finalised its approach to scenario analysis</w:t>
      </w:r>
      <w:r w:rsidR="00860542">
        <w:rPr>
          <w:sz w:val="20"/>
          <w:szCs w:val="20"/>
        </w:rPr>
        <w:t>,</w:t>
      </w:r>
      <w:r w:rsidRPr="000200D2">
        <w:rPr>
          <w:sz w:val="20"/>
          <w:szCs w:val="20"/>
        </w:rPr>
        <w:t xml:space="preserve"> with supporting documents set-up to ensure </w:t>
      </w:r>
      <w:r w:rsidR="005367E6">
        <w:rPr>
          <w:sz w:val="20"/>
          <w:szCs w:val="20"/>
        </w:rPr>
        <w:t xml:space="preserve">effective transition to future cohorts in line with </w:t>
      </w:r>
      <w:r w:rsidR="00B70A28">
        <w:rPr>
          <w:sz w:val="20"/>
          <w:szCs w:val="20"/>
        </w:rPr>
        <w:t>the SMF core value of</w:t>
      </w:r>
      <w:r w:rsidR="005367E6">
        <w:rPr>
          <w:sz w:val="20"/>
          <w:szCs w:val="20"/>
        </w:rPr>
        <w:t xml:space="preserve"> </w:t>
      </w:r>
      <w:r w:rsidR="00B70A28">
        <w:rPr>
          <w:sz w:val="20"/>
          <w:szCs w:val="20"/>
        </w:rPr>
        <w:t>‘</w:t>
      </w:r>
      <w:r w:rsidRPr="000200D2">
        <w:rPr>
          <w:sz w:val="20"/>
          <w:szCs w:val="20"/>
        </w:rPr>
        <w:t>legacy</w:t>
      </w:r>
      <w:r w:rsidR="00B70A28">
        <w:rPr>
          <w:sz w:val="20"/>
          <w:szCs w:val="20"/>
        </w:rPr>
        <w:t>’</w:t>
      </w:r>
      <w:r w:rsidRPr="000200D2">
        <w:rPr>
          <w:sz w:val="20"/>
          <w:szCs w:val="20"/>
        </w:rPr>
        <w:t>. Adjustments were also made to asset</w:t>
      </w:r>
      <w:r w:rsidR="00B70A28">
        <w:rPr>
          <w:sz w:val="20"/>
          <w:szCs w:val="20"/>
        </w:rPr>
        <w:t xml:space="preserve"> </w:t>
      </w:r>
      <w:r w:rsidRPr="000200D2">
        <w:rPr>
          <w:sz w:val="20"/>
          <w:szCs w:val="20"/>
        </w:rPr>
        <w:t xml:space="preserve">class models and the utility function. The main work </w:t>
      </w:r>
      <w:r w:rsidR="00860542">
        <w:rPr>
          <w:sz w:val="20"/>
          <w:szCs w:val="20"/>
        </w:rPr>
        <w:t xml:space="preserve">that remains </w:t>
      </w:r>
      <w:r w:rsidR="00B70A28">
        <w:rPr>
          <w:sz w:val="20"/>
          <w:szCs w:val="20"/>
        </w:rPr>
        <w:t>is</w:t>
      </w:r>
      <w:r w:rsidRPr="000200D2">
        <w:rPr>
          <w:sz w:val="20"/>
          <w:szCs w:val="20"/>
        </w:rPr>
        <w:t xml:space="preserve"> to combine all documents in</w:t>
      </w:r>
      <w:r w:rsidR="003B7A87">
        <w:rPr>
          <w:sz w:val="20"/>
          <w:szCs w:val="20"/>
        </w:rPr>
        <w:t>to</w:t>
      </w:r>
      <w:r w:rsidRPr="000200D2">
        <w:rPr>
          <w:sz w:val="20"/>
          <w:szCs w:val="20"/>
        </w:rPr>
        <w:t xml:space="preserve"> a single IP. The AA team also worked collaboratively with the Risk &amp; Compliance</w:t>
      </w:r>
      <w:r w:rsidR="006F3507">
        <w:rPr>
          <w:sz w:val="20"/>
          <w:szCs w:val="20"/>
        </w:rPr>
        <w:t xml:space="preserve"> (R&amp;C)</w:t>
      </w:r>
      <w:r w:rsidRPr="000200D2">
        <w:rPr>
          <w:sz w:val="20"/>
          <w:szCs w:val="20"/>
        </w:rPr>
        <w:t xml:space="preserve"> </w:t>
      </w:r>
      <w:r w:rsidR="006F3507">
        <w:rPr>
          <w:sz w:val="20"/>
          <w:szCs w:val="20"/>
        </w:rPr>
        <w:t>t</w:t>
      </w:r>
      <w:r w:rsidRPr="000200D2">
        <w:rPr>
          <w:sz w:val="20"/>
          <w:szCs w:val="20"/>
        </w:rPr>
        <w:t xml:space="preserve">eam </w:t>
      </w:r>
      <w:r w:rsidR="009B757C">
        <w:rPr>
          <w:sz w:val="20"/>
          <w:szCs w:val="20"/>
        </w:rPr>
        <w:t>to</w:t>
      </w:r>
      <w:r w:rsidR="009B757C" w:rsidRPr="000200D2">
        <w:rPr>
          <w:sz w:val="20"/>
          <w:szCs w:val="20"/>
        </w:rPr>
        <w:t xml:space="preserve"> </w:t>
      </w:r>
      <w:r w:rsidRPr="000200D2">
        <w:rPr>
          <w:sz w:val="20"/>
          <w:szCs w:val="20"/>
        </w:rPr>
        <w:t>buil</w:t>
      </w:r>
      <w:r w:rsidR="009B757C">
        <w:rPr>
          <w:sz w:val="20"/>
          <w:szCs w:val="20"/>
        </w:rPr>
        <w:t>d</w:t>
      </w:r>
      <w:r w:rsidRPr="000200D2">
        <w:rPr>
          <w:sz w:val="20"/>
          <w:szCs w:val="20"/>
        </w:rPr>
        <w:t xml:space="preserve"> compliance process</w:t>
      </w:r>
      <w:r w:rsidR="006F3507">
        <w:rPr>
          <w:sz w:val="20"/>
          <w:szCs w:val="20"/>
        </w:rPr>
        <w:t>es</w:t>
      </w:r>
      <w:r w:rsidRPr="000200D2">
        <w:rPr>
          <w:sz w:val="20"/>
          <w:szCs w:val="20"/>
        </w:rPr>
        <w:t xml:space="preserve"> into </w:t>
      </w:r>
      <w:r w:rsidR="00D2673E">
        <w:rPr>
          <w:sz w:val="20"/>
          <w:szCs w:val="20"/>
        </w:rPr>
        <w:t>the</w:t>
      </w:r>
      <w:r w:rsidR="00D2673E" w:rsidRPr="000200D2">
        <w:rPr>
          <w:sz w:val="20"/>
          <w:szCs w:val="20"/>
        </w:rPr>
        <w:t xml:space="preserve"> </w:t>
      </w:r>
      <w:r w:rsidRPr="000200D2">
        <w:rPr>
          <w:sz w:val="20"/>
          <w:szCs w:val="20"/>
        </w:rPr>
        <w:t xml:space="preserve">IP </w:t>
      </w:r>
      <w:r w:rsidR="0027415C">
        <w:rPr>
          <w:sz w:val="20"/>
          <w:szCs w:val="20"/>
        </w:rPr>
        <w:t>for</w:t>
      </w:r>
      <w:r w:rsidR="0027415C" w:rsidRPr="000200D2">
        <w:rPr>
          <w:sz w:val="20"/>
          <w:szCs w:val="20"/>
        </w:rPr>
        <w:t xml:space="preserve"> </w:t>
      </w:r>
      <w:r w:rsidRPr="000200D2">
        <w:rPr>
          <w:sz w:val="20"/>
          <w:szCs w:val="20"/>
        </w:rPr>
        <w:t>monitor</w:t>
      </w:r>
      <w:r w:rsidR="0027415C">
        <w:rPr>
          <w:sz w:val="20"/>
          <w:szCs w:val="20"/>
        </w:rPr>
        <w:t>ing of</w:t>
      </w:r>
      <w:r w:rsidRPr="000200D2">
        <w:rPr>
          <w:sz w:val="20"/>
          <w:szCs w:val="20"/>
        </w:rPr>
        <w:t xml:space="preserve"> procedural and investment risk.</w:t>
      </w:r>
    </w:p>
    <w:p w14:paraId="184F05CD" w14:textId="6CB46985" w:rsidR="0015032A" w:rsidRPr="000200D2" w:rsidRDefault="0015032A" w:rsidP="005E089A">
      <w:pPr>
        <w:widowControl/>
        <w:spacing w:before="180" w:after="180"/>
        <w:rPr>
          <w:sz w:val="20"/>
          <w:szCs w:val="20"/>
        </w:rPr>
      </w:pPr>
      <w:r w:rsidRPr="000200D2">
        <w:rPr>
          <w:sz w:val="20"/>
          <w:szCs w:val="20"/>
        </w:rPr>
        <w:t xml:space="preserve">A central theme this semester has been </w:t>
      </w:r>
      <w:r w:rsidR="00EB66C5">
        <w:rPr>
          <w:sz w:val="20"/>
          <w:szCs w:val="20"/>
        </w:rPr>
        <w:t xml:space="preserve">that of </w:t>
      </w:r>
      <w:r w:rsidRPr="000200D2">
        <w:rPr>
          <w:sz w:val="20"/>
          <w:szCs w:val="20"/>
        </w:rPr>
        <w:t>reflection. During the semester, AA encountered many challenges in building on the legacy of prior cohorts. In</w:t>
      </w:r>
      <w:r w:rsidR="006870C2">
        <w:rPr>
          <w:sz w:val="20"/>
          <w:szCs w:val="20"/>
        </w:rPr>
        <w:t xml:space="preserve"> large</w:t>
      </w:r>
      <w:r w:rsidRPr="000200D2">
        <w:rPr>
          <w:sz w:val="20"/>
          <w:szCs w:val="20"/>
        </w:rPr>
        <w:t xml:space="preserve"> part, </w:t>
      </w:r>
      <w:r w:rsidR="006870C2">
        <w:rPr>
          <w:sz w:val="20"/>
          <w:szCs w:val="20"/>
        </w:rPr>
        <w:t>these reflected</w:t>
      </w:r>
      <w:r w:rsidRPr="000200D2">
        <w:rPr>
          <w:sz w:val="20"/>
          <w:szCs w:val="20"/>
        </w:rPr>
        <w:t xml:space="preserve"> the difficulty </w:t>
      </w:r>
      <w:r w:rsidR="006870C2">
        <w:rPr>
          <w:sz w:val="20"/>
          <w:szCs w:val="20"/>
        </w:rPr>
        <w:t>in</w:t>
      </w:r>
      <w:r w:rsidR="006870C2" w:rsidRPr="000200D2">
        <w:rPr>
          <w:sz w:val="20"/>
          <w:szCs w:val="20"/>
        </w:rPr>
        <w:t xml:space="preserve"> </w:t>
      </w:r>
      <w:r w:rsidRPr="000200D2">
        <w:rPr>
          <w:sz w:val="20"/>
          <w:szCs w:val="20"/>
        </w:rPr>
        <w:t>improv</w:t>
      </w:r>
      <w:r w:rsidR="006870C2">
        <w:rPr>
          <w:sz w:val="20"/>
          <w:szCs w:val="20"/>
        </w:rPr>
        <w:t>ing on sections of the</w:t>
      </w:r>
      <w:r w:rsidRPr="000200D2">
        <w:rPr>
          <w:sz w:val="20"/>
          <w:szCs w:val="20"/>
        </w:rPr>
        <w:t xml:space="preserve"> document without understanding the </w:t>
      </w:r>
      <w:r w:rsidR="006870C2">
        <w:rPr>
          <w:sz w:val="20"/>
          <w:szCs w:val="20"/>
        </w:rPr>
        <w:t>overarching principals behind the</w:t>
      </w:r>
      <w:r w:rsidRPr="000200D2">
        <w:rPr>
          <w:sz w:val="20"/>
          <w:szCs w:val="20"/>
        </w:rPr>
        <w:t xml:space="preserve"> IP as a whole. The lessons, and development of the team to address these weaknesses revolve</w:t>
      </w:r>
      <w:r w:rsidR="006870C2">
        <w:rPr>
          <w:sz w:val="20"/>
          <w:szCs w:val="20"/>
        </w:rPr>
        <w:t>d</w:t>
      </w:r>
      <w:r w:rsidRPr="000200D2">
        <w:rPr>
          <w:sz w:val="20"/>
          <w:szCs w:val="20"/>
        </w:rPr>
        <w:t xml:space="preserve"> </w:t>
      </w:r>
      <w:r w:rsidR="006870C2">
        <w:rPr>
          <w:sz w:val="20"/>
          <w:szCs w:val="20"/>
        </w:rPr>
        <w:t>around</w:t>
      </w:r>
      <w:r w:rsidR="006870C2" w:rsidRPr="000200D2">
        <w:rPr>
          <w:sz w:val="20"/>
          <w:szCs w:val="20"/>
        </w:rPr>
        <w:t xml:space="preserve"> </w:t>
      </w:r>
      <w:r w:rsidRPr="000200D2">
        <w:rPr>
          <w:sz w:val="20"/>
          <w:szCs w:val="20"/>
        </w:rPr>
        <w:t xml:space="preserve">two points: (1) </w:t>
      </w:r>
      <w:r w:rsidR="006870C2">
        <w:rPr>
          <w:sz w:val="20"/>
          <w:szCs w:val="20"/>
        </w:rPr>
        <w:t>i</w:t>
      </w:r>
      <w:r w:rsidRPr="000200D2">
        <w:rPr>
          <w:sz w:val="20"/>
          <w:szCs w:val="20"/>
        </w:rPr>
        <w:t>n every mistake there is the opportunity to learn and begin again; and</w:t>
      </w:r>
      <w:r w:rsidR="006F3507">
        <w:rPr>
          <w:sz w:val="20"/>
          <w:szCs w:val="20"/>
        </w:rPr>
        <w:t xml:space="preserve"> </w:t>
      </w:r>
      <w:r w:rsidRPr="000200D2">
        <w:rPr>
          <w:sz w:val="20"/>
          <w:szCs w:val="20"/>
        </w:rPr>
        <w:t xml:space="preserve">(2) </w:t>
      </w:r>
      <w:r w:rsidR="006870C2">
        <w:rPr>
          <w:sz w:val="20"/>
          <w:szCs w:val="20"/>
        </w:rPr>
        <w:t>q</w:t>
      </w:r>
      <w:r w:rsidRPr="000200D2">
        <w:rPr>
          <w:sz w:val="20"/>
          <w:szCs w:val="20"/>
        </w:rPr>
        <w:t>uality is an act developed over time.</w:t>
      </w:r>
    </w:p>
    <w:p w14:paraId="2A9E3C7E" w14:textId="3B37CB68" w:rsidR="0015032A" w:rsidRPr="000200D2" w:rsidRDefault="0015032A" w:rsidP="005E089A">
      <w:pPr>
        <w:widowControl/>
        <w:spacing w:before="180" w:after="180"/>
        <w:rPr>
          <w:sz w:val="20"/>
          <w:szCs w:val="20"/>
        </w:rPr>
      </w:pPr>
      <w:r w:rsidRPr="000200D2">
        <w:rPr>
          <w:sz w:val="20"/>
          <w:szCs w:val="20"/>
        </w:rPr>
        <w:t xml:space="preserve">Overall, the personal development of AA members this semester is a worthy accomplishment. As a team, we identified and addressed our weaknesses and made significant progress. Key lessons will be passed on to new analysts, to ensure </w:t>
      </w:r>
      <w:r w:rsidR="003E3B7B">
        <w:rPr>
          <w:sz w:val="20"/>
          <w:szCs w:val="20"/>
        </w:rPr>
        <w:t xml:space="preserve">the </w:t>
      </w:r>
      <w:r w:rsidRPr="000200D2">
        <w:rPr>
          <w:sz w:val="20"/>
          <w:szCs w:val="20"/>
        </w:rPr>
        <w:t xml:space="preserve">legacy and </w:t>
      </w:r>
      <w:r w:rsidR="003E3B7B">
        <w:rPr>
          <w:sz w:val="20"/>
          <w:szCs w:val="20"/>
        </w:rPr>
        <w:t>continued</w:t>
      </w:r>
      <w:r w:rsidR="003E3B7B" w:rsidRPr="000200D2">
        <w:rPr>
          <w:sz w:val="20"/>
          <w:szCs w:val="20"/>
        </w:rPr>
        <w:t xml:space="preserve"> </w:t>
      </w:r>
      <w:r w:rsidRPr="000200D2">
        <w:rPr>
          <w:sz w:val="20"/>
          <w:szCs w:val="20"/>
        </w:rPr>
        <w:t>development of the AA team within the SMF.</w:t>
      </w:r>
    </w:p>
    <w:p w14:paraId="13836CC1" w14:textId="0569C1F6" w:rsidR="0015032A" w:rsidRDefault="0015032A" w:rsidP="005E089A">
      <w:pPr>
        <w:widowControl/>
        <w:spacing w:before="180" w:after="180"/>
        <w:rPr>
          <w:sz w:val="20"/>
          <w:szCs w:val="20"/>
        </w:rPr>
      </w:pPr>
      <w:r w:rsidRPr="000200D2">
        <w:rPr>
          <w:sz w:val="20"/>
          <w:szCs w:val="20"/>
        </w:rPr>
        <w:t>The AA team welcomes</w:t>
      </w:r>
      <w:r w:rsidR="006F3507">
        <w:rPr>
          <w:sz w:val="20"/>
          <w:szCs w:val="20"/>
        </w:rPr>
        <w:t xml:space="preserve"> </w:t>
      </w:r>
      <w:r w:rsidR="006F3507" w:rsidRPr="006F3507">
        <w:rPr>
          <w:sz w:val="20"/>
          <w:szCs w:val="20"/>
        </w:rPr>
        <w:t>Rocky Lagudi</w:t>
      </w:r>
      <w:r w:rsidR="006F3507">
        <w:rPr>
          <w:sz w:val="20"/>
          <w:szCs w:val="20"/>
        </w:rPr>
        <w:t xml:space="preserve"> as a</w:t>
      </w:r>
      <w:r w:rsidRPr="000200D2">
        <w:rPr>
          <w:sz w:val="20"/>
          <w:szCs w:val="20"/>
        </w:rPr>
        <w:t xml:space="preserve"> junior</w:t>
      </w:r>
      <w:r>
        <w:rPr>
          <w:sz w:val="20"/>
          <w:szCs w:val="20"/>
        </w:rPr>
        <w:t xml:space="preserve"> analyst</w:t>
      </w:r>
      <w:r w:rsidR="006F3507">
        <w:rPr>
          <w:sz w:val="20"/>
          <w:szCs w:val="20"/>
        </w:rPr>
        <w:t xml:space="preserve"> for </w:t>
      </w:r>
      <w:r>
        <w:rPr>
          <w:sz w:val="20"/>
          <w:szCs w:val="20"/>
        </w:rPr>
        <w:t>next semester, with Dalton Tham</w:t>
      </w:r>
      <w:r w:rsidRPr="000200D2">
        <w:rPr>
          <w:sz w:val="20"/>
          <w:szCs w:val="20"/>
        </w:rPr>
        <w:t xml:space="preserve"> taking over as Head of AA. </w:t>
      </w:r>
      <w:r w:rsidR="003E3B7B">
        <w:rPr>
          <w:sz w:val="20"/>
          <w:szCs w:val="20"/>
        </w:rPr>
        <w:t xml:space="preserve">Despite formally leaving the fund, </w:t>
      </w:r>
      <w:r w:rsidRPr="000200D2">
        <w:rPr>
          <w:sz w:val="20"/>
          <w:szCs w:val="20"/>
        </w:rPr>
        <w:t xml:space="preserve">Jak Carty and Hongyi Xu will also </w:t>
      </w:r>
      <w:r w:rsidR="003E3B7B">
        <w:rPr>
          <w:sz w:val="20"/>
          <w:szCs w:val="20"/>
        </w:rPr>
        <w:t>act</w:t>
      </w:r>
      <w:r w:rsidR="003E3B7B" w:rsidRPr="000200D2">
        <w:rPr>
          <w:sz w:val="20"/>
          <w:szCs w:val="20"/>
        </w:rPr>
        <w:t xml:space="preserve"> </w:t>
      </w:r>
      <w:r w:rsidRPr="000200D2">
        <w:rPr>
          <w:sz w:val="20"/>
          <w:szCs w:val="20"/>
        </w:rPr>
        <w:t>as advisors</w:t>
      </w:r>
      <w:r w:rsidR="003E3B7B">
        <w:rPr>
          <w:sz w:val="20"/>
          <w:szCs w:val="20"/>
        </w:rPr>
        <w:t>,</w:t>
      </w:r>
      <w:r w:rsidRPr="000200D2">
        <w:rPr>
          <w:sz w:val="20"/>
          <w:szCs w:val="20"/>
        </w:rPr>
        <w:t xml:space="preserve"> attend</w:t>
      </w:r>
      <w:r w:rsidR="003E3B7B">
        <w:rPr>
          <w:sz w:val="20"/>
          <w:szCs w:val="20"/>
        </w:rPr>
        <w:t>ing</w:t>
      </w:r>
      <w:r w:rsidRPr="000200D2">
        <w:rPr>
          <w:sz w:val="20"/>
          <w:szCs w:val="20"/>
        </w:rPr>
        <w:t xml:space="preserve"> team meetings and contribut</w:t>
      </w:r>
      <w:r w:rsidR="003E3B7B">
        <w:rPr>
          <w:sz w:val="20"/>
          <w:szCs w:val="20"/>
        </w:rPr>
        <w:t>ing</w:t>
      </w:r>
      <w:r w:rsidRPr="000200D2">
        <w:rPr>
          <w:sz w:val="20"/>
          <w:szCs w:val="20"/>
        </w:rPr>
        <w:t xml:space="preserve"> when asked. We look forward to seeing the team develop, and the completion of the </w:t>
      </w:r>
      <w:r w:rsidR="00CC4A9C">
        <w:rPr>
          <w:sz w:val="20"/>
          <w:szCs w:val="20"/>
        </w:rPr>
        <w:t xml:space="preserve">AA </w:t>
      </w:r>
      <w:r w:rsidRPr="000200D2">
        <w:rPr>
          <w:sz w:val="20"/>
          <w:szCs w:val="20"/>
        </w:rPr>
        <w:t>IP.</w:t>
      </w:r>
    </w:p>
    <w:p w14:paraId="33EFE212" w14:textId="77777777" w:rsidR="0015032A" w:rsidRPr="000200D2" w:rsidRDefault="0015032A" w:rsidP="00502FEE">
      <w:pPr>
        <w:spacing w:before="180"/>
        <w:rPr>
          <w:i/>
          <w:sz w:val="20"/>
          <w:szCs w:val="20"/>
        </w:rPr>
      </w:pPr>
      <w:r w:rsidRPr="000200D2">
        <w:rPr>
          <w:i/>
          <w:sz w:val="20"/>
          <w:szCs w:val="20"/>
        </w:rPr>
        <w:t>Jak Carty (Head of Asset Allocation) and Hongyi Xu (Research Manager)</w:t>
      </w:r>
    </w:p>
    <w:p w14:paraId="14C0A658" w14:textId="77777777" w:rsidR="0015032A" w:rsidRPr="00AB58A2" w:rsidRDefault="0015032A" w:rsidP="00AB1473">
      <w:pPr>
        <w:pStyle w:val="Heading3"/>
        <w:spacing w:before="300"/>
        <w:rPr>
          <w:lang w:val="en-US"/>
        </w:rPr>
      </w:pPr>
      <w:bookmarkStart w:id="14" w:name="_Toc517159293"/>
      <w:bookmarkStart w:id="15" w:name="_Toc13642403"/>
      <w:r w:rsidRPr="00AB58A2">
        <w:rPr>
          <w:lang w:val="en-US"/>
        </w:rPr>
        <w:lastRenderedPageBreak/>
        <w:t>Risk &amp; Compliance (R&amp;C) Team</w:t>
      </w:r>
      <w:bookmarkEnd w:id="14"/>
      <w:bookmarkEnd w:id="15"/>
      <w:r w:rsidRPr="00AB58A2">
        <w:rPr>
          <w:lang w:val="en-US"/>
        </w:rPr>
        <w:t xml:space="preserve"> </w:t>
      </w:r>
    </w:p>
    <w:p w14:paraId="3DBA38FA" w14:textId="6052BCA0" w:rsidR="0015032A" w:rsidRPr="00DE7DDE" w:rsidRDefault="0015032A" w:rsidP="005E089A">
      <w:pPr>
        <w:widowControl/>
        <w:spacing w:before="180" w:after="180"/>
        <w:rPr>
          <w:sz w:val="20"/>
          <w:szCs w:val="20"/>
        </w:rPr>
      </w:pPr>
      <w:r w:rsidRPr="00DE7DDE">
        <w:rPr>
          <w:sz w:val="20"/>
          <w:szCs w:val="20"/>
        </w:rPr>
        <w:t xml:space="preserve">The focus of the R&amp;C team this semester has been making the team fully operational, after the creation of our keystone documents in 2018. The R&amp;C team’s key focus this semester has been on increasing engagement with the AA and AAE teams, as well improving on </w:t>
      </w:r>
      <w:r w:rsidR="00B70A28">
        <w:rPr>
          <w:sz w:val="20"/>
          <w:szCs w:val="20"/>
        </w:rPr>
        <w:t>the portfolio</w:t>
      </w:r>
      <w:r w:rsidRPr="00DE7DDE">
        <w:rPr>
          <w:sz w:val="20"/>
          <w:szCs w:val="20"/>
        </w:rPr>
        <w:t xml:space="preserve"> performance evaluation model</w:t>
      </w:r>
      <w:r w:rsidR="00B70A28">
        <w:rPr>
          <w:sz w:val="20"/>
          <w:szCs w:val="20"/>
        </w:rPr>
        <w:t>s</w:t>
      </w:r>
      <w:r w:rsidR="006F3507">
        <w:rPr>
          <w:sz w:val="20"/>
          <w:szCs w:val="20"/>
        </w:rPr>
        <w:t xml:space="preserve"> which underpin our reports</w:t>
      </w:r>
      <w:r w:rsidRPr="00DE7DDE">
        <w:rPr>
          <w:sz w:val="20"/>
          <w:szCs w:val="20"/>
        </w:rPr>
        <w:t>.</w:t>
      </w:r>
    </w:p>
    <w:p w14:paraId="2C289717" w14:textId="5DAF6F78" w:rsidR="0015032A" w:rsidRPr="00DE7DDE" w:rsidRDefault="0015032A" w:rsidP="005E089A">
      <w:pPr>
        <w:widowControl/>
        <w:spacing w:before="180" w:after="180"/>
        <w:rPr>
          <w:sz w:val="20"/>
          <w:szCs w:val="20"/>
        </w:rPr>
      </w:pPr>
      <w:r w:rsidRPr="00DE7DDE">
        <w:rPr>
          <w:sz w:val="20"/>
          <w:szCs w:val="20"/>
        </w:rPr>
        <w:t>In regards to increasing engagement between the R&amp;C and AAE teams, we completed a R&amp;C Risk Register Assessment document this semester</w:t>
      </w:r>
      <w:r w:rsidR="006A0489">
        <w:rPr>
          <w:sz w:val="20"/>
          <w:szCs w:val="20"/>
        </w:rPr>
        <w:t>. This</w:t>
      </w:r>
      <w:r w:rsidRPr="00DE7DDE">
        <w:rPr>
          <w:sz w:val="20"/>
          <w:szCs w:val="20"/>
        </w:rPr>
        <w:t xml:space="preserve"> outlines the risk identification and compliance processes involved in</w:t>
      </w:r>
      <w:r w:rsidR="006F3507">
        <w:rPr>
          <w:sz w:val="20"/>
          <w:szCs w:val="20"/>
        </w:rPr>
        <w:t xml:space="preserve"> the</w:t>
      </w:r>
      <w:r w:rsidRPr="00DE7DDE">
        <w:rPr>
          <w:sz w:val="20"/>
          <w:szCs w:val="20"/>
        </w:rPr>
        <w:t xml:space="preserve"> AAE </w:t>
      </w:r>
      <w:r w:rsidR="006F3507">
        <w:rPr>
          <w:sz w:val="20"/>
          <w:szCs w:val="20"/>
        </w:rPr>
        <w:t>IP</w:t>
      </w:r>
      <w:r w:rsidR="006A0489">
        <w:rPr>
          <w:sz w:val="20"/>
          <w:szCs w:val="20"/>
        </w:rPr>
        <w:t xml:space="preserve">, and </w:t>
      </w:r>
      <w:r w:rsidR="006F3507">
        <w:rPr>
          <w:sz w:val="20"/>
          <w:szCs w:val="20"/>
        </w:rPr>
        <w:t>assists the Fund</w:t>
      </w:r>
      <w:r w:rsidRPr="00DE7DDE">
        <w:rPr>
          <w:sz w:val="20"/>
          <w:szCs w:val="20"/>
        </w:rPr>
        <w:t xml:space="preserve"> </w:t>
      </w:r>
      <w:r w:rsidR="0033485C">
        <w:rPr>
          <w:sz w:val="20"/>
          <w:szCs w:val="20"/>
        </w:rPr>
        <w:t xml:space="preserve">to </w:t>
      </w:r>
      <w:r w:rsidRPr="00DE7DDE">
        <w:rPr>
          <w:sz w:val="20"/>
          <w:szCs w:val="20"/>
        </w:rPr>
        <w:t xml:space="preserve">determine which stocks </w:t>
      </w:r>
      <w:r w:rsidR="00B70A28">
        <w:rPr>
          <w:sz w:val="20"/>
          <w:szCs w:val="20"/>
        </w:rPr>
        <w:t xml:space="preserve">should </w:t>
      </w:r>
      <w:r w:rsidRPr="00DE7DDE">
        <w:rPr>
          <w:sz w:val="20"/>
          <w:szCs w:val="20"/>
        </w:rPr>
        <w:t xml:space="preserve">proceed to the next stage </w:t>
      </w:r>
      <w:r w:rsidR="006F3507">
        <w:rPr>
          <w:sz w:val="20"/>
          <w:szCs w:val="20"/>
        </w:rPr>
        <w:t>of analysis by highlighting the</w:t>
      </w:r>
      <w:r w:rsidR="0033485C">
        <w:rPr>
          <w:sz w:val="20"/>
          <w:szCs w:val="20"/>
        </w:rPr>
        <w:t>ir</w:t>
      </w:r>
      <w:r w:rsidR="006F3507">
        <w:rPr>
          <w:sz w:val="20"/>
          <w:szCs w:val="20"/>
        </w:rPr>
        <w:t xml:space="preserve"> </w:t>
      </w:r>
      <w:r w:rsidRPr="00DE7DDE">
        <w:rPr>
          <w:sz w:val="20"/>
          <w:szCs w:val="20"/>
        </w:rPr>
        <w:t>exposure to certain risks</w:t>
      </w:r>
      <w:r w:rsidR="00B70A28">
        <w:rPr>
          <w:sz w:val="20"/>
          <w:szCs w:val="20"/>
        </w:rPr>
        <w:t>. It</w:t>
      </w:r>
      <w:r w:rsidRPr="00DE7DDE">
        <w:rPr>
          <w:sz w:val="20"/>
          <w:szCs w:val="20"/>
        </w:rPr>
        <w:t xml:space="preserve"> was created </w:t>
      </w:r>
      <w:r w:rsidR="006F3507">
        <w:rPr>
          <w:sz w:val="20"/>
          <w:szCs w:val="20"/>
        </w:rPr>
        <w:t>as a practical tool to help</w:t>
      </w:r>
      <w:r w:rsidRPr="00DE7DDE">
        <w:rPr>
          <w:sz w:val="20"/>
          <w:szCs w:val="20"/>
        </w:rPr>
        <w:t xml:space="preserve"> balance risk and return</w:t>
      </w:r>
      <w:r w:rsidR="006F3507">
        <w:rPr>
          <w:sz w:val="20"/>
          <w:szCs w:val="20"/>
        </w:rPr>
        <w:t xml:space="preserve"> in line with the </w:t>
      </w:r>
      <w:r w:rsidRPr="00DE7DDE">
        <w:rPr>
          <w:sz w:val="20"/>
          <w:szCs w:val="20"/>
        </w:rPr>
        <w:t>SMF’s objectives. This process has allowed the R&amp;C team to deepen the</w:t>
      </w:r>
      <w:r w:rsidR="0033485C">
        <w:rPr>
          <w:sz w:val="20"/>
          <w:szCs w:val="20"/>
        </w:rPr>
        <w:t>ir</w:t>
      </w:r>
      <w:r w:rsidRPr="00DE7DDE">
        <w:rPr>
          <w:sz w:val="20"/>
          <w:szCs w:val="20"/>
        </w:rPr>
        <w:t xml:space="preserve"> analysis </w:t>
      </w:r>
      <w:r w:rsidR="0033485C">
        <w:rPr>
          <w:sz w:val="20"/>
          <w:szCs w:val="20"/>
        </w:rPr>
        <w:t>of</w:t>
      </w:r>
      <w:r w:rsidRPr="00DE7DDE">
        <w:rPr>
          <w:sz w:val="20"/>
          <w:szCs w:val="20"/>
        </w:rPr>
        <w:t xml:space="preserve"> AAE’s investment proposals</w:t>
      </w:r>
      <w:r w:rsidR="00B70A28">
        <w:rPr>
          <w:sz w:val="20"/>
          <w:szCs w:val="20"/>
        </w:rPr>
        <w:t>, with</w:t>
      </w:r>
      <w:r w:rsidR="009E344E">
        <w:rPr>
          <w:sz w:val="20"/>
          <w:szCs w:val="20"/>
        </w:rPr>
        <w:t xml:space="preserve"> R&amp;C </w:t>
      </w:r>
      <w:r w:rsidR="00B70A28">
        <w:rPr>
          <w:sz w:val="20"/>
          <w:szCs w:val="20"/>
        </w:rPr>
        <w:t xml:space="preserve">reviews </w:t>
      </w:r>
      <w:r w:rsidR="009E344E">
        <w:rPr>
          <w:sz w:val="20"/>
          <w:szCs w:val="20"/>
        </w:rPr>
        <w:t xml:space="preserve">now </w:t>
      </w:r>
      <w:r w:rsidR="009C2A93">
        <w:rPr>
          <w:sz w:val="20"/>
          <w:szCs w:val="20"/>
        </w:rPr>
        <w:t xml:space="preserve">specifically </w:t>
      </w:r>
      <w:r w:rsidR="009E344E">
        <w:rPr>
          <w:sz w:val="20"/>
          <w:szCs w:val="20"/>
        </w:rPr>
        <w:t>target</w:t>
      </w:r>
      <w:r w:rsidR="00B70A28">
        <w:rPr>
          <w:sz w:val="20"/>
          <w:szCs w:val="20"/>
        </w:rPr>
        <w:t>ing</w:t>
      </w:r>
      <w:r w:rsidR="009E344E">
        <w:rPr>
          <w:sz w:val="20"/>
          <w:szCs w:val="20"/>
        </w:rPr>
        <w:t xml:space="preserve"> the</w:t>
      </w:r>
      <w:r w:rsidR="009C2A93">
        <w:rPr>
          <w:sz w:val="20"/>
          <w:szCs w:val="20"/>
        </w:rPr>
        <w:t xml:space="preserve"> investment, </w:t>
      </w:r>
      <w:r w:rsidR="009E344E">
        <w:rPr>
          <w:sz w:val="20"/>
          <w:szCs w:val="20"/>
        </w:rPr>
        <w:t>cash flow and reputation risks associated with proposed stocks. The Risk Register Assessment document has helped to</w:t>
      </w:r>
      <w:r w:rsidR="00BA6E04">
        <w:rPr>
          <w:sz w:val="20"/>
          <w:szCs w:val="20"/>
        </w:rPr>
        <w:t xml:space="preserve"> direct R&amp;Cs research</w:t>
      </w:r>
      <w:r w:rsidR="00B70A28">
        <w:rPr>
          <w:sz w:val="20"/>
          <w:szCs w:val="20"/>
        </w:rPr>
        <w:t>,</w:t>
      </w:r>
      <w:r w:rsidR="00BA6E04">
        <w:rPr>
          <w:sz w:val="20"/>
          <w:szCs w:val="20"/>
        </w:rPr>
        <w:t xml:space="preserve"> and has</w:t>
      </w:r>
      <w:r w:rsidRPr="00DE7DDE">
        <w:rPr>
          <w:sz w:val="20"/>
          <w:szCs w:val="20"/>
        </w:rPr>
        <w:t xml:space="preserve"> further refine</w:t>
      </w:r>
      <w:r w:rsidR="00BA6E04">
        <w:rPr>
          <w:sz w:val="20"/>
          <w:szCs w:val="20"/>
        </w:rPr>
        <w:t>d</w:t>
      </w:r>
      <w:r w:rsidRPr="00DE7DDE">
        <w:rPr>
          <w:sz w:val="20"/>
          <w:szCs w:val="20"/>
        </w:rPr>
        <w:t xml:space="preserve"> the roles and responsibilities of R&amp;C analysts.</w:t>
      </w:r>
    </w:p>
    <w:p w14:paraId="2C391B6F" w14:textId="700FBFEE" w:rsidR="0015032A" w:rsidRPr="00DE7DDE" w:rsidRDefault="0015032A" w:rsidP="005E089A">
      <w:pPr>
        <w:widowControl/>
        <w:spacing w:before="180" w:after="180"/>
        <w:rPr>
          <w:sz w:val="20"/>
          <w:szCs w:val="20"/>
        </w:rPr>
      </w:pPr>
      <w:r w:rsidRPr="00DE7DDE">
        <w:rPr>
          <w:sz w:val="20"/>
          <w:szCs w:val="20"/>
        </w:rPr>
        <w:t xml:space="preserve">The R&amp;C team has started to </w:t>
      </w:r>
      <w:r w:rsidR="00967D12">
        <w:rPr>
          <w:sz w:val="20"/>
          <w:szCs w:val="20"/>
        </w:rPr>
        <w:t>develop</w:t>
      </w:r>
      <w:r w:rsidR="00967D12" w:rsidRPr="00DE7DDE">
        <w:rPr>
          <w:sz w:val="20"/>
          <w:szCs w:val="20"/>
        </w:rPr>
        <w:t xml:space="preserve"> </w:t>
      </w:r>
      <w:r w:rsidRPr="00DE7DDE">
        <w:rPr>
          <w:sz w:val="20"/>
          <w:szCs w:val="20"/>
        </w:rPr>
        <w:t xml:space="preserve">a foundation </w:t>
      </w:r>
      <w:r w:rsidR="00967D12">
        <w:rPr>
          <w:sz w:val="20"/>
          <w:szCs w:val="20"/>
        </w:rPr>
        <w:t>for</w:t>
      </w:r>
      <w:r w:rsidR="00967D12" w:rsidRPr="00DE7DDE">
        <w:rPr>
          <w:sz w:val="20"/>
          <w:szCs w:val="20"/>
        </w:rPr>
        <w:t xml:space="preserve"> </w:t>
      </w:r>
      <w:r w:rsidRPr="00DE7DDE">
        <w:rPr>
          <w:sz w:val="20"/>
          <w:szCs w:val="20"/>
        </w:rPr>
        <w:t xml:space="preserve">monitoring </w:t>
      </w:r>
      <w:r w:rsidR="00D44E09">
        <w:rPr>
          <w:sz w:val="20"/>
          <w:szCs w:val="20"/>
        </w:rPr>
        <w:t xml:space="preserve">the </w:t>
      </w:r>
      <w:r w:rsidRPr="00DE7DDE">
        <w:rPr>
          <w:sz w:val="20"/>
          <w:szCs w:val="20"/>
        </w:rPr>
        <w:t>AA</w:t>
      </w:r>
      <w:r w:rsidR="00D44E09">
        <w:rPr>
          <w:sz w:val="20"/>
          <w:szCs w:val="20"/>
        </w:rPr>
        <w:t xml:space="preserve"> team</w:t>
      </w:r>
      <w:r w:rsidRPr="00DE7DDE">
        <w:rPr>
          <w:sz w:val="20"/>
          <w:szCs w:val="20"/>
        </w:rPr>
        <w:t xml:space="preserve">’s investment processes. </w:t>
      </w:r>
      <w:r w:rsidR="00D44E09">
        <w:rPr>
          <w:sz w:val="20"/>
          <w:szCs w:val="20"/>
        </w:rPr>
        <w:t>F</w:t>
      </w:r>
      <w:r w:rsidRPr="00DE7DDE">
        <w:rPr>
          <w:sz w:val="20"/>
          <w:szCs w:val="20"/>
        </w:rPr>
        <w:t>ormal documentation</w:t>
      </w:r>
      <w:r w:rsidR="00F613BD">
        <w:rPr>
          <w:sz w:val="20"/>
          <w:szCs w:val="20"/>
        </w:rPr>
        <w:t xml:space="preserve"> has not been completed </w:t>
      </w:r>
      <w:r w:rsidRPr="00DE7DDE">
        <w:rPr>
          <w:sz w:val="20"/>
          <w:szCs w:val="20"/>
        </w:rPr>
        <w:t xml:space="preserve">at this stage, </w:t>
      </w:r>
      <w:r w:rsidR="00D44E09">
        <w:rPr>
          <w:sz w:val="20"/>
          <w:szCs w:val="20"/>
        </w:rPr>
        <w:t>with the view to do so once the</w:t>
      </w:r>
      <w:r w:rsidR="00564769">
        <w:rPr>
          <w:sz w:val="20"/>
          <w:szCs w:val="20"/>
        </w:rPr>
        <w:t xml:space="preserve"> </w:t>
      </w:r>
      <w:r w:rsidRPr="00DE7DDE">
        <w:rPr>
          <w:sz w:val="20"/>
          <w:szCs w:val="20"/>
        </w:rPr>
        <w:t>AA</w:t>
      </w:r>
      <w:r w:rsidR="00564769">
        <w:rPr>
          <w:sz w:val="20"/>
          <w:szCs w:val="20"/>
        </w:rPr>
        <w:t xml:space="preserve"> IP</w:t>
      </w:r>
      <w:r w:rsidR="00D44E09">
        <w:rPr>
          <w:sz w:val="20"/>
          <w:szCs w:val="20"/>
        </w:rPr>
        <w:t xml:space="preserve"> is complete</w:t>
      </w:r>
      <w:r w:rsidRPr="00DE7DDE">
        <w:rPr>
          <w:sz w:val="20"/>
          <w:szCs w:val="20"/>
        </w:rPr>
        <w:t>.</w:t>
      </w:r>
      <w:r w:rsidR="00D44E09">
        <w:rPr>
          <w:sz w:val="20"/>
          <w:szCs w:val="20"/>
        </w:rPr>
        <w:t xml:space="preserve"> </w:t>
      </w:r>
      <w:r w:rsidR="00BA6E04">
        <w:rPr>
          <w:sz w:val="20"/>
          <w:szCs w:val="20"/>
        </w:rPr>
        <w:t>However,</w:t>
      </w:r>
      <w:r w:rsidR="00D44E09">
        <w:rPr>
          <w:sz w:val="20"/>
          <w:szCs w:val="20"/>
        </w:rPr>
        <w:t xml:space="preserve"> by starting early, we aim to</w:t>
      </w:r>
      <w:r w:rsidR="00BA6E04">
        <w:rPr>
          <w:sz w:val="20"/>
          <w:szCs w:val="20"/>
        </w:rPr>
        <w:t xml:space="preserve"> have a clear understanding of the AA investment process</w:t>
      </w:r>
      <w:r w:rsidR="00B70A28">
        <w:rPr>
          <w:sz w:val="20"/>
          <w:szCs w:val="20"/>
        </w:rPr>
        <w:t xml:space="preserve">, and </w:t>
      </w:r>
      <w:r w:rsidR="00BA6E04">
        <w:rPr>
          <w:sz w:val="20"/>
          <w:szCs w:val="20"/>
        </w:rPr>
        <w:t xml:space="preserve">ensure that R&amp;C can create and follow a clear compliance checklist to monitor </w:t>
      </w:r>
      <w:r w:rsidR="00B70A28">
        <w:rPr>
          <w:sz w:val="20"/>
          <w:szCs w:val="20"/>
        </w:rPr>
        <w:t xml:space="preserve">the implementation of the </w:t>
      </w:r>
      <w:r w:rsidR="00BA6E04">
        <w:rPr>
          <w:sz w:val="20"/>
          <w:szCs w:val="20"/>
        </w:rPr>
        <w:t xml:space="preserve">AA IP. </w:t>
      </w:r>
    </w:p>
    <w:p w14:paraId="25DE2F24" w14:textId="2743014D" w:rsidR="0015032A" w:rsidRPr="00DE7DDE" w:rsidRDefault="0015032A" w:rsidP="005E089A">
      <w:pPr>
        <w:widowControl/>
        <w:spacing w:before="180" w:after="180"/>
        <w:rPr>
          <w:sz w:val="20"/>
          <w:szCs w:val="20"/>
        </w:rPr>
      </w:pPr>
      <w:r w:rsidRPr="00DE7DDE">
        <w:rPr>
          <w:sz w:val="20"/>
          <w:szCs w:val="20"/>
        </w:rPr>
        <w:t xml:space="preserve">Last semester, the R&amp;C team created a performance measurement and attribution model, which allowed the team to attribute portfolio returns into two key sources: the asset allocation decisions of the AA team and the stock selection decisions of the AAE team. This semester, the R&amp;C team expanded on the model to make it more informative, as well </w:t>
      </w:r>
      <w:r w:rsidR="00725ACD">
        <w:rPr>
          <w:sz w:val="20"/>
          <w:szCs w:val="20"/>
        </w:rPr>
        <w:t>established</w:t>
      </w:r>
      <w:r w:rsidR="00725ACD" w:rsidRPr="00DE7DDE">
        <w:rPr>
          <w:sz w:val="20"/>
          <w:szCs w:val="20"/>
        </w:rPr>
        <w:t xml:space="preserve"> </w:t>
      </w:r>
      <w:r w:rsidRPr="00DE7DDE">
        <w:rPr>
          <w:sz w:val="20"/>
          <w:szCs w:val="20"/>
        </w:rPr>
        <w:t>the basis for creating an attribution analysis based on the SMF’s target returns on different asset classes.</w:t>
      </w:r>
    </w:p>
    <w:p w14:paraId="57C34C4C" w14:textId="6C519893" w:rsidR="0015032A" w:rsidRDefault="0015032A" w:rsidP="005E089A">
      <w:pPr>
        <w:widowControl/>
        <w:spacing w:before="180" w:after="180"/>
        <w:rPr>
          <w:sz w:val="20"/>
          <w:szCs w:val="20"/>
        </w:rPr>
      </w:pPr>
      <w:r w:rsidRPr="00DE7DDE">
        <w:rPr>
          <w:sz w:val="20"/>
          <w:szCs w:val="20"/>
        </w:rPr>
        <w:t>Next semester</w:t>
      </w:r>
      <w:r w:rsidR="00B70A28">
        <w:rPr>
          <w:sz w:val="20"/>
          <w:szCs w:val="20"/>
        </w:rPr>
        <w:t>,</w:t>
      </w:r>
      <w:r w:rsidRPr="00DE7DDE">
        <w:rPr>
          <w:sz w:val="20"/>
          <w:szCs w:val="20"/>
        </w:rPr>
        <w:t xml:space="preserve"> the R&amp;C team welcomes two junior analysts,</w:t>
      </w:r>
      <w:r w:rsidR="00AF3DAA">
        <w:rPr>
          <w:sz w:val="20"/>
          <w:szCs w:val="20"/>
        </w:rPr>
        <w:t xml:space="preserve"> </w:t>
      </w:r>
      <w:r w:rsidR="00BA6E04">
        <w:rPr>
          <w:sz w:val="20"/>
          <w:szCs w:val="20"/>
        </w:rPr>
        <w:t xml:space="preserve">Ashley White and Charya Kannangara </w:t>
      </w:r>
      <w:r w:rsidR="00B70A28">
        <w:rPr>
          <w:sz w:val="20"/>
          <w:szCs w:val="20"/>
        </w:rPr>
        <w:t xml:space="preserve">(split </w:t>
      </w:r>
      <w:r w:rsidR="00BA6E04">
        <w:rPr>
          <w:sz w:val="20"/>
          <w:szCs w:val="20"/>
        </w:rPr>
        <w:t>50%</w:t>
      </w:r>
      <w:r w:rsidR="00B70A28">
        <w:rPr>
          <w:sz w:val="20"/>
          <w:szCs w:val="20"/>
        </w:rPr>
        <w:t xml:space="preserve"> with the Relationshi</w:t>
      </w:r>
      <w:r w:rsidR="006A0489">
        <w:rPr>
          <w:sz w:val="20"/>
          <w:szCs w:val="20"/>
        </w:rPr>
        <w:t>p t</w:t>
      </w:r>
      <w:r w:rsidR="00B70A28">
        <w:rPr>
          <w:sz w:val="20"/>
          <w:szCs w:val="20"/>
        </w:rPr>
        <w:t>eam).</w:t>
      </w:r>
      <w:r w:rsidR="00BA6E04">
        <w:rPr>
          <w:sz w:val="20"/>
          <w:szCs w:val="20"/>
        </w:rPr>
        <w:t xml:space="preserve"> </w:t>
      </w:r>
      <w:r w:rsidR="006815AF">
        <w:rPr>
          <w:sz w:val="20"/>
          <w:szCs w:val="20"/>
        </w:rPr>
        <w:t>Chaoqi (</w:t>
      </w:r>
      <w:r w:rsidR="00775EC9">
        <w:rPr>
          <w:sz w:val="20"/>
          <w:szCs w:val="20"/>
        </w:rPr>
        <w:t>S</w:t>
      </w:r>
      <w:r w:rsidRPr="00DE7DDE">
        <w:rPr>
          <w:sz w:val="20"/>
          <w:szCs w:val="20"/>
        </w:rPr>
        <w:t>hawn</w:t>
      </w:r>
      <w:r w:rsidR="006815AF">
        <w:rPr>
          <w:sz w:val="20"/>
          <w:szCs w:val="20"/>
        </w:rPr>
        <w:t>)</w:t>
      </w:r>
      <w:r w:rsidRPr="00DE7DDE">
        <w:rPr>
          <w:sz w:val="20"/>
          <w:szCs w:val="20"/>
        </w:rPr>
        <w:t xml:space="preserve"> Lin</w:t>
      </w:r>
      <w:r w:rsidR="00564769">
        <w:rPr>
          <w:sz w:val="20"/>
          <w:szCs w:val="20"/>
        </w:rPr>
        <w:t xml:space="preserve"> </w:t>
      </w:r>
      <w:r w:rsidR="00775EC9">
        <w:rPr>
          <w:sz w:val="20"/>
          <w:szCs w:val="20"/>
        </w:rPr>
        <w:t>will step</w:t>
      </w:r>
      <w:r w:rsidR="00AF3DAA">
        <w:rPr>
          <w:sz w:val="20"/>
          <w:szCs w:val="20"/>
        </w:rPr>
        <w:t xml:space="preserve"> into the role of</w:t>
      </w:r>
      <w:r w:rsidR="00564769">
        <w:rPr>
          <w:sz w:val="20"/>
          <w:szCs w:val="20"/>
        </w:rPr>
        <w:t xml:space="preserve"> </w:t>
      </w:r>
      <w:r w:rsidR="006815AF">
        <w:rPr>
          <w:sz w:val="20"/>
          <w:szCs w:val="20"/>
        </w:rPr>
        <w:t xml:space="preserve">Chief </w:t>
      </w:r>
      <w:r w:rsidR="009B6972">
        <w:rPr>
          <w:sz w:val="20"/>
          <w:szCs w:val="20"/>
        </w:rPr>
        <w:t>Risk</w:t>
      </w:r>
      <w:r w:rsidR="006815AF">
        <w:rPr>
          <w:sz w:val="20"/>
          <w:szCs w:val="20"/>
        </w:rPr>
        <w:t xml:space="preserve"> Officer (</w:t>
      </w:r>
      <w:r w:rsidR="00564769">
        <w:rPr>
          <w:sz w:val="20"/>
          <w:szCs w:val="20"/>
        </w:rPr>
        <w:t>CRO</w:t>
      </w:r>
      <w:r w:rsidR="006815AF">
        <w:rPr>
          <w:sz w:val="20"/>
          <w:szCs w:val="20"/>
        </w:rPr>
        <w:t>)</w:t>
      </w:r>
      <w:r w:rsidR="00775EC9">
        <w:rPr>
          <w:sz w:val="20"/>
          <w:szCs w:val="20"/>
        </w:rPr>
        <w:t>, with f</w:t>
      </w:r>
      <w:r w:rsidR="00AF3DAA">
        <w:rPr>
          <w:sz w:val="20"/>
          <w:szCs w:val="20"/>
        </w:rPr>
        <w:t xml:space="preserve">urther guidance provided by Alisha Nath, who is transitioning from a split role between </w:t>
      </w:r>
      <w:r w:rsidR="005B4241">
        <w:rPr>
          <w:sz w:val="20"/>
          <w:szCs w:val="20"/>
        </w:rPr>
        <w:t xml:space="preserve">the </w:t>
      </w:r>
      <w:r w:rsidR="00AF3DAA">
        <w:rPr>
          <w:sz w:val="20"/>
          <w:szCs w:val="20"/>
        </w:rPr>
        <w:t xml:space="preserve">R&amp;C and Relationship </w:t>
      </w:r>
      <w:r w:rsidR="005B4241">
        <w:rPr>
          <w:sz w:val="20"/>
          <w:szCs w:val="20"/>
        </w:rPr>
        <w:t>t</w:t>
      </w:r>
      <w:r w:rsidR="00AF3DAA">
        <w:rPr>
          <w:sz w:val="20"/>
          <w:szCs w:val="20"/>
        </w:rPr>
        <w:t xml:space="preserve">eams to a senior analyst role exclusively within R&amp;C. </w:t>
      </w:r>
      <w:r w:rsidR="005B4241">
        <w:rPr>
          <w:sz w:val="20"/>
          <w:szCs w:val="20"/>
        </w:rPr>
        <w:t>I</w:t>
      </w:r>
      <w:r w:rsidR="005B4241" w:rsidRPr="00DE7DDE">
        <w:rPr>
          <w:sz w:val="20"/>
          <w:szCs w:val="20"/>
        </w:rPr>
        <w:t xml:space="preserve"> </w:t>
      </w:r>
      <w:r w:rsidRPr="00DE7DDE">
        <w:rPr>
          <w:sz w:val="20"/>
          <w:szCs w:val="20"/>
        </w:rPr>
        <w:t xml:space="preserve">have confidence that </w:t>
      </w:r>
      <w:r w:rsidR="005B4241">
        <w:rPr>
          <w:sz w:val="20"/>
          <w:szCs w:val="20"/>
        </w:rPr>
        <w:t xml:space="preserve">the </w:t>
      </w:r>
      <w:r w:rsidRPr="00DE7DDE">
        <w:rPr>
          <w:sz w:val="20"/>
          <w:szCs w:val="20"/>
        </w:rPr>
        <w:t xml:space="preserve">team will be able to expand on the </w:t>
      </w:r>
      <w:r w:rsidR="005B4241">
        <w:rPr>
          <w:sz w:val="20"/>
          <w:szCs w:val="20"/>
        </w:rPr>
        <w:t>strong</w:t>
      </w:r>
      <w:r w:rsidRPr="00DE7DDE">
        <w:rPr>
          <w:sz w:val="20"/>
          <w:szCs w:val="20"/>
        </w:rPr>
        <w:t xml:space="preserve"> processes implemented this semester</w:t>
      </w:r>
      <w:r w:rsidR="00CB3A72">
        <w:rPr>
          <w:sz w:val="20"/>
          <w:szCs w:val="20"/>
        </w:rPr>
        <w:t>,</w:t>
      </w:r>
      <w:r w:rsidRPr="00DE7DDE">
        <w:rPr>
          <w:sz w:val="20"/>
          <w:szCs w:val="20"/>
        </w:rPr>
        <w:t xml:space="preserve"> and </w:t>
      </w:r>
      <w:r w:rsidR="005B4241">
        <w:rPr>
          <w:sz w:val="20"/>
          <w:szCs w:val="20"/>
        </w:rPr>
        <w:t>continue to</w:t>
      </w:r>
      <w:r w:rsidRPr="00DE7DDE">
        <w:rPr>
          <w:sz w:val="20"/>
          <w:szCs w:val="20"/>
        </w:rPr>
        <w:t xml:space="preserve"> build the legacy of </w:t>
      </w:r>
      <w:r w:rsidR="005B4241">
        <w:rPr>
          <w:sz w:val="20"/>
          <w:szCs w:val="20"/>
        </w:rPr>
        <w:t>R&amp;C and of the Fund as a whole</w:t>
      </w:r>
      <w:r w:rsidRPr="00DE7DDE">
        <w:rPr>
          <w:sz w:val="20"/>
          <w:szCs w:val="20"/>
        </w:rPr>
        <w:t>.</w:t>
      </w:r>
    </w:p>
    <w:p w14:paraId="6AA6B1EA" w14:textId="7B28F4ED" w:rsidR="006E0BB3" w:rsidRPr="006E0BB3" w:rsidRDefault="0015032A" w:rsidP="00502FEE">
      <w:pPr>
        <w:spacing w:before="180"/>
        <w:rPr>
          <w:i/>
          <w:sz w:val="20"/>
          <w:szCs w:val="20"/>
          <w:lang w:val="en-US"/>
        </w:rPr>
      </w:pPr>
      <w:r>
        <w:rPr>
          <w:i/>
          <w:sz w:val="20"/>
          <w:szCs w:val="20"/>
          <w:lang w:val="en-US"/>
        </w:rPr>
        <w:t>Azmina Hossain</w:t>
      </w:r>
      <w:r w:rsidRPr="006771EF">
        <w:rPr>
          <w:i/>
          <w:sz w:val="20"/>
          <w:szCs w:val="20"/>
          <w:lang w:val="en-US"/>
        </w:rPr>
        <w:t>, CRO and Head of R&amp;C</w:t>
      </w:r>
      <w:bookmarkStart w:id="16" w:name="_Toc517159294"/>
    </w:p>
    <w:p w14:paraId="3652EE22" w14:textId="77777777" w:rsidR="0015032A" w:rsidRPr="00B26FDB" w:rsidRDefault="0015032A" w:rsidP="006A0489">
      <w:pPr>
        <w:pStyle w:val="Heading3"/>
        <w:spacing w:before="360"/>
        <w:rPr>
          <w:lang w:val="en-US"/>
        </w:rPr>
      </w:pPr>
      <w:bookmarkStart w:id="17" w:name="_Toc13642404"/>
      <w:r w:rsidRPr="00B26FDB">
        <w:rPr>
          <w:lang w:val="en-US"/>
        </w:rPr>
        <w:t>Relationship Team</w:t>
      </w:r>
      <w:bookmarkEnd w:id="16"/>
      <w:bookmarkEnd w:id="17"/>
    </w:p>
    <w:p w14:paraId="2686639F" w14:textId="74A4723E" w:rsidR="0015032A" w:rsidRPr="00DE7DDE" w:rsidRDefault="0015032A" w:rsidP="005E089A">
      <w:pPr>
        <w:widowControl/>
        <w:spacing w:before="180" w:after="180"/>
        <w:rPr>
          <w:sz w:val="20"/>
          <w:szCs w:val="20"/>
        </w:rPr>
      </w:pPr>
      <w:r w:rsidRPr="00DE7DDE">
        <w:rPr>
          <w:sz w:val="20"/>
          <w:szCs w:val="20"/>
        </w:rPr>
        <w:t xml:space="preserve">The </w:t>
      </w:r>
      <w:r w:rsidR="00F613BD">
        <w:rPr>
          <w:sz w:val="20"/>
          <w:szCs w:val="20"/>
        </w:rPr>
        <w:t>R</w:t>
      </w:r>
      <w:r w:rsidRPr="00DE7DDE">
        <w:rPr>
          <w:sz w:val="20"/>
          <w:szCs w:val="20"/>
        </w:rPr>
        <w:t>elationship team has strived to extend the external communication and awareness of the Fund through the introduction of a live Facebook page</w:t>
      </w:r>
      <w:r w:rsidR="00BA6E04">
        <w:rPr>
          <w:sz w:val="20"/>
          <w:szCs w:val="20"/>
        </w:rPr>
        <w:t>, a draft Linked</w:t>
      </w:r>
      <w:r w:rsidR="006A0489">
        <w:rPr>
          <w:sz w:val="20"/>
          <w:szCs w:val="20"/>
        </w:rPr>
        <w:t>I</w:t>
      </w:r>
      <w:r w:rsidR="00BA6E04">
        <w:rPr>
          <w:sz w:val="20"/>
          <w:szCs w:val="20"/>
        </w:rPr>
        <w:t xml:space="preserve">n </w:t>
      </w:r>
      <w:r w:rsidR="006A0489">
        <w:rPr>
          <w:sz w:val="20"/>
          <w:szCs w:val="20"/>
        </w:rPr>
        <w:t>p</w:t>
      </w:r>
      <w:r w:rsidR="00BA6E04">
        <w:rPr>
          <w:sz w:val="20"/>
          <w:szCs w:val="20"/>
        </w:rPr>
        <w:t>rofile</w:t>
      </w:r>
      <w:r w:rsidRPr="00DE7DDE">
        <w:rPr>
          <w:sz w:val="20"/>
          <w:szCs w:val="20"/>
        </w:rPr>
        <w:t xml:space="preserve"> and a draft SMF website.</w:t>
      </w:r>
    </w:p>
    <w:p w14:paraId="0CA8995D" w14:textId="75B21845" w:rsidR="0015032A" w:rsidRPr="00DE7DDE" w:rsidRDefault="00AB7BCA" w:rsidP="005E089A">
      <w:pPr>
        <w:widowControl/>
        <w:spacing w:before="180" w:after="180"/>
        <w:rPr>
          <w:sz w:val="20"/>
          <w:szCs w:val="20"/>
        </w:rPr>
      </w:pPr>
      <w:r>
        <w:rPr>
          <w:sz w:val="20"/>
          <w:szCs w:val="20"/>
        </w:rPr>
        <w:t>With regards to the website, the Relationship team</w:t>
      </w:r>
      <w:r w:rsidR="0015032A" w:rsidRPr="00DE7DDE">
        <w:rPr>
          <w:sz w:val="20"/>
          <w:szCs w:val="20"/>
        </w:rPr>
        <w:t xml:space="preserve"> has primarily focused on developing </w:t>
      </w:r>
      <w:r>
        <w:rPr>
          <w:sz w:val="20"/>
          <w:szCs w:val="20"/>
        </w:rPr>
        <w:t>a medium</w:t>
      </w:r>
      <w:r w:rsidR="0015032A" w:rsidRPr="00DE7DDE">
        <w:rPr>
          <w:sz w:val="20"/>
          <w:szCs w:val="20"/>
        </w:rPr>
        <w:t xml:space="preserve"> that reflect</w:t>
      </w:r>
      <w:r>
        <w:rPr>
          <w:sz w:val="20"/>
          <w:szCs w:val="20"/>
        </w:rPr>
        <w:t>s</w:t>
      </w:r>
      <w:r w:rsidR="0015032A" w:rsidRPr="00DE7DDE">
        <w:rPr>
          <w:sz w:val="20"/>
          <w:szCs w:val="20"/>
        </w:rPr>
        <w:t xml:space="preserve"> the core values of the </w:t>
      </w:r>
      <w:r w:rsidR="00564769">
        <w:rPr>
          <w:sz w:val="20"/>
          <w:szCs w:val="20"/>
        </w:rPr>
        <w:t>F</w:t>
      </w:r>
      <w:r w:rsidR="0015032A" w:rsidRPr="00DE7DDE">
        <w:rPr>
          <w:sz w:val="20"/>
          <w:szCs w:val="20"/>
        </w:rPr>
        <w:t>und and</w:t>
      </w:r>
      <w:r w:rsidR="00F613BD">
        <w:rPr>
          <w:sz w:val="20"/>
          <w:szCs w:val="20"/>
        </w:rPr>
        <w:t xml:space="preserve"> allows us to further engage with external parties</w:t>
      </w:r>
      <w:r w:rsidR="0015032A" w:rsidRPr="00DE7DDE">
        <w:rPr>
          <w:sz w:val="20"/>
          <w:szCs w:val="20"/>
        </w:rPr>
        <w:t xml:space="preserve">. </w:t>
      </w:r>
      <w:r>
        <w:rPr>
          <w:sz w:val="20"/>
          <w:szCs w:val="20"/>
        </w:rPr>
        <w:t>In doing so, t</w:t>
      </w:r>
      <w:r w:rsidR="0015032A" w:rsidRPr="00DE7DDE">
        <w:rPr>
          <w:sz w:val="20"/>
          <w:szCs w:val="20"/>
        </w:rPr>
        <w:t xml:space="preserve">he team </w:t>
      </w:r>
      <w:r>
        <w:rPr>
          <w:sz w:val="20"/>
          <w:szCs w:val="20"/>
        </w:rPr>
        <w:t>chose</w:t>
      </w:r>
      <w:r w:rsidRPr="00DE7DDE">
        <w:rPr>
          <w:sz w:val="20"/>
          <w:szCs w:val="20"/>
        </w:rPr>
        <w:t xml:space="preserve"> </w:t>
      </w:r>
      <w:r w:rsidR="0015032A" w:rsidRPr="00DE7DDE">
        <w:rPr>
          <w:sz w:val="20"/>
          <w:szCs w:val="20"/>
        </w:rPr>
        <w:t>to</w:t>
      </w:r>
      <w:r w:rsidR="00F613BD">
        <w:rPr>
          <w:sz w:val="20"/>
          <w:szCs w:val="20"/>
        </w:rPr>
        <w:t xml:space="preserve"> </w:t>
      </w:r>
      <w:r w:rsidR="0015032A" w:rsidRPr="00DE7DDE">
        <w:rPr>
          <w:sz w:val="20"/>
          <w:szCs w:val="20"/>
        </w:rPr>
        <w:t>highlight the SMF’s long-term focus</w:t>
      </w:r>
      <w:r>
        <w:rPr>
          <w:sz w:val="20"/>
          <w:szCs w:val="20"/>
        </w:rPr>
        <w:t xml:space="preserve"> and</w:t>
      </w:r>
      <w:r w:rsidR="0015032A" w:rsidRPr="00DE7DDE">
        <w:rPr>
          <w:sz w:val="20"/>
          <w:szCs w:val="20"/>
        </w:rPr>
        <w:t xml:space="preserve"> its unique SRI policy</w:t>
      </w:r>
      <w:r>
        <w:rPr>
          <w:sz w:val="20"/>
          <w:szCs w:val="20"/>
        </w:rPr>
        <w:t>,</w:t>
      </w:r>
      <w:r w:rsidR="0015032A" w:rsidRPr="00DE7DDE">
        <w:rPr>
          <w:sz w:val="20"/>
          <w:szCs w:val="20"/>
        </w:rPr>
        <w:t xml:space="preserve"> </w:t>
      </w:r>
      <w:r>
        <w:rPr>
          <w:sz w:val="20"/>
          <w:szCs w:val="20"/>
        </w:rPr>
        <w:t xml:space="preserve">as well as </w:t>
      </w:r>
      <w:r w:rsidR="0015032A" w:rsidRPr="00DE7DDE">
        <w:rPr>
          <w:sz w:val="20"/>
          <w:szCs w:val="20"/>
        </w:rPr>
        <w:t xml:space="preserve">an interview with the first scholarship recipient to demonstrate the positive real impact of the SMF’s work. </w:t>
      </w:r>
      <w:r>
        <w:rPr>
          <w:sz w:val="20"/>
          <w:szCs w:val="20"/>
        </w:rPr>
        <w:t xml:space="preserve">The website </w:t>
      </w:r>
      <w:r w:rsidR="006A0489">
        <w:rPr>
          <w:sz w:val="20"/>
          <w:szCs w:val="20"/>
        </w:rPr>
        <w:t xml:space="preserve">was initially </w:t>
      </w:r>
      <w:r>
        <w:rPr>
          <w:sz w:val="20"/>
          <w:szCs w:val="20"/>
        </w:rPr>
        <w:t>draft</w:t>
      </w:r>
      <w:r w:rsidR="006A0489">
        <w:rPr>
          <w:sz w:val="20"/>
          <w:szCs w:val="20"/>
        </w:rPr>
        <w:t>ed</w:t>
      </w:r>
      <w:r>
        <w:rPr>
          <w:sz w:val="20"/>
          <w:szCs w:val="20"/>
        </w:rPr>
        <w:t xml:space="preserve"> under the Wix platform, with publication </w:t>
      </w:r>
      <w:r w:rsidR="006A0489">
        <w:rPr>
          <w:sz w:val="20"/>
          <w:szCs w:val="20"/>
        </w:rPr>
        <w:t xml:space="preserve">then </w:t>
      </w:r>
      <w:r>
        <w:rPr>
          <w:sz w:val="20"/>
          <w:szCs w:val="20"/>
        </w:rPr>
        <w:t xml:space="preserve">delayed </w:t>
      </w:r>
      <w:r w:rsidR="00D669BD">
        <w:rPr>
          <w:sz w:val="20"/>
          <w:szCs w:val="20"/>
        </w:rPr>
        <w:t xml:space="preserve">by the decision </w:t>
      </w:r>
      <w:r>
        <w:rPr>
          <w:sz w:val="20"/>
          <w:szCs w:val="20"/>
        </w:rPr>
        <w:t xml:space="preserve">to transfer content to within the </w:t>
      </w:r>
      <w:r w:rsidR="0015032A" w:rsidRPr="00DE7DDE">
        <w:rPr>
          <w:sz w:val="20"/>
          <w:szCs w:val="20"/>
        </w:rPr>
        <w:t>ANU RSFAS website.</w:t>
      </w:r>
      <w:r w:rsidR="00795A39">
        <w:rPr>
          <w:sz w:val="20"/>
          <w:szCs w:val="20"/>
        </w:rPr>
        <w:t xml:space="preserve"> </w:t>
      </w:r>
      <w:r>
        <w:rPr>
          <w:sz w:val="20"/>
          <w:szCs w:val="20"/>
        </w:rPr>
        <w:t>Positioning our website</w:t>
      </w:r>
      <w:r w:rsidR="00795A39">
        <w:rPr>
          <w:sz w:val="20"/>
          <w:szCs w:val="20"/>
        </w:rPr>
        <w:t xml:space="preserve"> under the RSFAS </w:t>
      </w:r>
      <w:r>
        <w:rPr>
          <w:sz w:val="20"/>
          <w:szCs w:val="20"/>
        </w:rPr>
        <w:t xml:space="preserve">banner </w:t>
      </w:r>
      <w:r w:rsidR="00795A39">
        <w:rPr>
          <w:sz w:val="20"/>
          <w:szCs w:val="20"/>
        </w:rPr>
        <w:t>has many benefits</w:t>
      </w:r>
      <w:r>
        <w:rPr>
          <w:sz w:val="20"/>
          <w:szCs w:val="20"/>
        </w:rPr>
        <w:t>. By directly linking</w:t>
      </w:r>
      <w:r w:rsidR="00D669BD">
        <w:rPr>
          <w:sz w:val="20"/>
          <w:szCs w:val="20"/>
        </w:rPr>
        <w:t xml:space="preserve"> our online presence</w:t>
      </w:r>
      <w:r>
        <w:rPr>
          <w:sz w:val="20"/>
          <w:szCs w:val="20"/>
        </w:rPr>
        <w:t xml:space="preserve"> with the University, </w:t>
      </w:r>
      <w:r w:rsidR="00795A39">
        <w:rPr>
          <w:sz w:val="20"/>
          <w:szCs w:val="20"/>
        </w:rPr>
        <w:t>the SMF</w:t>
      </w:r>
      <w:r w:rsidR="00D669BD">
        <w:rPr>
          <w:sz w:val="20"/>
          <w:szCs w:val="20"/>
        </w:rPr>
        <w:t xml:space="preserve"> is able</w:t>
      </w:r>
      <w:r w:rsidR="00795A39">
        <w:rPr>
          <w:sz w:val="20"/>
          <w:szCs w:val="20"/>
        </w:rPr>
        <w:t xml:space="preserve"> </w:t>
      </w:r>
      <w:r w:rsidR="00D669BD">
        <w:rPr>
          <w:sz w:val="20"/>
          <w:szCs w:val="20"/>
        </w:rPr>
        <w:t>to portray</w:t>
      </w:r>
      <w:r w:rsidR="00795A39">
        <w:rPr>
          <w:sz w:val="20"/>
          <w:szCs w:val="20"/>
        </w:rPr>
        <w:t xml:space="preserve"> a more professional and reputable image to outside parties. </w:t>
      </w:r>
      <w:r w:rsidR="0015032A" w:rsidRPr="00DE7DDE">
        <w:rPr>
          <w:sz w:val="20"/>
          <w:szCs w:val="20"/>
        </w:rPr>
        <w:t xml:space="preserve">In order to </w:t>
      </w:r>
      <w:r w:rsidR="00D77A3C">
        <w:rPr>
          <w:sz w:val="20"/>
          <w:szCs w:val="20"/>
        </w:rPr>
        <w:t>ensure</w:t>
      </w:r>
      <w:r w:rsidR="00D77A3C" w:rsidRPr="00DE7DDE">
        <w:rPr>
          <w:sz w:val="20"/>
          <w:szCs w:val="20"/>
        </w:rPr>
        <w:t xml:space="preserve"> </w:t>
      </w:r>
      <w:r w:rsidR="0015032A" w:rsidRPr="00DE7DDE">
        <w:rPr>
          <w:sz w:val="20"/>
          <w:szCs w:val="20"/>
        </w:rPr>
        <w:t>a high quality SMF website, the Relationship team will be meeting with</w:t>
      </w:r>
      <w:r w:rsidR="003119D8">
        <w:rPr>
          <w:sz w:val="20"/>
          <w:szCs w:val="20"/>
        </w:rPr>
        <w:t xml:space="preserve"> </w:t>
      </w:r>
      <w:r w:rsidR="006815AF">
        <w:rPr>
          <w:sz w:val="20"/>
          <w:szCs w:val="20"/>
        </w:rPr>
        <w:t xml:space="preserve">CBE </w:t>
      </w:r>
      <w:r w:rsidR="003119D8">
        <w:rPr>
          <w:sz w:val="20"/>
          <w:szCs w:val="20"/>
        </w:rPr>
        <w:t xml:space="preserve">Web Coordinator </w:t>
      </w:r>
      <w:r w:rsidR="0015032A" w:rsidRPr="00DE7DDE">
        <w:rPr>
          <w:sz w:val="20"/>
          <w:szCs w:val="20"/>
        </w:rPr>
        <w:t xml:space="preserve">Simon Petocz </w:t>
      </w:r>
      <w:r w:rsidR="003119D8">
        <w:rPr>
          <w:sz w:val="20"/>
          <w:szCs w:val="20"/>
        </w:rPr>
        <w:t>t</w:t>
      </w:r>
      <w:r w:rsidR="0015032A" w:rsidRPr="00DE7DDE">
        <w:rPr>
          <w:sz w:val="20"/>
          <w:szCs w:val="20"/>
        </w:rPr>
        <w:t xml:space="preserve">o assist in </w:t>
      </w:r>
      <w:r w:rsidR="00090241">
        <w:rPr>
          <w:sz w:val="20"/>
          <w:szCs w:val="20"/>
        </w:rPr>
        <w:t xml:space="preserve">transferring the </w:t>
      </w:r>
      <w:r w:rsidR="00D77A3C">
        <w:rPr>
          <w:sz w:val="20"/>
          <w:szCs w:val="20"/>
        </w:rPr>
        <w:t xml:space="preserve">written content the team created this semester to the new </w:t>
      </w:r>
      <w:r w:rsidR="0015032A" w:rsidRPr="00DE7DDE">
        <w:rPr>
          <w:sz w:val="20"/>
          <w:szCs w:val="20"/>
        </w:rPr>
        <w:t xml:space="preserve">website under the RSFAS layout and design. Additionally, next semester the team </w:t>
      </w:r>
      <w:r w:rsidR="00090241">
        <w:rPr>
          <w:sz w:val="20"/>
          <w:szCs w:val="20"/>
        </w:rPr>
        <w:t>will be</w:t>
      </w:r>
      <w:r w:rsidR="00DD7FB9">
        <w:rPr>
          <w:sz w:val="20"/>
          <w:szCs w:val="20"/>
        </w:rPr>
        <w:t xml:space="preserve"> provided </w:t>
      </w:r>
      <w:r w:rsidR="00C771A1">
        <w:rPr>
          <w:sz w:val="20"/>
          <w:szCs w:val="20"/>
        </w:rPr>
        <w:t>the valuable</w:t>
      </w:r>
      <w:r w:rsidR="00DD7FB9">
        <w:rPr>
          <w:sz w:val="20"/>
          <w:szCs w:val="20"/>
        </w:rPr>
        <w:t xml:space="preserve"> opportunity to </w:t>
      </w:r>
      <w:r w:rsidR="0015032A" w:rsidRPr="00DE7DDE">
        <w:rPr>
          <w:sz w:val="20"/>
          <w:szCs w:val="20"/>
        </w:rPr>
        <w:t xml:space="preserve">undergo training to understand how to maintain, update and develop the website under the new RSFAS structure. Despite some roadblocks, the website development </w:t>
      </w:r>
      <w:r w:rsidR="004D1898">
        <w:rPr>
          <w:sz w:val="20"/>
          <w:szCs w:val="20"/>
        </w:rPr>
        <w:t>has been</w:t>
      </w:r>
      <w:r w:rsidR="004D1898" w:rsidRPr="00DE7DDE">
        <w:rPr>
          <w:sz w:val="20"/>
          <w:szCs w:val="20"/>
        </w:rPr>
        <w:t xml:space="preserve"> </w:t>
      </w:r>
      <w:r w:rsidR="0015032A" w:rsidRPr="00DE7DDE">
        <w:rPr>
          <w:sz w:val="20"/>
          <w:szCs w:val="20"/>
        </w:rPr>
        <w:t>an invaluable learning task for the Relationship team.</w:t>
      </w:r>
    </w:p>
    <w:p w14:paraId="3B104D04" w14:textId="79712239" w:rsidR="0015032A" w:rsidRPr="00DE7DDE" w:rsidRDefault="0015032A" w:rsidP="005E089A">
      <w:pPr>
        <w:widowControl/>
        <w:spacing w:before="180" w:after="180"/>
        <w:rPr>
          <w:sz w:val="20"/>
          <w:szCs w:val="20"/>
        </w:rPr>
      </w:pPr>
      <w:r w:rsidRPr="00DE7DDE">
        <w:rPr>
          <w:sz w:val="20"/>
          <w:szCs w:val="20"/>
        </w:rPr>
        <w:t xml:space="preserve">The Relationship team has also published a SMF Facebook page with photos, information and contact details. The team posts weekly or fortnightly updates on the page. Both the draft website and Facebook page will increase awareness, engagement and interest in the Fund’s activities. In addition to </w:t>
      </w:r>
      <w:r w:rsidR="009C3D46">
        <w:rPr>
          <w:sz w:val="20"/>
          <w:szCs w:val="20"/>
        </w:rPr>
        <w:t>our</w:t>
      </w:r>
      <w:r w:rsidR="00E77378">
        <w:rPr>
          <w:sz w:val="20"/>
          <w:szCs w:val="20"/>
        </w:rPr>
        <w:t xml:space="preserve"> work to create an online presence</w:t>
      </w:r>
      <w:r w:rsidRPr="00DE7DDE">
        <w:rPr>
          <w:sz w:val="20"/>
          <w:szCs w:val="20"/>
        </w:rPr>
        <w:t xml:space="preserve">, </w:t>
      </w:r>
      <w:r w:rsidR="00FC4ACD">
        <w:rPr>
          <w:sz w:val="20"/>
          <w:szCs w:val="20"/>
        </w:rPr>
        <w:t xml:space="preserve">which also includes developing a draft LinkedIn Profile, </w:t>
      </w:r>
      <w:r w:rsidRPr="00DE7DDE">
        <w:rPr>
          <w:sz w:val="20"/>
          <w:szCs w:val="20"/>
        </w:rPr>
        <w:t>the Relationship team has worked on</w:t>
      </w:r>
      <w:r w:rsidR="00CA3707">
        <w:rPr>
          <w:sz w:val="20"/>
          <w:szCs w:val="20"/>
        </w:rPr>
        <w:t xml:space="preserve"> </w:t>
      </w:r>
      <w:r w:rsidRPr="00DE7DDE">
        <w:rPr>
          <w:sz w:val="20"/>
          <w:szCs w:val="20"/>
        </w:rPr>
        <w:t>weekly tasks</w:t>
      </w:r>
      <w:r w:rsidR="00CA3707">
        <w:rPr>
          <w:sz w:val="20"/>
          <w:szCs w:val="20"/>
        </w:rPr>
        <w:t xml:space="preserve"> such as portfolio updates</w:t>
      </w:r>
      <w:r w:rsidRPr="00DE7DDE">
        <w:rPr>
          <w:sz w:val="20"/>
          <w:szCs w:val="20"/>
        </w:rPr>
        <w:t xml:space="preserve">, internal documents and </w:t>
      </w:r>
      <w:r w:rsidR="006A0489">
        <w:rPr>
          <w:sz w:val="20"/>
          <w:szCs w:val="20"/>
        </w:rPr>
        <w:t>generat</w:t>
      </w:r>
      <w:r w:rsidRPr="00DE7DDE">
        <w:rPr>
          <w:sz w:val="20"/>
          <w:szCs w:val="20"/>
        </w:rPr>
        <w:t xml:space="preserve">ing external reports to ensure the smooth-running of the Fund. </w:t>
      </w:r>
    </w:p>
    <w:p w14:paraId="7B67702F" w14:textId="60975D1B" w:rsidR="0015032A" w:rsidRDefault="0015032A">
      <w:pPr>
        <w:rPr>
          <w:sz w:val="20"/>
          <w:szCs w:val="20"/>
        </w:rPr>
      </w:pPr>
      <w:r w:rsidRPr="00DE7DDE">
        <w:rPr>
          <w:sz w:val="20"/>
          <w:szCs w:val="20"/>
        </w:rPr>
        <w:t>Next semester</w:t>
      </w:r>
      <w:r w:rsidR="006A0489">
        <w:rPr>
          <w:sz w:val="20"/>
          <w:szCs w:val="20"/>
        </w:rPr>
        <w:t>,</w:t>
      </w:r>
      <w:r w:rsidRPr="00DE7DDE">
        <w:rPr>
          <w:sz w:val="20"/>
          <w:szCs w:val="20"/>
        </w:rPr>
        <w:t xml:space="preserve"> the Relationship team welcomes two new junior Relationship Officers</w:t>
      </w:r>
      <w:r w:rsidR="00412687">
        <w:rPr>
          <w:sz w:val="20"/>
          <w:szCs w:val="20"/>
        </w:rPr>
        <w:t xml:space="preserve">, </w:t>
      </w:r>
      <w:r w:rsidR="006815AF">
        <w:rPr>
          <w:sz w:val="20"/>
          <w:szCs w:val="20"/>
        </w:rPr>
        <w:t>Yanfei (</w:t>
      </w:r>
      <w:r w:rsidR="00412687">
        <w:rPr>
          <w:sz w:val="20"/>
          <w:szCs w:val="20"/>
        </w:rPr>
        <w:t>Victoria</w:t>
      </w:r>
      <w:r w:rsidR="006815AF">
        <w:rPr>
          <w:sz w:val="20"/>
          <w:szCs w:val="20"/>
        </w:rPr>
        <w:t>)</w:t>
      </w:r>
      <w:r w:rsidR="00412687">
        <w:rPr>
          <w:sz w:val="20"/>
          <w:szCs w:val="20"/>
        </w:rPr>
        <w:t xml:space="preserve"> Rao and Charya Kannangara </w:t>
      </w:r>
      <w:r w:rsidR="006A0489">
        <w:rPr>
          <w:sz w:val="20"/>
          <w:szCs w:val="20"/>
        </w:rPr>
        <w:t xml:space="preserve">(split </w:t>
      </w:r>
      <w:r w:rsidR="00412687">
        <w:rPr>
          <w:sz w:val="20"/>
          <w:szCs w:val="20"/>
        </w:rPr>
        <w:t>50%</w:t>
      </w:r>
      <w:r w:rsidR="006A0489">
        <w:rPr>
          <w:sz w:val="20"/>
          <w:szCs w:val="20"/>
        </w:rPr>
        <w:t xml:space="preserve"> with R&amp;C)</w:t>
      </w:r>
      <w:r w:rsidRPr="00DE7DDE">
        <w:rPr>
          <w:sz w:val="20"/>
          <w:szCs w:val="20"/>
        </w:rPr>
        <w:t xml:space="preserve">. We have confidence that the team will continue to work hard on publishing </w:t>
      </w:r>
      <w:r w:rsidR="00342237">
        <w:rPr>
          <w:sz w:val="20"/>
          <w:szCs w:val="20"/>
        </w:rPr>
        <w:t>the</w:t>
      </w:r>
      <w:r w:rsidRPr="00DE7DDE">
        <w:rPr>
          <w:sz w:val="20"/>
          <w:szCs w:val="20"/>
        </w:rPr>
        <w:t xml:space="preserve"> SMF website and further expanding the exposure of the Fund to </w:t>
      </w:r>
      <w:r w:rsidR="00342237">
        <w:rPr>
          <w:sz w:val="20"/>
          <w:szCs w:val="20"/>
        </w:rPr>
        <w:t>promote the</w:t>
      </w:r>
      <w:r w:rsidRPr="00DE7DDE">
        <w:rPr>
          <w:sz w:val="20"/>
          <w:szCs w:val="20"/>
        </w:rPr>
        <w:t xml:space="preserve"> positive reputation of </w:t>
      </w:r>
      <w:r w:rsidR="00342237">
        <w:rPr>
          <w:sz w:val="20"/>
          <w:szCs w:val="20"/>
        </w:rPr>
        <w:t>the</w:t>
      </w:r>
      <w:r w:rsidR="00E761FD">
        <w:rPr>
          <w:sz w:val="20"/>
          <w:szCs w:val="20"/>
        </w:rPr>
        <w:t xml:space="preserve"> </w:t>
      </w:r>
      <w:r w:rsidRPr="00DE7DDE">
        <w:rPr>
          <w:sz w:val="20"/>
          <w:szCs w:val="20"/>
        </w:rPr>
        <w:t xml:space="preserve">SMF. </w:t>
      </w:r>
    </w:p>
    <w:p w14:paraId="6E258199" w14:textId="16253BAE" w:rsidR="0015032A" w:rsidRDefault="0015032A" w:rsidP="006A0489">
      <w:pPr>
        <w:spacing w:before="180"/>
        <w:rPr>
          <w:lang w:eastAsia="zh-CN"/>
        </w:rPr>
      </w:pPr>
      <w:r>
        <w:rPr>
          <w:i/>
          <w:sz w:val="20"/>
          <w:szCs w:val="20"/>
          <w:lang w:val="en-US"/>
        </w:rPr>
        <w:t>Alisha Nath &amp; Sophie Lebang, Relationship Officers</w:t>
      </w:r>
      <w:r>
        <w:rPr>
          <w:lang w:eastAsia="zh-CN"/>
        </w:rPr>
        <w:br w:type="page"/>
      </w:r>
    </w:p>
    <w:p w14:paraId="134E85E8" w14:textId="22D8C918" w:rsidR="00C85895" w:rsidRPr="006E0BB3" w:rsidRDefault="0015032A" w:rsidP="00AB1473">
      <w:pPr>
        <w:pStyle w:val="Heading1"/>
        <w:spacing w:before="360"/>
        <w:rPr>
          <w:sz w:val="24"/>
        </w:rPr>
      </w:pPr>
      <w:bookmarkStart w:id="18" w:name="_Toc13642405"/>
      <w:r w:rsidRPr="006E0BB3">
        <w:rPr>
          <w:sz w:val="24"/>
        </w:rPr>
        <w:lastRenderedPageBreak/>
        <w:t>A</w:t>
      </w:r>
      <w:r w:rsidR="00B12FF5" w:rsidRPr="006E0BB3">
        <w:rPr>
          <w:sz w:val="24"/>
        </w:rPr>
        <w:t>ctive Stock Positions</w:t>
      </w:r>
      <w:bookmarkEnd w:id="18"/>
    </w:p>
    <w:p w14:paraId="18E783F3" w14:textId="29DBAFEC" w:rsidR="006E0BB3" w:rsidRDefault="00C85895" w:rsidP="005E089A">
      <w:pPr>
        <w:widowControl/>
        <w:spacing w:before="180" w:after="180"/>
        <w:rPr>
          <w:rFonts w:eastAsia="Times New Roman"/>
          <w:color w:val="000000"/>
          <w:sz w:val="20"/>
          <w:szCs w:val="22"/>
        </w:rPr>
      </w:pPr>
      <w:r w:rsidRPr="006E0BB3">
        <w:rPr>
          <w:rFonts w:eastAsia="Times New Roman"/>
          <w:color w:val="000000"/>
          <w:sz w:val="20"/>
          <w:szCs w:val="22"/>
          <w:bdr w:val="none" w:sz="0" w:space="0" w:color="auto" w:frame="1"/>
        </w:rPr>
        <w:t xml:space="preserve">The AAE team has continued to research new stocks with potential to advance the Fund’s core investment objectives. The SMF is pleased that two of our active investments in Rio </w:t>
      </w:r>
      <w:r w:rsidR="006A0489">
        <w:rPr>
          <w:rFonts w:eastAsia="Times New Roman"/>
          <w:color w:val="000000"/>
          <w:sz w:val="20"/>
          <w:szCs w:val="22"/>
          <w:bdr w:val="none" w:sz="0" w:space="0" w:color="auto" w:frame="1"/>
        </w:rPr>
        <w:t xml:space="preserve">Tinto </w:t>
      </w:r>
      <w:r w:rsidRPr="006E0BB3">
        <w:rPr>
          <w:rFonts w:eastAsia="Times New Roman"/>
          <w:color w:val="000000"/>
          <w:sz w:val="20"/>
          <w:szCs w:val="22"/>
          <w:bdr w:val="none" w:sz="0" w:space="0" w:color="auto" w:frame="1"/>
        </w:rPr>
        <w:t xml:space="preserve">and Telstra have continued to perform well over the first half of this year. The contribution of Rio Tinto </w:t>
      </w:r>
      <w:r w:rsidR="006A0489">
        <w:rPr>
          <w:rFonts w:eastAsia="Times New Roman"/>
          <w:color w:val="000000"/>
          <w:sz w:val="20"/>
          <w:szCs w:val="22"/>
          <w:bdr w:val="none" w:sz="0" w:space="0" w:color="auto" w:frame="1"/>
        </w:rPr>
        <w:t xml:space="preserve">and Telstra </w:t>
      </w:r>
      <w:r w:rsidRPr="006E0BB3">
        <w:rPr>
          <w:rFonts w:eastAsia="Times New Roman"/>
          <w:color w:val="000000"/>
          <w:sz w:val="20"/>
          <w:szCs w:val="22"/>
          <w:bdr w:val="none" w:sz="0" w:space="0" w:color="auto" w:frame="1"/>
        </w:rPr>
        <w:t xml:space="preserve">to the AAE portfolio against the benchmark S&amp;P/ASX200 Exchange Traded Fund (ETF) </w:t>
      </w:r>
      <w:r w:rsidR="006A0489">
        <w:rPr>
          <w:rFonts w:eastAsia="Times New Roman"/>
          <w:color w:val="000000"/>
          <w:sz w:val="20"/>
          <w:szCs w:val="22"/>
          <w:bdr w:val="none" w:sz="0" w:space="0" w:color="auto" w:frame="1"/>
        </w:rPr>
        <w:t xml:space="preserve">since the Fund’s inception </w:t>
      </w:r>
      <w:r w:rsidRPr="006E0BB3">
        <w:rPr>
          <w:rFonts w:eastAsia="Times New Roman"/>
          <w:color w:val="000000"/>
          <w:sz w:val="20"/>
          <w:szCs w:val="22"/>
          <w:bdr w:val="none" w:sz="0" w:space="0" w:color="auto" w:frame="1"/>
        </w:rPr>
        <w:t>has been 2.14% and 0.58%</w:t>
      </w:r>
      <w:r w:rsidR="00490B39">
        <w:rPr>
          <w:rFonts w:eastAsia="Times New Roman"/>
          <w:color w:val="000000"/>
          <w:sz w:val="20"/>
          <w:szCs w:val="22"/>
          <w:bdr w:val="none" w:sz="0" w:space="0" w:color="auto" w:frame="1"/>
        </w:rPr>
        <w:t>,</w:t>
      </w:r>
      <w:r w:rsidRPr="006E0BB3">
        <w:rPr>
          <w:rFonts w:eastAsia="Times New Roman"/>
          <w:color w:val="000000"/>
          <w:sz w:val="20"/>
          <w:szCs w:val="22"/>
          <w:bdr w:val="none" w:sz="0" w:space="0" w:color="auto" w:frame="1"/>
        </w:rPr>
        <w:t xml:space="preserve"> respectively. While one of our active investments </w:t>
      </w:r>
      <w:r w:rsidR="00490B39">
        <w:rPr>
          <w:rFonts w:eastAsia="Times New Roman"/>
          <w:color w:val="000000"/>
          <w:sz w:val="20"/>
          <w:szCs w:val="22"/>
          <w:bdr w:val="none" w:sz="0" w:space="0" w:color="auto" w:frame="1"/>
        </w:rPr>
        <w:t>(</w:t>
      </w:r>
      <w:r w:rsidRPr="006E0BB3">
        <w:rPr>
          <w:rFonts w:eastAsia="Times New Roman"/>
          <w:color w:val="000000"/>
          <w:sz w:val="20"/>
          <w:szCs w:val="22"/>
          <w:bdr w:val="none" w:sz="0" w:space="0" w:color="auto" w:frame="1"/>
        </w:rPr>
        <w:t>Bingo</w:t>
      </w:r>
      <w:r w:rsidR="00490B39">
        <w:rPr>
          <w:rFonts w:eastAsia="Times New Roman"/>
          <w:color w:val="000000"/>
          <w:sz w:val="20"/>
          <w:szCs w:val="22"/>
          <w:bdr w:val="none" w:sz="0" w:space="0" w:color="auto" w:frame="1"/>
        </w:rPr>
        <w:t>)</w:t>
      </w:r>
      <w:r w:rsidRPr="006E0BB3">
        <w:rPr>
          <w:rFonts w:eastAsia="Times New Roman"/>
          <w:color w:val="000000"/>
          <w:sz w:val="20"/>
          <w:szCs w:val="22"/>
          <w:bdr w:val="none" w:sz="0" w:space="0" w:color="auto" w:frame="1"/>
        </w:rPr>
        <w:t xml:space="preserve"> initially performed poorly, it has since experienced a substantial recovery</w:t>
      </w:r>
      <w:r w:rsidR="006A0489">
        <w:rPr>
          <w:rFonts w:eastAsia="Times New Roman"/>
          <w:color w:val="000000"/>
          <w:sz w:val="20"/>
          <w:szCs w:val="22"/>
          <w:bdr w:val="none" w:sz="0" w:space="0" w:color="auto" w:frame="1"/>
        </w:rPr>
        <w:t>. At the time of the m</w:t>
      </w:r>
      <w:r w:rsidRPr="006E0BB3">
        <w:rPr>
          <w:rFonts w:eastAsia="Times New Roman"/>
          <w:color w:val="000000"/>
          <w:sz w:val="20"/>
          <w:szCs w:val="22"/>
          <w:bdr w:val="none" w:sz="0" w:space="0" w:color="auto" w:frame="1"/>
        </w:rPr>
        <w:t>id</w:t>
      </w:r>
      <w:r w:rsidR="006A0489">
        <w:rPr>
          <w:rFonts w:eastAsia="Times New Roman"/>
          <w:color w:val="000000"/>
          <w:sz w:val="20"/>
          <w:szCs w:val="22"/>
          <w:bdr w:val="none" w:sz="0" w:space="0" w:color="auto" w:frame="1"/>
        </w:rPr>
        <w:t>-</w:t>
      </w:r>
      <w:r w:rsidRPr="006E0BB3">
        <w:rPr>
          <w:rFonts w:eastAsia="Times New Roman"/>
          <w:color w:val="000000"/>
          <w:sz w:val="20"/>
          <w:szCs w:val="22"/>
          <w:bdr w:val="none" w:sz="0" w:space="0" w:color="auto" w:frame="1"/>
        </w:rPr>
        <w:t>semester report</w:t>
      </w:r>
      <w:r w:rsidR="006A0489">
        <w:rPr>
          <w:rFonts w:eastAsia="Times New Roman"/>
          <w:color w:val="000000"/>
          <w:sz w:val="20"/>
          <w:szCs w:val="22"/>
          <w:bdr w:val="none" w:sz="0" w:space="0" w:color="auto" w:frame="1"/>
        </w:rPr>
        <w:t>,</w:t>
      </w:r>
      <w:r w:rsidRPr="006E0BB3">
        <w:rPr>
          <w:rFonts w:eastAsia="Times New Roman"/>
          <w:color w:val="000000"/>
          <w:sz w:val="20"/>
          <w:szCs w:val="22"/>
          <w:bdr w:val="none" w:sz="0" w:space="0" w:color="auto" w:frame="1"/>
        </w:rPr>
        <w:t xml:space="preserve"> Bingo </w:t>
      </w:r>
      <w:r w:rsidR="006A0489">
        <w:rPr>
          <w:rFonts w:eastAsia="Times New Roman"/>
          <w:color w:val="000000"/>
          <w:sz w:val="20"/>
          <w:szCs w:val="22"/>
          <w:bdr w:val="none" w:sz="0" w:space="0" w:color="auto" w:frame="1"/>
        </w:rPr>
        <w:t xml:space="preserve">had </w:t>
      </w:r>
      <w:r w:rsidRPr="006E0BB3">
        <w:rPr>
          <w:rFonts w:eastAsia="Times New Roman"/>
          <w:color w:val="000000"/>
          <w:sz w:val="20"/>
          <w:szCs w:val="22"/>
          <w:bdr w:val="none" w:sz="0" w:space="0" w:color="auto" w:frame="1"/>
        </w:rPr>
        <w:t xml:space="preserve">detracted -4.43% from performance </w:t>
      </w:r>
      <w:r w:rsidR="006A0489">
        <w:rPr>
          <w:rFonts w:eastAsia="Times New Roman"/>
          <w:color w:val="000000"/>
          <w:sz w:val="20"/>
          <w:szCs w:val="22"/>
          <w:bdr w:val="none" w:sz="0" w:space="0" w:color="auto" w:frame="1"/>
        </w:rPr>
        <w:t xml:space="preserve">relative to </w:t>
      </w:r>
      <w:r w:rsidR="00490B39">
        <w:rPr>
          <w:rFonts w:eastAsia="Times New Roman"/>
          <w:color w:val="000000"/>
          <w:sz w:val="20"/>
          <w:szCs w:val="22"/>
          <w:bdr w:val="none" w:sz="0" w:space="0" w:color="auto" w:frame="1"/>
        </w:rPr>
        <w:t xml:space="preserve">the </w:t>
      </w:r>
      <w:r w:rsidR="00DC1DE9">
        <w:rPr>
          <w:rFonts w:eastAsia="Times New Roman"/>
          <w:color w:val="000000"/>
          <w:sz w:val="20"/>
          <w:szCs w:val="22"/>
          <w:bdr w:val="none" w:sz="0" w:space="0" w:color="auto" w:frame="1"/>
        </w:rPr>
        <w:t>S&amp;P/</w:t>
      </w:r>
      <w:r w:rsidR="006A0489">
        <w:rPr>
          <w:rFonts w:eastAsia="Times New Roman"/>
          <w:color w:val="000000"/>
          <w:sz w:val="20"/>
          <w:szCs w:val="22"/>
          <w:bdr w:val="none" w:sz="0" w:space="0" w:color="auto" w:frame="1"/>
        </w:rPr>
        <w:t>ASX200 ETF</w:t>
      </w:r>
      <w:r w:rsidR="0006678B">
        <w:rPr>
          <w:rFonts w:eastAsia="Times New Roman"/>
          <w:color w:val="000000"/>
          <w:sz w:val="20"/>
          <w:szCs w:val="22"/>
          <w:bdr w:val="none" w:sz="0" w:space="0" w:color="auto" w:frame="1"/>
        </w:rPr>
        <w:t>; whereas</w:t>
      </w:r>
      <w:r w:rsidRPr="006E0BB3">
        <w:rPr>
          <w:rFonts w:eastAsia="Times New Roman"/>
          <w:color w:val="000000"/>
          <w:sz w:val="20"/>
          <w:szCs w:val="22"/>
          <w:bdr w:val="none" w:sz="0" w:space="0" w:color="auto" w:frame="1"/>
        </w:rPr>
        <w:t xml:space="preserve"> </w:t>
      </w:r>
      <w:r w:rsidR="00DC1DE9">
        <w:rPr>
          <w:rFonts w:eastAsia="Times New Roman"/>
          <w:color w:val="000000"/>
          <w:sz w:val="20"/>
          <w:szCs w:val="22"/>
          <w:bdr w:val="none" w:sz="0" w:space="0" w:color="auto" w:frame="1"/>
        </w:rPr>
        <w:t xml:space="preserve">the </w:t>
      </w:r>
      <w:r w:rsidR="00490B39">
        <w:rPr>
          <w:rFonts w:eastAsia="Times New Roman"/>
          <w:color w:val="000000"/>
          <w:sz w:val="20"/>
          <w:szCs w:val="22"/>
          <w:bdr w:val="none" w:sz="0" w:space="0" w:color="auto" w:frame="1"/>
        </w:rPr>
        <w:t xml:space="preserve">negative </w:t>
      </w:r>
      <w:r w:rsidR="00DC1DE9">
        <w:rPr>
          <w:rFonts w:eastAsia="Times New Roman"/>
          <w:color w:val="000000"/>
          <w:sz w:val="20"/>
          <w:szCs w:val="22"/>
          <w:bdr w:val="none" w:sz="0" w:space="0" w:color="auto" w:frame="1"/>
        </w:rPr>
        <w:t>contribution ha</w:t>
      </w:r>
      <w:r w:rsidR="00897D85">
        <w:rPr>
          <w:rFonts w:eastAsia="Times New Roman"/>
          <w:color w:val="000000"/>
          <w:sz w:val="20"/>
          <w:szCs w:val="22"/>
          <w:bdr w:val="none" w:sz="0" w:space="0" w:color="auto" w:frame="1"/>
        </w:rPr>
        <w:t>s</w:t>
      </w:r>
      <w:r w:rsidR="00DC1DE9">
        <w:rPr>
          <w:rFonts w:eastAsia="Times New Roman"/>
          <w:color w:val="000000"/>
          <w:sz w:val="20"/>
          <w:szCs w:val="22"/>
          <w:bdr w:val="none" w:sz="0" w:space="0" w:color="auto" w:frame="1"/>
        </w:rPr>
        <w:t xml:space="preserve"> </w:t>
      </w:r>
      <w:r w:rsidR="00897D85">
        <w:rPr>
          <w:rFonts w:eastAsia="Times New Roman"/>
          <w:color w:val="000000"/>
          <w:sz w:val="20"/>
          <w:szCs w:val="22"/>
          <w:bdr w:val="none" w:sz="0" w:space="0" w:color="auto" w:frame="1"/>
        </w:rPr>
        <w:t>reduced</w:t>
      </w:r>
      <w:r w:rsidR="00DC1DE9">
        <w:rPr>
          <w:rFonts w:eastAsia="Times New Roman"/>
          <w:color w:val="000000"/>
          <w:sz w:val="20"/>
          <w:szCs w:val="22"/>
          <w:bdr w:val="none" w:sz="0" w:space="0" w:color="auto" w:frame="1"/>
        </w:rPr>
        <w:t xml:space="preserve"> to </w:t>
      </w:r>
      <w:r w:rsidR="00DC1DE9" w:rsidRPr="006E0BB3">
        <w:rPr>
          <w:rFonts w:eastAsia="Times New Roman"/>
          <w:color w:val="000000"/>
          <w:sz w:val="20"/>
          <w:szCs w:val="22"/>
          <w:bdr w:val="none" w:sz="0" w:space="0" w:color="auto" w:frame="1"/>
        </w:rPr>
        <w:t>-2.38%</w:t>
      </w:r>
      <w:r w:rsidR="00DC1DE9">
        <w:rPr>
          <w:rFonts w:eastAsia="Times New Roman"/>
          <w:color w:val="000000"/>
          <w:sz w:val="20"/>
          <w:szCs w:val="22"/>
          <w:bdr w:val="none" w:sz="0" w:space="0" w:color="auto" w:frame="1"/>
        </w:rPr>
        <w:t xml:space="preserve"> </w:t>
      </w:r>
      <w:r w:rsidR="0006678B">
        <w:rPr>
          <w:rFonts w:eastAsia="Times New Roman"/>
          <w:color w:val="000000"/>
          <w:sz w:val="20"/>
          <w:szCs w:val="22"/>
          <w:bdr w:val="none" w:sz="0" w:space="0" w:color="auto" w:frame="1"/>
        </w:rPr>
        <w:t>by</w:t>
      </w:r>
      <w:r w:rsidRPr="006E0BB3">
        <w:rPr>
          <w:rFonts w:eastAsia="Times New Roman"/>
          <w:color w:val="000000"/>
          <w:sz w:val="20"/>
          <w:szCs w:val="22"/>
          <w:bdr w:val="none" w:sz="0" w:space="0" w:color="auto" w:frame="1"/>
        </w:rPr>
        <w:t xml:space="preserve"> 21</w:t>
      </w:r>
      <w:r w:rsidR="0006678B">
        <w:rPr>
          <w:rFonts w:eastAsia="Times New Roman"/>
          <w:color w:val="000000"/>
          <w:sz w:val="20"/>
          <w:szCs w:val="22"/>
          <w:bdr w:val="none" w:sz="0" w:space="0" w:color="auto" w:frame="1"/>
          <w:vertAlign w:val="superscript"/>
        </w:rPr>
        <w:t xml:space="preserve"> </w:t>
      </w:r>
      <w:r w:rsidRPr="006E0BB3">
        <w:rPr>
          <w:rFonts w:eastAsia="Times New Roman"/>
          <w:color w:val="000000"/>
          <w:sz w:val="20"/>
          <w:szCs w:val="22"/>
          <w:bdr w:val="none" w:sz="0" w:space="0" w:color="auto" w:frame="1"/>
        </w:rPr>
        <w:t>June</w:t>
      </w:r>
      <w:r w:rsidR="00DC1DE9">
        <w:rPr>
          <w:rFonts w:eastAsia="Times New Roman"/>
          <w:color w:val="000000"/>
          <w:sz w:val="20"/>
          <w:szCs w:val="22"/>
          <w:bdr w:val="none" w:sz="0" w:space="0" w:color="auto" w:frame="1"/>
        </w:rPr>
        <w:t xml:space="preserve"> 2019</w:t>
      </w:r>
      <w:r w:rsidRPr="006E0BB3">
        <w:rPr>
          <w:rFonts w:eastAsia="Times New Roman"/>
          <w:color w:val="000000"/>
          <w:sz w:val="20"/>
          <w:szCs w:val="22"/>
          <w:bdr w:val="none" w:sz="0" w:space="0" w:color="auto" w:frame="1"/>
        </w:rPr>
        <w:t>. Over the second half of the semester, the AAE team has acquired two new active investments in Inghams</w:t>
      </w:r>
      <w:r w:rsidR="00C25464">
        <w:rPr>
          <w:rFonts w:eastAsia="Times New Roman"/>
          <w:color w:val="000000"/>
          <w:sz w:val="20"/>
          <w:szCs w:val="22"/>
          <w:bdr w:val="none" w:sz="0" w:space="0" w:color="auto" w:frame="1"/>
        </w:rPr>
        <w:t xml:space="preserve"> Group </w:t>
      </w:r>
      <w:r w:rsidRPr="006E0BB3">
        <w:rPr>
          <w:rFonts w:eastAsia="Times New Roman"/>
          <w:color w:val="000000"/>
          <w:sz w:val="20"/>
          <w:szCs w:val="22"/>
          <w:bdr w:val="none" w:sz="0" w:space="0" w:color="auto" w:frame="1"/>
        </w:rPr>
        <w:t>and Westpac</w:t>
      </w:r>
      <w:r w:rsidR="00C25464">
        <w:rPr>
          <w:rFonts w:eastAsia="Times New Roman"/>
          <w:color w:val="000000"/>
          <w:sz w:val="20"/>
          <w:szCs w:val="22"/>
          <w:bdr w:val="none" w:sz="0" w:space="0" w:color="auto" w:frame="1"/>
        </w:rPr>
        <w:t xml:space="preserve"> Banking Corporation</w:t>
      </w:r>
      <w:r w:rsidRPr="006E0BB3">
        <w:rPr>
          <w:rFonts w:eastAsia="Times New Roman"/>
          <w:color w:val="000000"/>
          <w:sz w:val="20"/>
          <w:szCs w:val="22"/>
          <w:bdr w:val="none" w:sz="0" w:space="0" w:color="auto" w:frame="1"/>
        </w:rPr>
        <w:t>. The AAE team provides further insight into these respective positions in our Stock Spotlight section below.</w:t>
      </w:r>
    </w:p>
    <w:p w14:paraId="11B662E5" w14:textId="6B5157A8" w:rsidR="009F1C1A" w:rsidRPr="00B12FF5" w:rsidRDefault="009F1C1A" w:rsidP="00AB1473">
      <w:pPr>
        <w:pStyle w:val="Heading3"/>
        <w:spacing w:before="300"/>
      </w:pPr>
      <w:bookmarkStart w:id="19" w:name="_Toc13642406"/>
      <w:r w:rsidRPr="00B12FF5">
        <w:t>Stock Spotlight: Inghams</w:t>
      </w:r>
      <w:r w:rsidR="006815AF">
        <w:t xml:space="preserve"> Group</w:t>
      </w:r>
      <w:bookmarkEnd w:id="19"/>
    </w:p>
    <w:p w14:paraId="1CFCB1A0" w14:textId="41C8435A" w:rsidR="009F1C1A" w:rsidRPr="006E0BB3" w:rsidRDefault="00CA3707" w:rsidP="005E089A">
      <w:pPr>
        <w:pStyle w:val="NormalWeb"/>
        <w:shd w:val="clear" w:color="auto" w:fill="FFFFFF"/>
        <w:spacing w:before="180" w:beforeAutospacing="0" w:after="180" w:afterAutospacing="0" w:line="252" w:lineRule="auto"/>
        <w:jc w:val="both"/>
        <w:rPr>
          <w:rFonts w:eastAsia="SimSun"/>
          <w:sz w:val="20"/>
          <w:szCs w:val="20"/>
          <w:lang w:eastAsia="en-US"/>
        </w:rPr>
      </w:pPr>
      <w:r w:rsidRPr="006E0BB3">
        <w:rPr>
          <w:rFonts w:eastAsia="SimSun"/>
          <w:sz w:val="20"/>
          <w:szCs w:val="20"/>
          <w:lang w:eastAsia="en-US"/>
        </w:rPr>
        <w:t>The first investment recommendation of Semester 1, 2019</w:t>
      </w:r>
      <w:r w:rsidR="009F1C1A" w:rsidRPr="006E0BB3">
        <w:rPr>
          <w:rFonts w:eastAsia="SimSun"/>
          <w:sz w:val="20"/>
          <w:szCs w:val="20"/>
          <w:lang w:eastAsia="en-US"/>
        </w:rPr>
        <w:t xml:space="preserve"> was Inghams Group</w:t>
      </w:r>
      <w:r w:rsidR="00DC1DE9">
        <w:rPr>
          <w:rFonts w:eastAsia="SimSun"/>
          <w:sz w:val="20"/>
          <w:szCs w:val="20"/>
          <w:lang w:eastAsia="en-US"/>
        </w:rPr>
        <w:t>. This</w:t>
      </w:r>
      <w:r w:rsidR="009F1C1A" w:rsidRPr="006E0BB3">
        <w:rPr>
          <w:rFonts w:eastAsia="SimSun"/>
          <w:sz w:val="20"/>
          <w:szCs w:val="20"/>
          <w:lang w:eastAsia="en-US"/>
        </w:rPr>
        <w:t xml:space="preserve"> </w:t>
      </w:r>
      <w:r w:rsidR="003A5129" w:rsidRPr="006E0BB3">
        <w:rPr>
          <w:rFonts w:eastAsia="SimSun"/>
          <w:sz w:val="20"/>
          <w:szCs w:val="20"/>
          <w:lang w:eastAsia="en-US"/>
        </w:rPr>
        <w:t xml:space="preserve">presented </w:t>
      </w:r>
      <w:r w:rsidR="009F1C1A" w:rsidRPr="006E0BB3">
        <w:rPr>
          <w:rFonts w:eastAsia="SimSun"/>
          <w:sz w:val="20"/>
          <w:szCs w:val="20"/>
          <w:lang w:eastAsia="en-US"/>
        </w:rPr>
        <w:t xml:space="preserve">an opportunity to purchase a company with solid cash flow growth and </w:t>
      </w:r>
      <w:r w:rsidR="003A5129" w:rsidRPr="006E0BB3">
        <w:rPr>
          <w:rFonts w:eastAsia="SimSun"/>
          <w:sz w:val="20"/>
          <w:szCs w:val="20"/>
          <w:lang w:eastAsia="en-US"/>
        </w:rPr>
        <w:t xml:space="preserve">potential for long-run </w:t>
      </w:r>
      <w:r w:rsidR="009F1C1A" w:rsidRPr="006E0BB3">
        <w:rPr>
          <w:rFonts w:eastAsia="SimSun"/>
          <w:sz w:val="20"/>
          <w:szCs w:val="20"/>
          <w:lang w:eastAsia="en-US"/>
        </w:rPr>
        <w:t xml:space="preserve">value creation at a price well below our valuation. The investment thesis was formed on the belief that Inghams will continue to benefit from the structure of the poultry industry and the </w:t>
      </w:r>
      <w:r w:rsidR="003A5129" w:rsidRPr="006E0BB3">
        <w:rPr>
          <w:rFonts w:eastAsia="SimSun"/>
          <w:sz w:val="20"/>
          <w:szCs w:val="20"/>
          <w:lang w:eastAsia="en-US"/>
        </w:rPr>
        <w:t xml:space="preserve">steady </w:t>
      </w:r>
      <w:r w:rsidR="009F1C1A" w:rsidRPr="006E0BB3">
        <w:rPr>
          <w:rFonts w:eastAsia="SimSun"/>
          <w:sz w:val="20"/>
          <w:szCs w:val="20"/>
          <w:lang w:eastAsia="en-US"/>
        </w:rPr>
        <w:t>rise in poultry consumption in Australia and New Zealand. In addition, Inghams continues to further their cost advantage over smaller regional competitors by improving production and labour efficiency through Project Accelerate</w:t>
      </w:r>
      <w:r w:rsidR="00EC7037" w:rsidRPr="006E0BB3">
        <w:rPr>
          <w:rFonts w:eastAsia="SimSun"/>
          <w:sz w:val="20"/>
          <w:szCs w:val="20"/>
          <w:lang w:eastAsia="en-US"/>
        </w:rPr>
        <w:t>,</w:t>
      </w:r>
      <w:r w:rsidR="009F1C1A" w:rsidRPr="006E0BB3">
        <w:rPr>
          <w:rFonts w:eastAsia="SimSun"/>
          <w:sz w:val="20"/>
          <w:szCs w:val="20"/>
          <w:lang w:eastAsia="en-US"/>
        </w:rPr>
        <w:t xml:space="preserve"> which is also helping </w:t>
      </w:r>
      <w:r w:rsidR="00EC7037" w:rsidRPr="006E0BB3">
        <w:rPr>
          <w:rFonts w:eastAsia="SimSun"/>
          <w:sz w:val="20"/>
          <w:szCs w:val="20"/>
          <w:lang w:eastAsia="en-US"/>
        </w:rPr>
        <w:t xml:space="preserve">to </w:t>
      </w:r>
      <w:r w:rsidR="009F1C1A" w:rsidRPr="006E0BB3">
        <w:rPr>
          <w:rFonts w:eastAsia="SimSun"/>
          <w:sz w:val="20"/>
          <w:szCs w:val="20"/>
          <w:lang w:eastAsia="en-US"/>
        </w:rPr>
        <w:t xml:space="preserve">overcome input cost headwinds caused by </w:t>
      </w:r>
      <w:r w:rsidR="00EC7037" w:rsidRPr="006E0BB3">
        <w:rPr>
          <w:rFonts w:eastAsia="SimSun"/>
          <w:sz w:val="20"/>
          <w:szCs w:val="20"/>
          <w:lang w:eastAsia="en-US"/>
        </w:rPr>
        <w:t xml:space="preserve">the current </w:t>
      </w:r>
      <w:r w:rsidR="009F1C1A" w:rsidRPr="006E0BB3">
        <w:rPr>
          <w:rFonts w:eastAsia="SimSun"/>
          <w:sz w:val="20"/>
          <w:szCs w:val="20"/>
          <w:lang w:eastAsia="en-US"/>
        </w:rPr>
        <w:t xml:space="preserve">drought conditions within Australia. </w:t>
      </w:r>
      <w:r w:rsidR="00EC7037" w:rsidRPr="006E0BB3">
        <w:rPr>
          <w:rFonts w:eastAsia="SimSun"/>
          <w:sz w:val="20"/>
          <w:szCs w:val="20"/>
          <w:lang w:eastAsia="en-US"/>
        </w:rPr>
        <w:t xml:space="preserve">Consistent with the Fund's SRI values, </w:t>
      </w:r>
      <w:r w:rsidR="009F1C1A" w:rsidRPr="006E0BB3">
        <w:rPr>
          <w:rFonts w:eastAsia="SimSun"/>
          <w:sz w:val="20"/>
          <w:szCs w:val="20"/>
          <w:lang w:eastAsia="en-US"/>
        </w:rPr>
        <w:t>Inghams maintain</w:t>
      </w:r>
      <w:r w:rsidR="00EC7037" w:rsidRPr="006E0BB3">
        <w:rPr>
          <w:rFonts w:eastAsia="SimSun"/>
          <w:sz w:val="20"/>
          <w:szCs w:val="20"/>
          <w:lang w:eastAsia="en-US"/>
        </w:rPr>
        <w:t>s</w:t>
      </w:r>
      <w:r w:rsidR="009F1C1A" w:rsidRPr="006E0BB3">
        <w:rPr>
          <w:rFonts w:eastAsia="SimSun"/>
          <w:sz w:val="20"/>
          <w:szCs w:val="20"/>
          <w:lang w:eastAsia="en-US"/>
        </w:rPr>
        <w:t xml:space="preserve"> a commitment to animal welfare and environmental sustainability in areas such as farming practices, water usage and energy management. Overall, we believe Inghams will be a valuable addition to the SMF portfolio</w:t>
      </w:r>
      <w:r w:rsidR="00EC7037" w:rsidRPr="006E0BB3">
        <w:rPr>
          <w:rFonts w:eastAsia="SimSun"/>
          <w:sz w:val="20"/>
          <w:szCs w:val="20"/>
          <w:lang w:eastAsia="en-US"/>
        </w:rPr>
        <w:t>,</w:t>
      </w:r>
      <w:r w:rsidR="009F1C1A" w:rsidRPr="006E0BB3">
        <w:rPr>
          <w:rFonts w:eastAsia="SimSun"/>
          <w:sz w:val="20"/>
          <w:szCs w:val="20"/>
          <w:lang w:eastAsia="en-US"/>
        </w:rPr>
        <w:t xml:space="preserve"> as it aligns with both the long-term value creation and SRI objectives of the </w:t>
      </w:r>
      <w:r w:rsidR="006815AF">
        <w:rPr>
          <w:rFonts w:eastAsia="SimSun"/>
          <w:sz w:val="20"/>
          <w:szCs w:val="20"/>
          <w:lang w:eastAsia="en-US"/>
        </w:rPr>
        <w:t>F</w:t>
      </w:r>
      <w:r w:rsidR="009F1C1A" w:rsidRPr="006E0BB3">
        <w:rPr>
          <w:rFonts w:eastAsia="SimSun"/>
          <w:sz w:val="20"/>
          <w:szCs w:val="20"/>
          <w:lang w:eastAsia="en-US"/>
        </w:rPr>
        <w:t>und.</w:t>
      </w:r>
    </w:p>
    <w:p w14:paraId="4D7D0679" w14:textId="2BE4E882" w:rsidR="001816DD" w:rsidRPr="006E0BB3" w:rsidRDefault="001816DD" w:rsidP="00502FEE">
      <w:pPr>
        <w:pStyle w:val="NormalWeb"/>
        <w:widowControl w:val="0"/>
        <w:shd w:val="clear" w:color="auto" w:fill="FFFFFF"/>
        <w:spacing w:before="180" w:beforeAutospacing="0" w:after="120" w:afterAutospacing="0" w:line="252" w:lineRule="auto"/>
        <w:jc w:val="both"/>
        <w:rPr>
          <w:rFonts w:eastAsia="SimSun"/>
          <w:i/>
          <w:sz w:val="20"/>
          <w:szCs w:val="20"/>
          <w:lang w:eastAsia="en-US"/>
        </w:rPr>
      </w:pPr>
      <w:r w:rsidRPr="006E0BB3">
        <w:rPr>
          <w:rFonts w:eastAsia="SimSun"/>
          <w:i/>
          <w:sz w:val="20"/>
          <w:szCs w:val="20"/>
          <w:lang w:eastAsia="en-US"/>
        </w:rPr>
        <w:t>Luke Farrer, AAE Analyst</w:t>
      </w:r>
    </w:p>
    <w:p w14:paraId="2E3D7DA9" w14:textId="22D68D18" w:rsidR="009F1C1A" w:rsidRPr="00B12FF5" w:rsidRDefault="009F1C1A" w:rsidP="00AB1473">
      <w:pPr>
        <w:pStyle w:val="Heading3"/>
        <w:spacing w:before="300"/>
      </w:pPr>
      <w:bookmarkStart w:id="20" w:name="_Toc13642407"/>
      <w:r w:rsidRPr="00B12FF5">
        <w:t>Stock Spotlight: Westpac</w:t>
      </w:r>
      <w:r w:rsidR="006815AF">
        <w:t xml:space="preserve"> Banking Corporation</w:t>
      </w:r>
      <w:bookmarkEnd w:id="20"/>
    </w:p>
    <w:p w14:paraId="080A8CA5" w14:textId="7E4BC7DF" w:rsidR="001816DD" w:rsidRPr="006E0BB3" w:rsidRDefault="001816DD" w:rsidP="0092765D">
      <w:pPr>
        <w:widowControl/>
        <w:spacing w:before="180" w:after="180"/>
        <w:rPr>
          <w:sz w:val="20"/>
          <w:szCs w:val="20"/>
        </w:rPr>
      </w:pPr>
      <w:r w:rsidRPr="006E0BB3">
        <w:rPr>
          <w:sz w:val="20"/>
          <w:szCs w:val="20"/>
        </w:rPr>
        <w:t xml:space="preserve">The </w:t>
      </w:r>
      <w:r w:rsidR="00A40287" w:rsidRPr="006E0BB3">
        <w:rPr>
          <w:sz w:val="20"/>
          <w:szCs w:val="20"/>
        </w:rPr>
        <w:t>second</w:t>
      </w:r>
      <w:r w:rsidRPr="006E0BB3">
        <w:rPr>
          <w:sz w:val="20"/>
          <w:szCs w:val="20"/>
        </w:rPr>
        <w:t xml:space="preserve"> investment recommendation was Westpac Banking Corporation</w:t>
      </w:r>
      <w:r w:rsidR="006815AF">
        <w:rPr>
          <w:sz w:val="20"/>
          <w:szCs w:val="20"/>
        </w:rPr>
        <w:t>,</w:t>
      </w:r>
      <w:r w:rsidRPr="006E0BB3">
        <w:rPr>
          <w:sz w:val="20"/>
          <w:szCs w:val="20"/>
        </w:rPr>
        <w:t xml:space="preserve"> a company with a </w:t>
      </w:r>
      <w:r w:rsidRPr="006E0BB3">
        <w:rPr>
          <w:color w:val="000000"/>
          <w:sz w:val="20"/>
          <w:szCs w:val="20"/>
          <w:bdr w:val="none" w:sz="0" w:space="0" w:color="auto" w:frame="1"/>
          <w:shd w:val="clear" w:color="auto" w:fill="FFFFFF"/>
        </w:rPr>
        <w:t>sustainable competitive position </w:t>
      </w:r>
      <w:r w:rsidR="00CA3707" w:rsidRPr="006E0BB3">
        <w:rPr>
          <w:color w:val="000000"/>
          <w:sz w:val="20"/>
          <w:szCs w:val="20"/>
          <w:bdr w:val="none" w:sz="0" w:space="0" w:color="auto" w:frame="1"/>
          <w:shd w:val="clear" w:color="auto" w:fill="FFFFFF"/>
        </w:rPr>
        <w:t xml:space="preserve">that provides </w:t>
      </w:r>
      <w:r w:rsidR="00DC1DE9">
        <w:rPr>
          <w:color w:val="000000"/>
          <w:sz w:val="20"/>
          <w:szCs w:val="20"/>
          <w:bdr w:val="none" w:sz="0" w:space="0" w:color="auto" w:frame="1"/>
          <w:shd w:val="clear" w:color="auto" w:fill="FFFFFF"/>
        </w:rPr>
        <w:t xml:space="preserve">an </w:t>
      </w:r>
      <w:r w:rsidR="00CA3707" w:rsidRPr="006E0BB3">
        <w:rPr>
          <w:color w:val="000000"/>
          <w:sz w:val="20"/>
          <w:szCs w:val="20"/>
          <w:bdr w:val="none" w:sz="0" w:space="0" w:color="auto" w:frame="1"/>
          <w:shd w:val="clear" w:color="auto" w:fill="FFFFFF"/>
        </w:rPr>
        <w:t>opportunity</w:t>
      </w:r>
      <w:r w:rsidR="00A40287" w:rsidRPr="006E0BB3">
        <w:rPr>
          <w:color w:val="000000"/>
          <w:sz w:val="20"/>
          <w:szCs w:val="20"/>
          <w:bdr w:val="none" w:sz="0" w:space="0" w:color="auto" w:frame="1"/>
          <w:shd w:val="clear" w:color="auto" w:fill="FFFFFF"/>
        </w:rPr>
        <w:t xml:space="preserve"> </w:t>
      </w:r>
      <w:r w:rsidR="00CA3707" w:rsidRPr="006E0BB3">
        <w:rPr>
          <w:color w:val="000000"/>
          <w:sz w:val="20"/>
          <w:szCs w:val="20"/>
          <w:bdr w:val="none" w:sz="0" w:space="0" w:color="auto" w:frame="1"/>
          <w:shd w:val="clear" w:color="auto" w:fill="FFFFFF"/>
        </w:rPr>
        <w:t>for v</w:t>
      </w:r>
      <w:r w:rsidRPr="006E0BB3">
        <w:rPr>
          <w:color w:val="000000"/>
          <w:sz w:val="20"/>
          <w:szCs w:val="20"/>
          <w:bdr w:val="none" w:sz="0" w:space="0" w:color="auto" w:frame="1"/>
          <w:shd w:val="clear" w:color="auto" w:fill="FFFFFF"/>
        </w:rPr>
        <w:t>alue creation over the long-term. W</w:t>
      </w:r>
      <w:r w:rsidR="00C25464">
        <w:rPr>
          <w:color w:val="000000"/>
          <w:sz w:val="20"/>
          <w:szCs w:val="20"/>
          <w:bdr w:val="none" w:sz="0" w:space="0" w:color="auto" w:frame="1"/>
          <w:shd w:val="clear" w:color="auto" w:fill="FFFFFF"/>
        </w:rPr>
        <w:t>estpac</w:t>
      </w:r>
      <w:r w:rsidRPr="006E0BB3">
        <w:rPr>
          <w:color w:val="000000"/>
          <w:sz w:val="20"/>
          <w:szCs w:val="20"/>
          <w:bdr w:val="none" w:sz="0" w:space="0" w:color="auto" w:frame="1"/>
          <w:shd w:val="clear" w:color="auto" w:fill="FFFFFF"/>
        </w:rPr>
        <w:t xml:space="preserve"> also offers a high dividend yield, which is underpinned by its strong capital structure and is</w:t>
      </w:r>
      <w:r w:rsidR="00D43F86" w:rsidRPr="006E0BB3">
        <w:rPr>
          <w:color w:val="000000"/>
          <w:sz w:val="20"/>
          <w:szCs w:val="20"/>
          <w:bdr w:val="none" w:sz="0" w:space="0" w:color="auto" w:frame="1"/>
          <w:shd w:val="clear" w:color="auto" w:fill="FFFFFF"/>
        </w:rPr>
        <w:t xml:space="preserve"> seen to be</w:t>
      </w:r>
      <w:r w:rsidRPr="006E0BB3">
        <w:rPr>
          <w:color w:val="000000"/>
          <w:sz w:val="20"/>
          <w:szCs w:val="20"/>
          <w:bdr w:val="none" w:sz="0" w:space="0" w:color="auto" w:frame="1"/>
          <w:shd w:val="clear" w:color="auto" w:fill="FFFFFF"/>
        </w:rPr>
        <w:t xml:space="preserve"> sustainable under our baseline return on equity (ROE) forecasts. In addition, it carries a high </w:t>
      </w:r>
      <w:r w:rsidR="00CA3707" w:rsidRPr="006E0BB3">
        <w:rPr>
          <w:color w:val="000000"/>
          <w:sz w:val="20"/>
          <w:szCs w:val="20"/>
          <w:bdr w:val="none" w:sz="0" w:space="0" w:color="auto" w:frame="1"/>
          <w:shd w:val="clear" w:color="auto" w:fill="FFFFFF"/>
        </w:rPr>
        <w:t>E</w:t>
      </w:r>
      <w:r w:rsidRPr="006E0BB3">
        <w:rPr>
          <w:color w:val="000000"/>
          <w:sz w:val="20"/>
          <w:szCs w:val="20"/>
          <w:bdr w:val="none" w:sz="0" w:space="0" w:color="auto" w:frame="1"/>
          <w:shd w:val="clear" w:color="auto" w:fill="FFFFFF"/>
        </w:rPr>
        <w:t xml:space="preserve">nvironmental, </w:t>
      </w:r>
      <w:r w:rsidR="00CA3707" w:rsidRPr="006E0BB3">
        <w:rPr>
          <w:color w:val="000000"/>
          <w:sz w:val="20"/>
          <w:szCs w:val="20"/>
          <w:bdr w:val="none" w:sz="0" w:space="0" w:color="auto" w:frame="1"/>
          <w:shd w:val="clear" w:color="auto" w:fill="FFFFFF"/>
        </w:rPr>
        <w:t>S</w:t>
      </w:r>
      <w:r w:rsidRPr="006E0BB3">
        <w:rPr>
          <w:color w:val="000000"/>
          <w:sz w:val="20"/>
          <w:szCs w:val="20"/>
          <w:bdr w:val="none" w:sz="0" w:space="0" w:color="auto" w:frame="1"/>
          <w:shd w:val="clear" w:color="auto" w:fill="FFFFFF"/>
        </w:rPr>
        <w:t xml:space="preserve">ocial and </w:t>
      </w:r>
      <w:r w:rsidR="00CA3707" w:rsidRPr="006E0BB3">
        <w:rPr>
          <w:color w:val="000000"/>
          <w:sz w:val="20"/>
          <w:szCs w:val="20"/>
          <w:bdr w:val="none" w:sz="0" w:space="0" w:color="auto" w:frame="1"/>
          <w:shd w:val="clear" w:color="auto" w:fill="FFFFFF"/>
        </w:rPr>
        <w:t>G</w:t>
      </w:r>
      <w:r w:rsidRPr="006E0BB3">
        <w:rPr>
          <w:color w:val="000000"/>
          <w:sz w:val="20"/>
          <w:szCs w:val="20"/>
          <w:bdr w:val="none" w:sz="0" w:space="0" w:color="auto" w:frame="1"/>
          <w:shd w:val="clear" w:color="auto" w:fill="FFFFFF"/>
        </w:rPr>
        <w:t>overnance (ESG) rating. W</w:t>
      </w:r>
      <w:r w:rsidR="00C25464">
        <w:rPr>
          <w:color w:val="000000"/>
          <w:sz w:val="20"/>
          <w:szCs w:val="20"/>
          <w:bdr w:val="none" w:sz="0" w:space="0" w:color="auto" w:frame="1"/>
          <w:shd w:val="clear" w:color="auto" w:fill="FFFFFF"/>
        </w:rPr>
        <w:t>estpac</w:t>
      </w:r>
      <w:r w:rsidRPr="006E0BB3">
        <w:rPr>
          <w:color w:val="000000"/>
          <w:sz w:val="20"/>
          <w:szCs w:val="20"/>
          <w:bdr w:val="none" w:sz="0" w:space="0" w:color="auto" w:frame="1"/>
          <w:shd w:val="clear" w:color="auto" w:fill="FFFFFF"/>
        </w:rPr>
        <w:t xml:space="preserve"> has consistently been rated as one of the global leaders in sustainability, receiving positive recognition and awards in many global and domestic rankings. The company takes a clear and transparent approach to managing sustainability risks and opportunities, providing a range of governance and risk frameworks and resources to both internal and external stakeholders. Particular aspects that display elements of social benefits aligned with our SRI policy include: proactive policies on climate change, socially responsible lending frameworks to industries (e.g. non-lending practices for environmental or socially harmful sectors such </w:t>
      </w:r>
      <w:r w:rsidR="00CA3707" w:rsidRPr="006E0BB3">
        <w:rPr>
          <w:color w:val="000000"/>
          <w:sz w:val="20"/>
          <w:szCs w:val="20"/>
          <w:bdr w:val="none" w:sz="0" w:space="0" w:color="auto" w:frame="1"/>
          <w:shd w:val="clear" w:color="auto" w:fill="FFFFFF"/>
        </w:rPr>
        <w:t xml:space="preserve">as </w:t>
      </w:r>
      <w:r w:rsidRPr="006E0BB3">
        <w:rPr>
          <w:color w:val="000000"/>
          <w:sz w:val="20"/>
          <w:szCs w:val="20"/>
          <w:bdr w:val="none" w:sz="0" w:space="0" w:color="auto" w:frame="1"/>
          <w:shd w:val="clear" w:color="auto" w:fill="FFFFFF"/>
        </w:rPr>
        <w:t>agribusiness, defence and tobacco), and shared value and social impact action plans. The company also enacts diversity and inclusion, indigenous, and human rights frameworks throughout all facets of its business.</w:t>
      </w:r>
      <w:r w:rsidRPr="006E0BB3">
        <w:rPr>
          <w:sz w:val="20"/>
          <w:szCs w:val="20"/>
        </w:rPr>
        <w:t xml:space="preserve"> </w:t>
      </w:r>
      <w:r w:rsidRPr="006E0BB3">
        <w:rPr>
          <w:color w:val="000000"/>
          <w:sz w:val="20"/>
          <w:szCs w:val="20"/>
          <w:bdr w:val="none" w:sz="0" w:space="0" w:color="auto" w:frame="1"/>
          <w:shd w:val="clear" w:color="auto" w:fill="FFFFFF"/>
        </w:rPr>
        <w:t>These attributes are advantageous for satisfying the Fund’s long-term return objectives and desired portfolio structure.  </w:t>
      </w:r>
    </w:p>
    <w:p w14:paraId="27A45F9D" w14:textId="07B8980D" w:rsidR="001343EC" w:rsidRPr="006E0BB3" w:rsidRDefault="001816DD" w:rsidP="00502FEE">
      <w:pPr>
        <w:spacing w:before="180"/>
        <w:rPr>
          <w:i/>
          <w:sz w:val="20"/>
          <w:szCs w:val="20"/>
        </w:rPr>
      </w:pPr>
      <w:r w:rsidRPr="006E0BB3">
        <w:rPr>
          <w:i/>
          <w:sz w:val="20"/>
          <w:szCs w:val="20"/>
        </w:rPr>
        <w:t>L</w:t>
      </w:r>
      <w:r w:rsidR="00A62B4A" w:rsidRPr="006E0BB3">
        <w:rPr>
          <w:i/>
          <w:sz w:val="20"/>
          <w:szCs w:val="20"/>
        </w:rPr>
        <w:t>achlan</w:t>
      </w:r>
      <w:r w:rsidRPr="006E0BB3">
        <w:rPr>
          <w:i/>
          <w:sz w:val="20"/>
          <w:szCs w:val="20"/>
        </w:rPr>
        <w:t xml:space="preserve"> Phillips &amp; Khurshed Mehta, AAE Analysts</w:t>
      </w:r>
    </w:p>
    <w:p w14:paraId="5D4D4245" w14:textId="77777777" w:rsidR="007230BC" w:rsidRDefault="007230BC">
      <w:pPr>
        <w:rPr>
          <w:b/>
          <w:bCs/>
          <w:iCs/>
          <w:color w:val="5B9BD5" w:themeColor="accent1"/>
          <w:szCs w:val="28"/>
        </w:rPr>
      </w:pPr>
    </w:p>
    <w:p w14:paraId="719124BD" w14:textId="34EC12B6" w:rsidR="007230BC" w:rsidRDefault="007230BC">
      <w:pPr>
        <w:rPr>
          <w:b/>
          <w:bCs/>
          <w:iCs/>
          <w:color w:val="5B9BD5" w:themeColor="accent1"/>
          <w:szCs w:val="28"/>
        </w:rPr>
      </w:pPr>
    </w:p>
    <w:p w14:paraId="5F96A95B" w14:textId="31EBEEB6" w:rsidR="006E0BB3" w:rsidRDefault="006E0BB3">
      <w:pPr>
        <w:rPr>
          <w:b/>
          <w:bCs/>
          <w:iCs/>
          <w:color w:val="5B9BD5" w:themeColor="accent1"/>
          <w:szCs w:val="28"/>
        </w:rPr>
      </w:pPr>
    </w:p>
    <w:p w14:paraId="4331901D" w14:textId="0EC15232" w:rsidR="006E0BB3" w:rsidRDefault="006E0BB3">
      <w:pPr>
        <w:rPr>
          <w:b/>
          <w:bCs/>
          <w:iCs/>
          <w:color w:val="5B9BD5" w:themeColor="accent1"/>
          <w:szCs w:val="28"/>
        </w:rPr>
      </w:pPr>
    </w:p>
    <w:p w14:paraId="297B10FF" w14:textId="7147CF64" w:rsidR="006E0BB3" w:rsidRDefault="006E0BB3">
      <w:pPr>
        <w:rPr>
          <w:b/>
          <w:bCs/>
          <w:iCs/>
          <w:color w:val="5B9BD5" w:themeColor="accent1"/>
          <w:szCs w:val="28"/>
        </w:rPr>
      </w:pPr>
    </w:p>
    <w:p w14:paraId="1E7B282C" w14:textId="77777777" w:rsidR="006E0BB3" w:rsidRDefault="006E0BB3">
      <w:pPr>
        <w:rPr>
          <w:b/>
          <w:bCs/>
          <w:iCs/>
          <w:color w:val="5B9BD5" w:themeColor="accent1"/>
          <w:szCs w:val="28"/>
        </w:rPr>
      </w:pPr>
    </w:p>
    <w:p w14:paraId="0762FCDE" w14:textId="77777777" w:rsidR="00DC1DE9" w:rsidRDefault="00DC1DE9">
      <w:pPr>
        <w:widowControl/>
        <w:spacing w:before="0" w:after="160" w:line="259" w:lineRule="auto"/>
        <w:jc w:val="left"/>
        <w:rPr>
          <w:rFonts w:eastAsiaTheme="minorEastAsia"/>
          <w:b/>
          <w:color w:val="5B9BD5" w:themeColor="accent1"/>
          <w:spacing w:val="15"/>
          <w:szCs w:val="32"/>
        </w:rPr>
      </w:pPr>
      <w:r>
        <w:br w:type="page"/>
      </w:r>
    </w:p>
    <w:p w14:paraId="46C1223E" w14:textId="0F6DEE7D" w:rsidR="007230BC" w:rsidRPr="006E0BB3" w:rsidRDefault="006E0BB3" w:rsidP="006E0BB3">
      <w:pPr>
        <w:pStyle w:val="Heading1"/>
        <w:rPr>
          <w:sz w:val="24"/>
        </w:rPr>
      </w:pPr>
      <w:bookmarkStart w:id="21" w:name="_Toc13642408"/>
      <w:r w:rsidRPr="006E0BB3">
        <w:rPr>
          <w:sz w:val="24"/>
        </w:rPr>
        <w:lastRenderedPageBreak/>
        <w:t>Portfolio Overview</w:t>
      </w:r>
      <w:bookmarkEnd w:id="21"/>
    </w:p>
    <w:p w14:paraId="04C249C4" w14:textId="3FEA185C" w:rsidR="00F846F0" w:rsidRPr="00B26FDB" w:rsidRDefault="00F846F0" w:rsidP="00F846F0">
      <w:pPr>
        <w:pStyle w:val="Heading3"/>
        <w:spacing w:before="360"/>
        <w:rPr>
          <w:lang w:val="en-US"/>
        </w:rPr>
      </w:pPr>
      <w:bookmarkStart w:id="22" w:name="_Toc13642409"/>
      <w:r>
        <w:rPr>
          <w:lang w:val="en-US"/>
        </w:rPr>
        <w:t>Portfolio Structure</w:t>
      </w:r>
      <w:bookmarkEnd w:id="22"/>
    </w:p>
    <w:p w14:paraId="71F9F798" w14:textId="698A6232" w:rsidR="006E0BB3" w:rsidRPr="00DA692E" w:rsidRDefault="006E0BB3" w:rsidP="0091516F">
      <w:pPr>
        <w:widowControl/>
        <w:spacing w:before="180" w:after="180"/>
        <w:rPr>
          <w:color w:val="000000"/>
          <w:sz w:val="20"/>
          <w:szCs w:val="20"/>
          <w:bdr w:val="none" w:sz="0" w:space="0" w:color="auto" w:frame="1"/>
          <w:shd w:val="clear" w:color="auto" w:fill="FFFFFF"/>
        </w:rPr>
      </w:pPr>
      <w:r w:rsidRPr="006E0BB3">
        <w:rPr>
          <w:color w:val="000000"/>
          <w:sz w:val="20"/>
          <w:szCs w:val="20"/>
          <w:bdr w:val="none" w:sz="0" w:space="0" w:color="auto" w:frame="1"/>
          <w:shd w:val="clear" w:color="auto" w:fill="FFFFFF"/>
        </w:rPr>
        <w:t xml:space="preserve">We report </w:t>
      </w:r>
      <w:r w:rsidR="00DC1DE9">
        <w:rPr>
          <w:color w:val="000000"/>
          <w:sz w:val="20"/>
          <w:szCs w:val="20"/>
          <w:bdr w:val="none" w:sz="0" w:space="0" w:color="auto" w:frame="1"/>
          <w:shd w:val="clear" w:color="auto" w:fill="FFFFFF"/>
        </w:rPr>
        <w:t xml:space="preserve">the </w:t>
      </w:r>
      <w:r w:rsidRPr="006E0BB3">
        <w:rPr>
          <w:color w:val="000000"/>
          <w:sz w:val="20"/>
          <w:szCs w:val="20"/>
          <w:bdr w:val="none" w:sz="0" w:space="0" w:color="auto" w:frame="1"/>
          <w:shd w:val="clear" w:color="auto" w:fill="FFFFFF"/>
        </w:rPr>
        <w:t xml:space="preserve">portfolio weights </w:t>
      </w:r>
      <w:r w:rsidR="00377535">
        <w:rPr>
          <w:color w:val="000000"/>
          <w:sz w:val="20"/>
          <w:szCs w:val="20"/>
          <w:bdr w:val="none" w:sz="0" w:space="0" w:color="auto" w:frame="1"/>
          <w:shd w:val="clear" w:color="auto" w:fill="FFFFFF"/>
        </w:rPr>
        <w:t xml:space="preserve">as </w:t>
      </w:r>
      <w:r w:rsidRPr="006E0BB3">
        <w:rPr>
          <w:color w:val="000000"/>
          <w:sz w:val="20"/>
          <w:szCs w:val="20"/>
          <w:bdr w:val="none" w:sz="0" w:space="0" w:color="auto" w:frame="1"/>
          <w:shd w:val="clear" w:color="auto" w:fill="FFFFFF"/>
        </w:rPr>
        <w:t>at 21</w:t>
      </w:r>
      <w:r w:rsidR="00C04C9B">
        <w:rPr>
          <w:color w:val="000000"/>
          <w:sz w:val="20"/>
          <w:szCs w:val="20"/>
          <w:bdr w:val="none" w:sz="0" w:space="0" w:color="auto" w:frame="1"/>
          <w:shd w:val="clear" w:color="auto" w:fill="FFFFFF"/>
        </w:rPr>
        <w:t xml:space="preserve"> </w:t>
      </w:r>
      <w:r w:rsidRPr="006E0BB3">
        <w:rPr>
          <w:color w:val="000000"/>
          <w:sz w:val="20"/>
          <w:szCs w:val="20"/>
          <w:bdr w:val="none" w:sz="0" w:space="0" w:color="auto" w:frame="1"/>
          <w:shd w:val="clear" w:color="auto" w:fill="FFFFFF"/>
        </w:rPr>
        <w:t xml:space="preserve">June 2019 </w:t>
      </w:r>
      <w:r w:rsidR="00DC1DE9">
        <w:rPr>
          <w:color w:val="000000"/>
          <w:sz w:val="20"/>
          <w:szCs w:val="20"/>
          <w:bdr w:val="none" w:sz="0" w:space="0" w:color="auto" w:frame="1"/>
          <w:shd w:val="clear" w:color="auto" w:fill="FFFFFF"/>
        </w:rPr>
        <w:t>in</w:t>
      </w:r>
      <w:r w:rsidRPr="006E0BB3">
        <w:rPr>
          <w:color w:val="000000"/>
          <w:sz w:val="20"/>
          <w:szCs w:val="20"/>
          <w:bdr w:val="none" w:sz="0" w:space="0" w:color="auto" w:frame="1"/>
          <w:shd w:val="clear" w:color="auto" w:fill="FFFFFF"/>
        </w:rPr>
        <w:t xml:space="preserve"> Figure 1. With regard to the AAE portfolio</w:t>
      </w:r>
      <w:r w:rsidR="00DC1DE9">
        <w:rPr>
          <w:color w:val="000000"/>
          <w:sz w:val="20"/>
          <w:szCs w:val="20"/>
          <w:bdr w:val="none" w:sz="0" w:space="0" w:color="auto" w:frame="1"/>
          <w:shd w:val="clear" w:color="auto" w:fill="FFFFFF"/>
        </w:rPr>
        <w:t xml:space="preserve">, </w:t>
      </w:r>
      <w:r w:rsidRPr="006E0BB3">
        <w:rPr>
          <w:color w:val="000000"/>
          <w:sz w:val="20"/>
          <w:szCs w:val="20"/>
          <w:bdr w:val="none" w:sz="0" w:space="0" w:color="auto" w:frame="1"/>
          <w:shd w:val="clear" w:color="auto" w:fill="FFFFFF"/>
        </w:rPr>
        <w:t xml:space="preserve">active positions </w:t>
      </w:r>
      <w:r w:rsidR="00DC1DE9">
        <w:rPr>
          <w:color w:val="000000"/>
          <w:sz w:val="20"/>
          <w:szCs w:val="20"/>
          <w:bdr w:val="none" w:sz="0" w:space="0" w:color="auto" w:frame="1"/>
          <w:shd w:val="clear" w:color="auto" w:fill="FFFFFF"/>
        </w:rPr>
        <w:t xml:space="preserve">have been added </w:t>
      </w:r>
      <w:r w:rsidRPr="006E0BB3">
        <w:rPr>
          <w:color w:val="000000"/>
          <w:sz w:val="20"/>
          <w:szCs w:val="20"/>
          <w:bdr w:val="none" w:sz="0" w:space="0" w:color="auto" w:frame="1"/>
          <w:shd w:val="clear" w:color="auto" w:fill="FFFFFF"/>
        </w:rPr>
        <w:t>in Inghams (9.44%) and Westpac (9.82%)</w:t>
      </w:r>
      <w:r w:rsidR="00DC1DE9">
        <w:rPr>
          <w:color w:val="000000"/>
          <w:sz w:val="20"/>
          <w:szCs w:val="20"/>
          <w:bdr w:val="none" w:sz="0" w:space="0" w:color="auto" w:frame="1"/>
          <w:shd w:val="clear" w:color="auto" w:fill="FFFFFF"/>
        </w:rPr>
        <w:t xml:space="preserve">, </w:t>
      </w:r>
      <w:r w:rsidR="0091516F">
        <w:rPr>
          <w:color w:val="000000"/>
          <w:sz w:val="20"/>
          <w:szCs w:val="20"/>
          <w:bdr w:val="none" w:sz="0" w:space="0" w:color="auto" w:frame="1"/>
          <w:shd w:val="clear" w:color="auto" w:fill="FFFFFF"/>
        </w:rPr>
        <w:t xml:space="preserve">with </w:t>
      </w:r>
      <w:r w:rsidRPr="006E0BB3">
        <w:rPr>
          <w:color w:val="000000"/>
          <w:sz w:val="20"/>
          <w:szCs w:val="20"/>
          <w:bdr w:val="none" w:sz="0" w:space="0" w:color="auto" w:frame="1"/>
          <w:shd w:val="clear" w:color="auto" w:fill="FFFFFF"/>
        </w:rPr>
        <w:t>these trades endorsed by the IAC and executed during Semester 1</w:t>
      </w:r>
      <w:r w:rsidR="00F64B6B">
        <w:rPr>
          <w:color w:val="000000"/>
          <w:sz w:val="20"/>
          <w:szCs w:val="20"/>
          <w:bdr w:val="none" w:sz="0" w:space="0" w:color="auto" w:frame="1"/>
          <w:shd w:val="clear" w:color="auto" w:fill="FFFFFF"/>
        </w:rPr>
        <w:t>,</w:t>
      </w:r>
      <w:r w:rsidRPr="006E0BB3">
        <w:rPr>
          <w:color w:val="000000"/>
          <w:sz w:val="20"/>
          <w:szCs w:val="20"/>
          <w:bdr w:val="none" w:sz="0" w:space="0" w:color="auto" w:frame="1"/>
          <w:shd w:val="clear" w:color="auto" w:fill="FFFFFF"/>
        </w:rPr>
        <w:t xml:space="preserve"> 2019.  </w:t>
      </w:r>
      <w:r w:rsidR="0091516F">
        <w:rPr>
          <w:color w:val="000000"/>
          <w:sz w:val="20"/>
          <w:szCs w:val="20"/>
          <w:bdr w:val="none" w:sz="0" w:space="0" w:color="auto" w:frame="1"/>
          <w:shd w:val="clear" w:color="auto" w:fill="FFFFFF"/>
        </w:rPr>
        <w:t xml:space="preserve"> </w:t>
      </w:r>
      <w:r w:rsidRPr="006E0BB3">
        <w:rPr>
          <w:color w:val="000000"/>
          <w:sz w:val="20"/>
          <w:szCs w:val="20"/>
          <w:bdr w:val="none" w:sz="0" w:space="0" w:color="auto" w:frame="1"/>
          <w:shd w:val="clear" w:color="auto" w:fill="FFFFFF"/>
        </w:rPr>
        <w:t>All positions were funded from the partial disposal of the S&amp;P/ASX200 ETF.</w:t>
      </w:r>
      <w:r w:rsidR="0091516F">
        <w:rPr>
          <w:color w:val="000000"/>
          <w:sz w:val="20"/>
          <w:szCs w:val="20"/>
          <w:bdr w:val="none" w:sz="0" w:space="0" w:color="auto" w:frame="1"/>
          <w:shd w:val="clear" w:color="auto" w:fill="FFFFFF"/>
        </w:rPr>
        <w:t xml:space="preserve"> The weighting in Bingo has </w:t>
      </w:r>
      <w:r w:rsidR="0091516F" w:rsidRPr="006E0BB3">
        <w:rPr>
          <w:color w:val="000000"/>
          <w:sz w:val="20"/>
          <w:szCs w:val="20"/>
          <w:bdr w:val="none" w:sz="0" w:space="0" w:color="auto" w:frame="1"/>
          <w:shd w:val="clear" w:color="auto" w:fill="FFFFFF"/>
        </w:rPr>
        <w:t xml:space="preserve">reduced </w:t>
      </w:r>
      <w:r w:rsidR="0091516F">
        <w:rPr>
          <w:color w:val="000000"/>
          <w:sz w:val="20"/>
          <w:szCs w:val="20"/>
          <w:bdr w:val="none" w:sz="0" w:space="0" w:color="auto" w:frame="1"/>
          <w:shd w:val="clear" w:color="auto" w:fill="FFFFFF"/>
        </w:rPr>
        <w:t>from its initial level of 10% to 7.72% as a consequence of underperformance.</w:t>
      </w:r>
      <w:r w:rsidR="0091516F" w:rsidRPr="0091516F">
        <w:rPr>
          <w:color w:val="000000"/>
          <w:sz w:val="20"/>
          <w:szCs w:val="20"/>
          <w:bdr w:val="none" w:sz="0" w:space="0" w:color="auto" w:frame="1"/>
          <w:shd w:val="clear" w:color="auto" w:fill="FFFFFF"/>
        </w:rPr>
        <w:t xml:space="preserve"> </w:t>
      </w:r>
      <w:r w:rsidR="0091516F" w:rsidRPr="006E0BB3">
        <w:rPr>
          <w:color w:val="000000"/>
          <w:sz w:val="20"/>
          <w:szCs w:val="20"/>
          <w:bdr w:val="none" w:sz="0" w:space="0" w:color="auto" w:frame="1"/>
          <w:shd w:val="clear" w:color="auto" w:fill="FFFFFF"/>
        </w:rPr>
        <w:t xml:space="preserve">Figure 2 </w:t>
      </w:r>
      <w:r w:rsidR="0091516F">
        <w:rPr>
          <w:color w:val="000000"/>
          <w:sz w:val="20"/>
          <w:szCs w:val="20"/>
          <w:bdr w:val="none" w:sz="0" w:space="0" w:color="auto" w:frame="1"/>
          <w:shd w:val="clear" w:color="auto" w:fill="FFFFFF"/>
        </w:rPr>
        <w:t xml:space="preserve">(see over) </w:t>
      </w:r>
      <w:r w:rsidR="0091516F" w:rsidRPr="006E0BB3">
        <w:rPr>
          <w:color w:val="000000"/>
          <w:sz w:val="20"/>
          <w:szCs w:val="20"/>
          <w:bdr w:val="none" w:sz="0" w:space="0" w:color="auto" w:frame="1"/>
          <w:shd w:val="clear" w:color="auto" w:fill="FFFFFF"/>
        </w:rPr>
        <w:t xml:space="preserve">details the Fund’s portfolio structure, listing </w:t>
      </w:r>
      <w:r w:rsidR="0091516F">
        <w:rPr>
          <w:color w:val="000000"/>
          <w:sz w:val="20"/>
          <w:szCs w:val="20"/>
          <w:bdr w:val="none" w:sz="0" w:space="0" w:color="auto" w:frame="1"/>
          <w:shd w:val="clear" w:color="auto" w:fill="FFFFFF"/>
        </w:rPr>
        <w:t>the</w:t>
      </w:r>
      <w:r w:rsidR="0091516F" w:rsidRPr="006E0BB3">
        <w:rPr>
          <w:color w:val="000000"/>
          <w:sz w:val="20"/>
          <w:szCs w:val="20"/>
          <w:bdr w:val="none" w:sz="0" w:space="0" w:color="auto" w:frame="1"/>
          <w:shd w:val="clear" w:color="auto" w:fill="FFFFFF"/>
        </w:rPr>
        <w:t xml:space="preserve"> values and weightings </w:t>
      </w:r>
      <w:r w:rsidR="0091516F">
        <w:rPr>
          <w:color w:val="000000"/>
          <w:sz w:val="20"/>
          <w:szCs w:val="20"/>
          <w:bdr w:val="none" w:sz="0" w:space="0" w:color="auto" w:frame="1"/>
          <w:shd w:val="clear" w:color="auto" w:fill="FFFFFF"/>
        </w:rPr>
        <w:t xml:space="preserve">of the investments held </w:t>
      </w:r>
      <w:r w:rsidR="0091516F" w:rsidRPr="006E0BB3">
        <w:rPr>
          <w:color w:val="000000"/>
          <w:sz w:val="20"/>
          <w:szCs w:val="20"/>
          <w:bdr w:val="none" w:sz="0" w:space="0" w:color="auto" w:frame="1"/>
          <w:shd w:val="clear" w:color="auto" w:fill="FFFFFF"/>
        </w:rPr>
        <w:t>within the portfolio.</w:t>
      </w:r>
    </w:p>
    <w:p w14:paraId="69DA0F54" w14:textId="3BAB8AD9" w:rsidR="006E0BB3" w:rsidRPr="00AB1473" w:rsidRDefault="006E0BB3" w:rsidP="00DA692E">
      <w:pPr>
        <w:spacing w:before="240" w:after="60"/>
        <w:rPr>
          <w:b/>
          <w:sz w:val="22"/>
          <w:szCs w:val="22"/>
        </w:rPr>
      </w:pPr>
      <w:r w:rsidRPr="00AB1473">
        <w:rPr>
          <w:b/>
          <w:noProof/>
          <w:sz w:val="22"/>
          <w:szCs w:val="22"/>
          <w:lang w:eastAsia="en-AU"/>
        </w:rPr>
        <w:drawing>
          <wp:anchor distT="0" distB="0" distL="114300" distR="114300" simplePos="0" relativeHeight="251658240" behindDoc="1" locked="0" layoutInCell="1" allowOverlap="1" wp14:anchorId="71F95370" wp14:editId="3E398554">
            <wp:simplePos x="0" y="0"/>
            <wp:positionH relativeFrom="margin">
              <wp:align>left</wp:align>
            </wp:positionH>
            <wp:positionV relativeFrom="paragraph">
              <wp:posOffset>241674</wp:posOffset>
            </wp:positionV>
            <wp:extent cx="6210300" cy="3648075"/>
            <wp:effectExtent l="0" t="0" r="0" b="9525"/>
            <wp:wrapTight wrapText="bothSides">
              <wp:wrapPolygon edited="0">
                <wp:start x="0" y="0"/>
                <wp:lineTo x="0" y="21544"/>
                <wp:lineTo x="21534" y="21544"/>
                <wp:lineTo x="21534" y="0"/>
                <wp:lineTo x="0" y="0"/>
              </wp:wrapPolygon>
            </wp:wrapTight>
            <wp:docPr id="1" name="Chart 1">
              <a:extLst xmlns:a="http://schemas.openxmlformats.org/drawingml/2006/main">
                <a:ext uri="{FF2B5EF4-FFF2-40B4-BE49-F238E27FC236}">
                  <a16:creationId xmlns:a16="http://schemas.microsoft.com/office/drawing/2014/main" id="{F9ADF949-C7CD-9144-95C8-045A8C5908D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14:sizeRelH relativeFrom="page">
              <wp14:pctWidth>0</wp14:pctWidth>
            </wp14:sizeRelH>
            <wp14:sizeRelV relativeFrom="page">
              <wp14:pctHeight>0</wp14:pctHeight>
            </wp14:sizeRelV>
          </wp:anchor>
        </w:drawing>
      </w:r>
      <w:r w:rsidRPr="00AB1473">
        <w:rPr>
          <w:b/>
          <w:sz w:val="22"/>
          <w:szCs w:val="22"/>
        </w:rPr>
        <w:t>Figure 1: Asset Allocation as at 21/06/19</w:t>
      </w:r>
    </w:p>
    <w:p w14:paraId="0EDE097B" w14:textId="77777777" w:rsidR="006E0BB3" w:rsidRDefault="006E0BB3" w:rsidP="006E0BB3">
      <w:pPr>
        <w:widowControl/>
        <w:spacing w:before="0" w:after="160" w:line="259" w:lineRule="auto"/>
        <w:rPr>
          <w:color w:val="000000"/>
          <w:sz w:val="20"/>
          <w:szCs w:val="20"/>
          <w:bdr w:val="none" w:sz="0" w:space="0" w:color="auto" w:frame="1"/>
          <w:shd w:val="clear" w:color="auto" w:fill="FFFFFF"/>
        </w:rPr>
      </w:pPr>
    </w:p>
    <w:p w14:paraId="1B65CC4B" w14:textId="7A270322" w:rsidR="006E0BB3" w:rsidRDefault="006E0BB3">
      <w:pPr>
        <w:widowControl/>
        <w:spacing w:before="0" w:after="160" w:line="259" w:lineRule="auto"/>
        <w:jc w:val="left"/>
        <w:rPr>
          <w:b/>
          <w:bCs/>
          <w:iCs/>
          <w:color w:val="5B9BD5" w:themeColor="accent1"/>
          <w:szCs w:val="28"/>
        </w:rPr>
      </w:pPr>
    </w:p>
    <w:p w14:paraId="45B0371F" w14:textId="7A0867BD" w:rsidR="006E0BB3" w:rsidRDefault="006E0BB3">
      <w:pPr>
        <w:widowControl/>
        <w:spacing w:before="0" w:after="160" w:line="259" w:lineRule="auto"/>
        <w:jc w:val="left"/>
        <w:rPr>
          <w:b/>
          <w:bCs/>
          <w:iCs/>
          <w:color w:val="5B9BD5" w:themeColor="accent1"/>
          <w:szCs w:val="28"/>
        </w:rPr>
      </w:pPr>
      <w:r>
        <w:rPr>
          <w:b/>
          <w:bCs/>
          <w:iCs/>
          <w:color w:val="5B9BD5" w:themeColor="accent1"/>
          <w:szCs w:val="28"/>
        </w:rPr>
        <w:br w:type="page"/>
      </w:r>
    </w:p>
    <w:p w14:paraId="2F80B685" w14:textId="04FD70FD" w:rsidR="006E0BB3" w:rsidRPr="00AB1473" w:rsidRDefault="006E0BB3" w:rsidP="00DA692E">
      <w:pPr>
        <w:spacing w:before="180" w:after="60"/>
        <w:rPr>
          <w:b/>
          <w:sz w:val="22"/>
          <w:szCs w:val="22"/>
        </w:rPr>
      </w:pPr>
      <w:r w:rsidRPr="00AB1473">
        <w:rPr>
          <w:b/>
          <w:sz w:val="22"/>
          <w:szCs w:val="22"/>
        </w:rPr>
        <w:lastRenderedPageBreak/>
        <w:t>Figure 2: Portfolio Structure</w:t>
      </w:r>
      <w:r w:rsidR="00F70490">
        <w:rPr>
          <w:b/>
          <w:sz w:val="22"/>
          <w:szCs w:val="22"/>
        </w:rPr>
        <w:t xml:space="preserve"> </w:t>
      </w:r>
      <w:r w:rsidR="003E3C44">
        <w:rPr>
          <w:b/>
          <w:sz w:val="22"/>
          <w:szCs w:val="22"/>
        </w:rPr>
        <w:t xml:space="preserve">as at </w:t>
      </w:r>
      <w:r w:rsidR="00E84312" w:rsidRPr="00AB1473">
        <w:rPr>
          <w:b/>
          <w:sz w:val="22"/>
          <w:szCs w:val="22"/>
        </w:rPr>
        <w:t>21 June 2019</w:t>
      </w:r>
    </w:p>
    <w:tbl>
      <w:tblPr>
        <w:tblStyle w:val="TableGrid"/>
        <w:tblW w:w="4868" w:type="pct"/>
        <w:tblBorders>
          <w:top w:val="single" w:sz="8" w:space="0" w:color="auto"/>
          <w:left w:val="single" w:sz="8" w:space="0" w:color="auto"/>
          <w:bottom w:val="single" w:sz="8" w:space="0" w:color="auto"/>
          <w:right w:val="single" w:sz="8"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466"/>
        <w:gridCol w:w="1740"/>
        <w:gridCol w:w="1497"/>
        <w:gridCol w:w="1146"/>
        <w:gridCol w:w="1196"/>
        <w:gridCol w:w="1288"/>
      </w:tblGrid>
      <w:tr w:rsidR="003E3C44" w:rsidRPr="00E74FF3" w14:paraId="50EA44EA" w14:textId="77777777" w:rsidTr="0042068D">
        <w:trPr>
          <w:trHeight w:val="783"/>
        </w:trPr>
        <w:tc>
          <w:tcPr>
            <w:tcW w:w="1321" w:type="pct"/>
            <w:tcBorders>
              <w:top w:val="single" w:sz="6" w:space="0" w:color="auto"/>
              <w:left w:val="single" w:sz="6" w:space="0" w:color="auto"/>
              <w:bottom w:val="nil"/>
            </w:tcBorders>
            <w:shd w:val="clear" w:color="auto" w:fill="DEEAF6"/>
            <w:tcMar>
              <w:left w:w="57" w:type="dxa"/>
            </w:tcMar>
            <w:vAlign w:val="center"/>
          </w:tcPr>
          <w:p w14:paraId="1D98E061" w14:textId="77777777" w:rsidR="003E3C44" w:rsidRPr="00E74FF3" w:rsidRDefault="003E3C44" w:rsidP="0042068D">
            <w:pPr>
              <w:adjustRightInd w:val="0"/>
              <w:snapToGrid w:val="0"/>
              <w:spacing w:before="0" w:after="0" w:line="240" w:lineRule="auto"/>
              <w:jc w:val="left"/>
              <w:rPr>
                <w:rFonts w:eastAsia="Times New Roman"/>
                <w:b/>
                <w:sz w:val="18"/>
                <w:szCs w:val="18"/>
              </w:rPr>
            </w:pPr>
            <w:r w:rsidRPr="00E74FF3">
              <w:rPr>
                <w:rFonts w:eastAsia="Times New Roman"/>
                <w:b/>
                <w:sz w:val="18"/>
                <w:szCs w:val="18"/>
                <w:lang w:val="en-US"/>
              </w:rPr>
              <w:t>Portfolio Component</w:t>
            </w:r>
          </w:p>
        </w:tc>
        <w:tc>
          <w:tcPr>
            <w:tcW w:w="932" w:type="pct"/>
            <w:tcBorders>
              <w:top w:val="single" w:sz="6" w:space="0" w:color="auto"/>
              <w:bottom w:val="nil"/>
            </w:tcBorders>
            <w:shd w:val="clear" w:color="auto" w:fill="DEEAF6"/>
            <w:vAlign w:val="center"/>
          </w:tcPr>
          <w:p w14:paraId="0CE4B2BF" w14:textId="77777777" w:rsidR="003E3C44" w:rsidRPr="00E74FF3" w:rsidRDefault="003E3C44" w:rsidP="0042068D">
            <w:pPr>
              <w:adjustRightInd w:val="0"/>
              <w:snapToGrid w:val="0"/>
              <w:spacing w:before="0" w:after="0" w:line="240" w:lineRule="auto"/>
              <w:jc w:val="center"/>
              <w:rPr>
                <w:rFonts w:eastAsia="Times New Roman"/>
                <w:b/>
                <w:sz w:val="18"/>
                <w:szCs w:val="18"/>
              </w:rPr>
            </w:pPr>
            <w:r w:rsidRPr="00E74FF3">
              <w:rPr>
                <w:rFonts w:eastAsia="Times New Roman"/>
                <w:b/>
                <w:sz w:val="18"/>
                <w:szCs w:val="18"/>
                <w:lang w:val="en-US"/>
              </w:rPr>
              <w:t>Benchmark ETF</w:t>
            </w:r>
          </w:p>
        </w:tc>
        <w:tc>
          <w:tcPr>
            <w:tcW w:w="802" w:type="pct"/>
            <w:tcBorders>
              <w:top w:val="single" w:sz="6" w:space="0" w:color="auto"/>
              <w:bottom w:val="nil"/>
            </w:tcBorders>
            <w:shd w:val="clear" w:color="auto" w:fill="DEEAF6"/>
            <w:vAlign w:val="center"/>
          </w:tcPr>
          <w:p w14:paraId="3CAA0422" w14:textId="77777777" w:rsidR="003E3C44" w:rsidRPr="007C0756" w:rsidRDefault="003E3C44" w:rsidP="0042068D">
            <w:pPr>
              <w:suppressLineNumbers/>
              <w:adjustRightInd w:val="0"/>
              <w:snapToGrid w:val="0"/>
              <w:spacing w:before="0" w:after="0" w:line="240" w:lineRule="auto"/>
              <w:ind w:firstLine="21"/>
              <w:jc w:val="center"/>
              <w:rPr>
                <w:rFonts w:eastAsia="Times New Roman"/>
                <w:b/>
                <w:sz w:val="18"/>
                <w:szCs w:val="18"/>
                <w:lang w:val="en-US"/>
              </w:rPr>
            </w:pPr>
            <w:r w:rsidRPr="00E74FF3">
              <w:rPr>
                <w:rFonts w:eastAsia="Times New Roman"/>
                <w:b/>
                <w:sz w:val="18"/>
                <w:szCs w:val="18"/>
                <w:lang w:val="en-US"/>
              </w:rPr>
              <w:t>Asset Values</w:t>
            </w:r>
          </w:p>
        </w:tc>
        <w:tc>
          <w:tcPr>
            <w:tcW w:w="614" w:type="pct"/>
            <w:tcBorders>
              <w:top w:val="single" w:sz="6" w:space="0" w:color="auto"/>
              <w:bottom w:val="nil"/>
            </w:tcBorders>
            <w:shd w:val="clear" w:color="auto" w:fill="DEEAF6"/>
            <w:vAlign w:val="center"/>
          </w:tcPr>
          <w:p w14:paraId="616D4F69" w14:textId="77777777" w:rsidR="003E3C44" w:rsidRPr="00E74FF3" w:rsidRDefault="003E3C44" w:rsidP="0042068D">
            <w:pPr>
              <w:suppressLineNumbers/>
              <w:adjustRightInd w:val="0"/>
              <w:snapToGrid w:val="0"/>
              <w:spacing w:before="0" w:after="0" w:line="240" w:lineRule="auto"/>
              <w:jc w:val="center"/>
              <w:rPr>
                <w:rFonts w:eastAsia="Times New Roman"/>
                <w:b/>
                <w:sz w:val="18"/>
                <w:szCs w:val="18"/>
                <w:lang w:val="en-US"/>
              </w:rPr>
            </w:pPr>
            <w:r>
              <w:rPr>
                <w:rFonts w:eastAsia="Times New Roman"/>
                <w:b/>
                <w:sz w:val="18"/>
                <w:szCs w:val="18"/>
                <w:lang w:val="en-US"/>
              </w:rPr>
              <w:t xml:space="preserve">SMF </w:t>
            </w:r>
            <w:r w:rsidRPr="00E74FF3">
              <w:rPr>
                <w:rFonts w:eastAsia="Times New Roman"/>
                <w:b/>
                <w:sz w:val="18"/>
                <w:szCs w:val="18"/>
                <w:lang w:val="en-US"/>
              </w:rPr>
              <w:t>Portfolio</w:t>
            </w:r>
            <w:r>
              <w:rPr>
                <w:rFonts w:eastAsia="Times New Roman"/>
                <w:b/>
                <w:sz w:val="18"/>
                <w:szCs w:val="18"/>
                <w:lang w:val="en-US"/>
              </w:rPr>
              <w:t xml:space="preserve"> </w:t>
            </w:r>
            <w:r w:rsidRPr="00E74FF3">
              <w:rPr>
                <w:rFonts w:eastAsia="Times New Roman"/>
                <w:b/>
                <w:sz w:val="18"/>
                <w:szCs w:val="18"/>
                <w:lang w:val="en-US"/>
              </w:rPr>
              <w:t>Weight</w:t>
            </w:r>
          </w:p>
        </w:tc>
        <w:tc>
          <w:tcPr>
            <w:tcW w:w="641" w:type="pct"/>
            <w:tcBorders>
              <w:top w:val="single" w:sz="6" w:space="0" w:color="auto"/>
              <w:bottom w:val="nil"/>
            </w:tcBorders>
            <w:shd w:val="clear" w:color="auto" w:fill="DEEAF6"/>
            <w:vAlign w:val="center"/>
          </w:tcPr>
          <w:p w14:paraId="398C5ECA" w14:textId="77777777" w:rsidR="003E3C44" w:rsidRPr="00E74FF3" w:rsidRDefault="003E3C44" w:rsidP="0042068D">
            <w:pPr>
              <w:adjustRightInd w:val="0"/>
              <w:snapToGrid w:val="0"/>
              <w:spacing w:before="0" w:after="0" w:line="240" w:lineRule="auto"/>
              <w:jc w:val="center"/>
              <w:rPr>
                <w:rFonts w:eastAsia="Times New Roman"/>
                <w:b/>
                <w:sz w:val="18"/>
                <w:szCs w:val="18"/>
              </w:rPr>
            </w:pPr>
            <w:r w:rsidRPr="00E74FF3">
              <w:rPr>
                <w:rFonts w:eastAsia="Times New Roman"/>
                <w:b/>
                <w:sz w:val="18"/>
                <w:szCs w:val="18"/>
                <w:lang w:val="en-US"/>
              </w:rPr>
              <w:t>Reference</w:t>
            </w:r>
            <w:r>
              <w:rPr>
                <w:rFonts w:eastAsia="Times New Roman"/>
                <w:b/>
                <w:sz w:val="18"/>
                <w:szCs w:val="18"/>
                <w:lang w:val="en-US"/>
              </w:rPr>
              <w:t xml:space="preserve"> Portfolio </w:t>
            </w:r>
            <w:r w:rsidRPr="00E74FF3">
              <w:rPr>
                <w:rFonts w:eastAsia="Times New Roman"/>
                <w:b/>
                <w:sz w:val="18"/>
                <w:szCs w:val="18"/>
                <w:lang w:val="en-US"/>
              </w:rPr>
              <w:t xml:space="preserve"> Weight</w:t>
            </w:r>
          </w:p>
        </w:tc>
        <w:tc>
          <w:tcPr>
            <w:tcW w:w="690" w:type="pct"/>
            <w:tcBorders>
              <w:top w:val="single" w:sz="6" w:space="0" w:color="auto"/>
              <w:bottom w:val="nil"/>
              <w:right w:val="single" w:sz="6" w:space="0" w:color="auto"/>
            </w:tcBorders>
            <w:shd w:val="clear" w:color="auto" w:fill="DEEAF6"/>
            <w:tcMar>
              <w:right w:w="57" w:type="dxa"/>
            </w:tcMar>
            <w:vAlign w:val="center"/>
          </w:tcPr>
          <w:p w14:paraId="591D3795" w14:textId="77777777" w:rsidR="003E3C44" w:rsidRPr="00E74FF3" w:rsidRDefault="003E3C44" w:rsidP="0042068D">
            <w:pPr>
              <w:adjustRightInd w:val="0"/>
              <w:snapToGrid w:val="0"/>
              <w:spacing w:before="0" w:after="0" w:line="240" w:lineRule="auto"/>
              <w:jc w:val="center"/>
              <w:rPr>
                <w:rFonts w:eastAsia="Times New Roman"/>
                <w:sz w:val="18"/>
                <w:szCs w:val="18"/>
                <w:lang w:val="en-US"/>
              </w:rPr>
            </w:pPr>
            <w:r w:rsidRPr="00E74FF3">
              <w:rPr>
                <w:rFonts w:eastAsia="Times New Roman"/>
                <w:b/>
                <w:sz w:val="18"/>
                <w:szCs w:val="18"/>
                <w:lang w:val="en-US"/>
              </w:rPr>
              <w:t>Over (Under) Weight</w:t>
            </w:r>
          </w:p>
        </w:tc>
      </w:tr>
      <w:tr w:rsidR="003E3C44" w:rsidRPr="00E74FF3" w14:paraId="51A10611" w14:textId="77777777" w:rsidTr="0042068D">
        <w:trPr>
          <w:trHeight w:val="135"/>
        </w:trPr>
        <w:tc>
          <w:tcPr>
            <w:tcW w:w="1321" w:type="pct"/>
            <w:tcBorders>
              <w:top w:val="nil"/>
              <w:left w:val="single" w:sz="6" w:space="0" w:color="auto"/>
              <w:bottom w:val="single" w:sz="4" w:space="0" w:color="auto"/>
            </w:tcBorders>
            <w:shd w:val="clear" w:color="auto" w:fill="DEEAF6"/>
            <w:tcMar>
              <w:left w:w="57" w:type="dxa"/>
            </w:tcMar>
            <w:vAlign w:val="center"/>
          </w:tcPr>
          <w:p w14:paraId="4662B387" w14:textId="77777777" w:rsidR="003E3C44" w:rsidRPr="00E74FF3" w:rsidRDefault="003E3C44" w:rsidP="0042068D">
            <w:pPr>
              <w:adjustRightInd w:val="0"/>
              <w:snapToGrid w:val="0"/>
              <w:spacing w:before="0" w:after="0" w:line="240" w:lineRule="auto"/>
              <w:jc w:val="left"/>
              <w:rPr>
                <w:rFonts w:eastAsia="Times New Roman"/>
                <w:b/>
                <w:sz w:val="18"/>
                <w:szCs w:val="18"/>
                <w:lang w:val="en-US"/>
              </w:rPr>
            </w:pPr>
          </w:p>
        </w:tc>
        <w:tc>
          <w:tcPr>
            <w:tcW w:w="932" w:type="pct"/>
            <w:tcBorders>
              <w:top w:val="nil"/>
              <w:bottom w:val="single" w:sz="4" w:space="0" w:color="auto"/>
            </w:tcBorders>
            <w:shd w:val="clear" w:color="auto" w:fill="DEEAF6"/>
            <w:vAlign w:val="center"/>
          </w:tcPr>
          <w:p w14:paraId="538E18CF" w14:textId="77777777" w:rsidR="003E3C44" w:rsidRPr="00E74FF3" w:rsidRDefault="003E3C44" w:rsidP="0042068D">
            <w:pPr>
              <w:adjustRightInd w:val="0"/>
              <w:snapToGrid w:val="0"/>
              <w:spacing w:before="0" w:after="0" w:line="240" w:lineRule="auto"/>
              <w:jc w:val="center"/>
              <w:rPr>
                <w:rFonts w:eastAsia="Times New Roman"/>
                <w:b/>
                <w:sz w:val="18"/>
                <w:szCs w:val="18"/>
                <w:lang w:val="en-US"/>
              </w:rPr>
            </w:pPr>
          </w:p>
        </w:tc>
        <w:tc>
          <w:tcPr>
            <w:tcW w:w="802" w:type="pct"/>
            <w:tcBorders>
              <w:top w:val="nil"/>
              <w:bottom w:val="single" w:sz="4" w:space="0" w:color="auto"/>
            </w:tcBorders>
            <w:shd w:val="clear" w:color="auto" w:fill="DEEAF6"/>
            <w:vAlign w:val="center"/>
          </w:tcPr>
          <w:p w14:paraId="0D5AA414" w14:textId="77777777" w:rsidR="003E3C44" w:rsidRPr="00E74FF3" w:rsidRDefault="003E3C44" w:rsidP="0042068D">
            <w:pPr>
              <w:suppressLineNumbers/>
              <w:adjustRightInd w:val="0"/>
              <w:snapToGrid w:val="0"/>
              <w:spacing w:before="0" w:after="0" w:line="240" w:lineRule="auto"/>
              <w:ind w:firstLine="21"/>
              <w:jc w:val="center"/>
              <w:rPr>
                <w:rFonts w:eastAsia="Times New Roman"/>
                <w:b/>
                <w:sz w:val="18"/>
                <w:szCs w:val="18"/>
                <w:lang w:val="en-US"/>
              </w:rPr>
            </w:pPr>
            <w:r>
              <w:rPr>
                <w:rFonts w:eastAsia="Times New Roman"/>
                <w:b/>
                <w:sz w:val="18"/>
                <w:szCs w:val="18"/>
                <w:lang w:val="en-US"/>
              </w:rPr>
              <w:t>$</w:t>
            </w:r>
          </w:p>
        </w:tc>
        <w:tc>
          <w:tcPr>
            <w:tcW w:w="614" w:type="pct"/>
            <w:tcBorders>
              <w:top w:val="nil"/>
              <w:bottom w:val="single" w:sz="4" w:space="0" w:color="auto"/>
            </w:tcBorders>
            <w:shd w:val="clear" w:color="auto" w:fill="DEEAF6"/>
            <w:vAlign w:val="center"/>
          </w:tcPr>
          <w:p w14:paraId="695555CD" w14:textId="77777777" w:rsidR="003E3C44" w:rsidRPr="00E74FF3" w:rsidRDefault="003E3C44" w:rsidP="0042068D">
            <w:pPr>
              <w:suppressLineNumbers/>
              <w:adjustRightInd w:val="0"/>
              <w:snapToGrid w:val="0"/>
              <w:spacing w:before="0" w:after="0" w:line="240" w:lineRule="auto"/>
              <w:jc w:val="center"/>
              <w:rPr>
                <w:rFonts w:eastAsia="Times New Roman"/>
                <w:b/>
                <w:sz w:val="18"/>
                <w:szCs w:val="18"/>
                <w:lang w:val="en-US"/>
              </w:rPr>
            </w:pPr>
            <w:r>
              <w:rPr>
                <w:rFonts w:eastAsia="Times New Roman"/>
                <w:b/>
                <w:sz w:val="18"/>
                <w:szCs w:val="18"/>
                <w:lang w:val="en-US"/>
              </w:rPr>
              <w:t>%</w:t>
            </w:r>
          </w:p>
        </w:tc>
        <w:tc>
          <w:tcPr>
            <w:tcW w:w="641" w:type="pct"/>
            <w:tcBorders>
              <w:top w:val="nil"/>
              <w:bottom w:val="single" w:sz="4" w:space="0" w:color="auto"/>
            </w:tcBorders>
            <w:shd w:val="clear" w:color="auto" w:fill="DEEAF6"/>
            <w:vAlign w:val="center"/>
          </w:tcPr>
          <w:p w14:paraId="09C97EB4" w14:textId="77777777" w:rsidR="003E3C44" w:rsidRPr="00E74FF3" w:rsidRDefault="003E3C44" w:rsidP="0042068D">
            <w:pPr>
              <w:adjustRightInd w:val="0"/>
              <w:snapToGrid w:val="0"/>
              <w:spacing w:before="0" w:after="0" w:line="240" w:lineRule="auto"/>
              <w:jc w:val="center"/>
              <w:rPr>
                <w:rFonts w:eastAsia="Times New Roman"/>
                <w:b/>
                <w:sz w:val="18"/>
                <w:szCs w:val="18"/>
                <w:lang w:val="en-US"/>
              </w:rPr>
            </w:pPr>
            <w:r>
              <w:rPr>
                <w:rFonts w:eastAsia="Times New Roman"/>
                <w:b/>
                <w:sz w:val="18"/>
                <w:szCs w:val="18"/>
                <w:lang w:val="en-US"/>
              </w:rPr>
              <w:t>%</w:t>
            </w:r>
          </w:p>
        </w:tc>
        <w:tc>
          <w:tcPr>
            <w:tcW w:w="690" w:type="pct"/>
            <w:tcBorders>
              <w:top w:val="nil"/>
              <w:bottom w:val="single" w:sz="4" w:space="0" w:color="auto"/>
              <w:right w:val="single" w:sz="6" w:space="0" w:color="auto"/>
            </w:tcBorders>
            <w:shd w:val="clear" w:color="auto" w:fill="DEEAF6"/>
            <w:tcMar>
              <w:right w:w="57" w:type="dxa"/>
            </w:tcMar>
            <w:vAlign w:val="center"/>
          </w:tcPr>
          <w:p w14:paraId="120E8214" w14:textId="77777777" w:rsidR="003E3C44" w:rsidRPr="00E74FF3" w:rsidRDefault="003E3C44" w:rsidP="0042068D">
            <w:pPr>
              <w:adjustRightInd w:val="0"/>
              <w:snapToGrid w:val="0"/>
              <w:spacing w:before="0" w:after="0" w:line="240" w:lineRule="auto"/>
              <w:jc w:val="center"/>
              <w:rPr>
                <w:rFonts w:eastAsia="Times New Roman"/>
                <w:b/>
                <w:sz w:val="18"/>
                <w:szCs w:val="18"/>
                <w:lang w:val="en-US"/>
              </w:rPr>
            </w:pPr>
            <w:r>
              <w:rPr>
                <w:rFonts w:eastAsia="Times New Roman"/>
                <w:b/>
                <w:sz w:val="18"/>
                <w:szCs w:val="18"/>
                <w:lang w:val="en-US"/>
              </w:rPr>
              <w:t>%</w:t>
            </w:r>
          </w:p>
        </w:tc>
      </w:tr>
      <w:tr w:rsidR="003E3C44" w:rsidRPr="00E74FF3" w14:paraId="4D003B02" w14:textId="77777777" w:rsidTr="0042068D">
        <w:tc>
          <w:tcPr>
            <w:tcW w:w="2253" w:type="pct"/>
            <w:gridSpan w:val="2"/>
            <w:tcBorders>
              <w:top w:val="single" w:sz="4" w:space="0" w:color="auto"/>
              <w:left w:val="single" w:sz="6" w:space="0" w:color="auto"/>
              <w:bottom w:val="nil"/>
            </w:tcBorders>
            <w:tcMar>
              <w:left w:w="57" w:type="dxa"/>
            </w:tcMar>
            <w:vAlign w:val="center"/>
          </w:tcPr>
          <w:p w14:paraId="29729AFC" w14:textId="77777777" w:rsidR="003E3C44" w:rsidRPr="00065399" w:rsidRDefault="003E3C44" w:rsidP="0042068D">
            <w:pPr>
              <w:spacing w:after="40" w:line="240" w:lineRule="auto"/>
              <w:jc w:val="left"/>
              <w:rPr>
                <w:rFonts w:eastAsia="Times New Roman"/>
                <w:b/>
                <w:i/>
                <w:sz w:val="18"/>
                <w:szCs w:val="18"/>
                <w:u w:val="single"/>
              </w:rPr>
            </w:pPr>
            <w:r w:rsidRPr="00065399">
              <w:rPr>
                <w:rFonts w:eastAsia="Times New Roman"/>
                <w:b/>
                <w:sz w:val="18"/>
                <w:szCs w:val="18"/>
                <w:u w:val="single"/>
                <w:lang w:val="en-US"/>
              </w:rPr>
              <w:t>Active Australian Equities Portfolio</w:t>
            </w:r>
          </w:p>
        </w:tc>
        <w:tc>
          <w:tcPr>
            <w:tcW w:w="802" w:type="pct"/>
            <w:tcBorders>
              <w:top w:val="single" w:sz="4" w:space="0" w:color="auto"/>
              <w:bottom w:val="nil"/>
            </w:tcBorders>
            <w:vAlign w:val="center"/>
          </w:tcPr>
          <w:p w14:paraId="2CB08319" w14:textId="77777777" w:rsidR="003E3C44" w:rsidRPr="00E74FF3" w:rsidRDefault="003E3C44" w:rsidP="0042068D">
            <w:pPr>
              <w:spacing w:before="40" w:after="40" w:line="240" w:lineRule="auto"/>
              <w:jc w:val="center"/>
              <w:rPr>
                <w:rFonts w:eastAsia="Times New Roman"/>
                <w:b/>
                <w:i/>
                <w:sz w:val="18"/>
                <w:szCs w:val="18"/>
              </w:rPr>
            </w:pPr>
          </w:p>
        </w:tc>
        <w:tc>
          <w:tcPr>
            <w:tcW w:w="614" w:type="pct"/>
            <w:tcBorders>
              <w:top w:val="single" w:sz="4" w:space="0" w:color="auto"/>
              <w:bottom w:val="nil"/>
            </w:tcBorders>
          </w:tcPr>
          <w:p w14:paraId="0AA22FDA" w14:textId="77777777" w:rsidR="003E3C44" w:rsidRPr="00E74FF3" w:rsidRDefault="003E3C44" w:rsidP="0042068D">
            <w:pPr>
              <w:spacing w:before="40" w:after="40" w:line="240" w:lineRule="auto"/>
              <w:jc w:val="center"/>
              <w:rPr>
                <w:rFonts w:eastAsia="Times New Roman"/>
                <w:b/>
                <w:i/>
                <w:sz w:val="18"/>
                <w:szCs w:val="18"/>
              </w:rPr>
            </w:pPr>
          </w:p>
        </w:tc>
        <w:tc>
          <w:tcPr>
            <w:tcW w:w="641" w:type="pct"/>
            <w:tcBorders>
              <w:top w:val="single" w:sz="4" w:space="0" w:color="auto"/>
              <w:bottom w:val="nil"/>
            </w:tcBorders>
            <w:vAlign w:val="center"/>
          </w:tcPr>
          <w:p w14:paraId="0B12628A" w14:textId="77777777" w:rsidR="003E3C44" w:rsidRPr="00E74FF3" w:rsidRDefault="003E3C44" w:rsidP="0042068D">
            <w:pPr>
              <w:spacing w:before="40" w:after="40" w:line="240" w:lineRule="auto"/>
              <w:jc w:val="center"/>
              <w:rPr>
                <w:rFonts w:eastAsia="Times New Roman"/>
                <w:b/>
                <w:i/>
                <w:sz w:val="18"/>
                <w:szCs w:val="18"/>
              </w:rPr>
            </w:pPr>
          </w:p>
        </w:tc>
        <w:tc>
          <w:tcPr>
            <w:tcW w:w="690" w:type="pct"/>
            <w:tcBorders>
              <w:top w:val="single" w:sz="4" w:space="0" w:color="auto"/>
              <w:bottom w:val="nil"/>
              <w:right w:val="single" w:sz="6" w:space="0" w:color="auto"/>
            </w:tcBorders>
            <w:tcMar>
              <w:right w:w="57" w:type="dxa"/>
            </w:tcMar>
          </w:tcPr>
          <w:p w14:paraId="5B5AFF47" w14:textId="77777777" w:rsidR="003E3C44" w:rsidRPr="00E74FF3" w:rsidRDefault="003E3C44" w:rsidP="0042068D">
            <w:pPr>
              <w:spacing w:before="40" w:after="40" w:line="240" w:lineRule="auto"/>
              <w:jc w:val="center"/>
              <w:rPr>
                <w:rFonts w:eastAsia="Times New Roman"/>
                <w:b/>
                <w:i/>
                <w:sz w:val="18"/>
                <w:szCs w:val="18"/>
              </w:rPr>
            </w:pPr>
          </w:p>
        </w:tc>
      </w:tr>
      <w:tr w:rsidR="003E3C44" w:rsidRPr="00E74FF3" w14:paraId="1BD90785" w14:textId="77777777" w:rsidTr="0042068D">
        <w:tc>
          <w:tcPr>
            <w:tcW w:w="1321" w:type="pct"/>
            <w:tcBorders>
              <w:top w:val="nil"/>
              <w:left w:val="single" w:sz="6" w:space="0" w:color="auto"/>
              <w:bottom w:val="nil"/>
            </w:tcBorders>
            <w:tcMar>
              <w:left w:w="57" w:type="dxa"/>
            </w:tcMar>
            <w:vAlign w:val="center"/>
          </w:tcPr>
          <w:p w14:paraId="1CE48B01" w14:textId="77777777" w:rsidR="003E3C44" w:rsidRPr="00E74FF3" w:rsidRDefault="003E3C44" w:rsidP="0042068D">
            <w:pPr>
              <w:spacing w:before="40" w:after="40" w:line="240" w:lineRule="auto"/>
              <w:ind w:left="14"/>
              <w:jc w:val="left"/>
              <w:rPr>
                <w:rFonts w:eastAsia="Times New Roman"/>
                <w:sz w:val="18"/>
                <w:szCs w:val="18"/>
              </w:rPr>
            </w:pPr>
            <w:r w:rsidRPr="00E74FF3">
              <w:rPr>
                <w:rFonts w:eastAsia="Times New Roman"/>
                <w:sz w:val="18"/>
                <w:szCs w:val="18"/>
                <w:lang w:val="en-US"/>
              </w:rPr>
              <w:t>Bingo Industries Limited</w:t>
            </w:r>
          </w:p>
        </w:tc>
        <w:tc>
          <w:tcPr>
            <w:tcW w:w="932" w:type="pct"/>
            <w:tcBorders>
              <w:top w:val="nil"/>
              <w:bottom w:val="nil"/>
            </w:tcBorders>
            <w:vAlign w:val="center"/>
          </w:tcPr>
          <w:p w14:paraId="06B55F96" w14:textId="77777777" w:rsidR="003E3C44" w:rsidRPr="00E74FF3" w:rsidRDefault="003E3C44" w:rsidP="0042068D">
            <w:pPr>
              <w:spacing w:before="40" w:after="40" w:line="240" w:lineRule="auto"/>
              <w:jc w:val="center"/>
              <w:rPr>
                <w:rFonts w:eastAsia="Times New Roman"/>
                <w:sz w:val="18"/>
                <w:szCs w:val="18"/>
              </w:rPr>
            </w:pPr>
          </w:p>
        </w:tc>
        <w:tc>
          <w:tcPr>
            <w:tcW w:w="802" w:type="pct"/>
            <w:tcBorders>
              <w:top w:val="nil"/>
              <w:bottom w:val="nil"/>
            </w:tcBorders>
            <w:vAlign w:val="center"/>
          </w:tcPr>
          <w:p w14:paraId="7720B623" w14:textId="77777777" w:rsidR="003E3C44" w:rsidRDefault="003E3C44" w:rsidP="0042068D">
            <w:pPr>
              <w:widowControl/>
              <w:spacing w:before="40" w:after="40" w:line="240" w:lineRule="auto"/>
              <w:jc w:val="center"/>
              <w:rPr>
                <w:rFonts w:eastAsia="Times New Roman"/>
                <w:color w:val="000000"/>
                <w:sz w:val="18"/>
                <w:szCs w:val="18"/>
              </w:rPr>
            </w:pPr>
            <w:r>
              <w:rPr>
                <w:color w:val="000000"/>
                <w:sz w:val="18"/>
                <w:szCs w:val="18"/>
              </w:rPr>
              <w:t>26,837</w:t>
            </w:r>
          </w:p>
        </w:tc>
        <w:tc>
          <w:tcPr>
            <w:tcW w:w="614" w:type="pct"/>
            <w:tcBorders>
              <w:top w:val="nil"/>
              <w:bottom w:val="nil"/>
            </w:tcBorders>
            <w:vAlign w:val="center"/>
          </w:tcPr>
          <w:p w14:paraId="3CF842D8" w14:textId="77777777" w:rsidR="003E3C44" w:rsidRDefault="003E3C44" w:rsidP="0042068D">
            <w:pPr>
              <w:spacing w:before="40" w:after="40" w:line="240" w:lineRule="auto"/>
              <w:jc w:val="center"/>
              <w:rPr>
                <w:color w:val="000000"/>
                <w:sz w:val="18"/>
                <w:szCs w:val="18"/>
              </w:rPr>
            </w:pPr>
            <w:r>
              <w:rPr>
                <w:color w:val="000000"/>
                <w:sz w:val="18"/>
                <w:szCs w:val="18"/>
              </w:rPr>
              <w:t>3.87</w:t>
            </w:r>
          </w:p>
        </w:tc>
        <w:tc>
          <w:tcPr>
            <w:tcW w:w="641" w:type="pct"/>
            <w:tcBorders>
              <w:top w:val="nil"/>
              <w:bottom w:val="nil"/>
            </w:tcBorders>
            <w:vAlign w:val="center"/>
          </w:tcPr>
          <w:p w14:paraId="1B292220" w14:textId="77777777" w:rsidR="003E3C44" w:rsidRDefault="003E3C44" w:rsidP="0042068D">
            <w:pPr>
              <w:spacing w:before="40" w:after="40" w:line="240" w:lineRule="auto"/>
              <w:jc w:val="center"/>
              <w:rPr>
                <w:color w:val="000000"/>
                <w:sz w:val="18"/>
                <w:szCs w:val="18"/>
              </w:rPr>
            </w:pPr>
            <w:r>
              <w:rPr>
                <w:color w:val="000000"/>
                <w:sz w:val="18"/>
                <w:szCs w:val="18"/>
              </w:rPr>
              <w:t> </w:t>
            </w:r>
          </w:p>
        </w:tc>
        <w:tc>
          <w:tcPr>
            <w:tcW w:w="690" w:type="pct"/>
            <w:tcBorders>
              <w:top w:val="nil"/>
              <w:bottom w:val="nil"/>
              <w:right w:val="single" w:sz="6" w:space="0" w:color="auto"/>
            </w:tcBorders>
            <w:tcMar>
              <w:right w:w="57" w:type="dxa"/>
            </w:tcMar>
            <w:vAlign w:val="center"/>
          </w:tcPr>
          <w:p w14:paraId="140EEE4F" w14:textId="77777777" w:rsidR="003E3C44" w:rsidRDefault="003E3C44" w:rsidP="0042068D">
            <w:pPr>
              <w:spacing w:before="40" w:after="40"/>
              <w:jc w:val="center"/>
              <w:rPr>
                <w:color w:val="000000"/>
                <w:sz w:val="18"/>
                <w:szCs w:val="18"/>
              </w:rPr>
            </w:pPr>
            <w:r>
              <w:rPr>
                <w:color w:val="000000"/>
                <w:sz w:val="18"/>
                <w:szCs w:val="18"/>
              </w:rPr>
              <w:t> </w:t>
            </w:r>
          </w:p>
        </w:tc>
      </w:tr>
      <w:tr w:rsidR="003E3C44" w:rsidRPr="00E74FF3" w14:paraId="0478F1B7" w14:textId="77777777" w:rsidTr="0042068D">
        <w:trPr>
          <w:trHeight w:val="360"/>
        </w:trPr>
        <w:tc>
          <w:tcPr>
            <w:tcW w:w="1321" w:type="pct"/>
            <w:tcBorders>
              <w:top w:val="nil"/>
              <w:left w:val="single" w:sz="6" w:space="0" w:color="auto"/>
              <w:bottom w:val="nil"/>
            </w:tcBorders>
            <w:tcMar>
              <w:left w:w="57" w:type="dxa"/>
            </w:tcMar>
            <w:vAlign w:val="center"/>
          </w:tcPr>
          <w:p w14:paraId="70024358" w14:textId="77777777" w:rsidR="003E3C44" w:rsidRPr="00E74FF3" w:rsidRDefault="003E3C44" w:rsidP="0042068D">
            <w:pPr>
              <w:spacing w:before="40" w:after="40" w:line="240" w:lineRule="auto"/>
              <w:ind w:left="14"/>
              <w:jc w:val="left"/>
              <w:rPr>
                <w:rFonts w:eastAsia="Times New Roman"/>
                <w:sz w:val="18"/>
                <w:szCs w:val="18"/>
                <w:lang w:val="en-US"/>
              </w:rPr>
            </w:pPr>
            <w:r w:rsidRPr="00E74FF3">
              <w:rPr>
                <w:rFonts w:eastAsia="Times New Roman"/>
                <w:sz w:val="18"/>
                <w:szCs w:val="18"/>
                <w:lang w:val="en-US"/>
              </w:rPr>
              <w:t>Inghams Group Limited</w:t>
            </w:r>
          </w:p>
        </w:tc>
        <w:tc>
          <w:tcPr>
            <w:tcW w:w="932" w:type="pct"/>
            <w:tcBorders>
              <w:top w:val="nil"/>
              <w:bottom w:val="nil"/>
            </w:tcBorders>
            <w:vAlign w:val="center"/>
          </w:tcPr>
          <w:p w14:paraId="21DE727E" w14:textId="77777777" w:rsidR="003E3C44" w:rsidRPr="00E74FF3" w:rsidRDefault="003E3C44" w:rsidP="0042068D">
            <w:pPr>
              <w:spacing w:before="40" w:after="40" w:line="240" w:lineRule="auto"/>
              <w:jc w:val="center"/>
              <w:rPr>
                <w:rFonts w:eastAsia="Times New Roman"/>
                <w:sz w:val="18"/>
                <w:szCs w:val="18"/>
              </w:rPr>
            </w:pPr>
          </w:p>
        </w:tc>
        <w:tc>
          <w:tcPr>
            <w:tcW w:w="802" w:type="pct"/>
            <w:tcBorders>
              <w:top w:val="nil"/>
              <w:bottom w:val="nil"/>
            </w:tcBorders>
            <w:vAlign w:val="center"/>
          </w:tcPr>
          <w:p w14:paraId="6DDB186C" w14:textId="77777777" w:rsidR="003E3C44" w:rsidRDefault="003E3C44" w:rsidP="0042068D">
            <w:pPr>
              <w:spacing w:before="40" w:after="40" w:line="240" w:lineRule="auto"/>
              <w:jc w:val="center"/>
              <w:rPr>
                <w:color w:val="000000"/>
                <w:sz w:val="18"/>
                <w:szCs w:val="18"/>
              </w:rPr>
            </w:pPr>
            <w:r>
              <w:rPr>
                <w:color w:val="000000"/>
                <w:sz w:val="18"/>
                <w:szCs w:val="18"/>
              </w:rPr>
              <w:t>32,793</w:t>
            </w:r>
          </w:p>
        </w:tc>
        <w:tc>
          <w:tcPr>
            <w:tcW w:w="614" w:type="pct"/>
            <w:tcBorders>
              <w:top w:val="nil"/>
              <w:bottom w:val="nil"/>
            </w:tcBorders>
            <w:vAlign w:val="center"/>
          </w:tcPr>
          <w:p w14:paraId="0944E079" w14:textId="77777777" w:rsidR="003E3C44" w:rsidRDefault="003E3C44" w:rsidP="0042068D">
            <w:pPr>
              <w:spacing w:before="40" w:after="40" w:line="240" w:lineRule="auto"/>
              <w:jc w:val="center"/>
              <w:rPr>
                <w:color w:val="000000"/>
                <w:sz w:val="18"/>
                <w:szCs w:val="18"/>
              </w:rPr>
            </w:pPr>
            <w:r>
              <w:rPr>
                <w:color w:val="000000"/>
                <w:sz w:val="18"/>
                <w:szCs w:val="18"/>
              </w:rPr>
              <w:t>4.73</w:t>
            </w:r>
          </w:p>
        </w:tc>
        <w:tc>
          <w:tcPr>
            <w:tcW w:w="641" w:type="pct"/>
            <w:tcBorders>
              <w:top w:val="nil"/>
              <w:bottom w:val="nil"/>
            </w:tcBorders>
            <w:vAlign w:val="center"/>
          </w:tcPr>
          <w:p w14:paraId="3264318A" w14:textId="77777777" w:rsidR="003E3C44" w:rsidRDefault="003E3C44" w:rsidP="0042068D">
            <w:pPr>
              <w:spacing w:before="40" w:after="40" w:line="240" w:lineRule="auto"/>
              <w:jc w:val="center"/>
              <w:rPr>
                <w:color w:val="000000"/>
                <w:sz w:val="18"/>
                <w:szCs w:val="18"/>
              </w:rPr>
            </w:pPr>
            <w:r>
              <w:rPr>
                <w:color w:val="000000"/>
                <w:sz w:val="18"/>
                <w:szCs w:val="18"/>
              </w:rPr>
              <w:t> </w:t>
            </w:r>
          </w:p>
        </w:tc>
        <w:tc>
          <w:tcPr>
            <w:tcW w:w="690" w:type="pct"/>
            <w:tcBorders>
              <w:top w:val="nil"/>
              <w:bottom w:val="nil"/>
              <w:right w:val="single" w:sz="6" w:space="0" w:color="auto"/>
            </w:tcBorders>
            <w:tcMar>
              <w:right w:w="57" w:type="dxa"/>
            </w:tcMar>
            <w:vAlign w:val="center"/>
          </w:tcPr>
          <w:p w14:paraId="48CD3BB9" w14:textId="77777777" w:rsidR="003E3C44" w:rsidRDefault="003E3C44" w:rsidP="0042068D">
            <w:pPr>
              <w:spacing w:before="40" w:after="40"/>
              <w:jc w:val="center"/>
              <w:rPr>
                <w:color w:val="000000"/>
                <w:sz w:val="18"/>
                <w:szCs w:val="18"/>
              </w:rPr>
            </w:pPr>
            <w:r>
              <w:rPr>
                <w:color w:val="000000"/>
                <w:sz w:val="18"/>
                <w:szCs w:val="18"/>
              </w:rPr>
              <w:t> </w:t>
            </w:r>
          </w:p>
        </w:tc>
      </w:tr>
      <w:tr w:rsidR="003E3C44" w:rsidRPr="00E74FF3" w14:paraId="1625CB28" w14:textId="77777777" w:rsidTr="0042068D">
        <w:trPr>
          <w:trHeight w:val="333"/>
        </w:trPr>
        <w:tc>
          <w:tcPr>
            <w:tcW w:w="1321" w:type="pct"/>
            <w:tcBorders>
              <w:top w:val="nil"/>
              <w:left w:val="single" w:sz="6" w:space="0" w:color="auto"/>
              <w:bottom w:val="nil"/>
            </w:tcBorders>
            <w:tcMar>
              <w:left w:w="57" w:type="dxa"/>
            </w:tcMar>
            <w:vAlign w:val="center"/>
          </w:tcPr>
          <w:p w14:paraId="2EDDB43A" w14:textId="77777777" w:rsidR="003E3C44" w:rsidRPr="00E74FF3" w:rsidRDefault="003E3C44" w:rsidP="0042068D">
            <w:pPr>
              <w:spacing w:before="40" w:after="40" w:line="240" w:lineRule="auto"/>
              <w:ind w:left="14"/>
              <w:jc w:val="left"/>
              <w:rPr>
                <w:rFonts w:eastAsia="Times New Roman"/>
                <w:sz w:val="18"/>
                <w:szCs w:val="18"/>
                <w:lang w:val="en-US"/>
              </w:rPr>
            </w:pPr>
            <w:r w:rsidRPr="00E74FF3">
              <w:rPr>
                <w:rFonts w:eastAsia="Times New Roman"/>
                <w:sz w:val="18"/>
                <w:szCs w:val="18"/>
                <w:lang w:val="en-US"/>
              </w:rPr>
              <w:t>iShares Core S&amp;P/ASX 200</w:t>
            </w:r>
          </w:p>
        </w:tc>
        <w:tc>
          <w:tcPr>
            <w:tcW w:w="932" w:type="pct"/>
            <w:tcBorders>
              <w:top w:val="nil"/>
              <w:bottom w:val="nil"/>
            </w:tcBorders>
            <w:vAlign w:val="center"/>
          </w:tcPr>
          <w:p w14:paraId="0A57D822" w14:textId="77777777" w:rsidR="003E3C44" w:rsidRPr="00E74FF3" w:rsidRDefault="003E3C44" w:rsidP="0042068D">
            <w:pPr>
              <w:spacing w:before="40" w:after="40" w:line="240" w:lineRule="auto"/>
              <w:jc w:val="center"/>
              <w:rPr>
                <w:rFonts w:eastAsia="Times New Roman"/>
                <w:sz w:val="18"/>
                <w:szCs w:val="18"/>
              </w:rPr>
            </w:pPr>
          </w:p>
        </w:tc>
        <w:tc>
          <w:tcPr>
            <w:tcW w:w="802" w:type="pct"/>
            <w:tcBorders>
              <w:top w:val="nil"/>
              <w:bottom w:val="nil"/>
            </w:tcBorders>
            <w:vAlign w:val="center"/>
          </w:tcPr>
          <w:p w14:paraId="670B59A1" w14:textId="77777777" w:rsidR="003E3C44" w:rsidRDefault="003E3C44" w:rsidP="0042068D">
            <w:pPr>
              <w:spacing w:before="40" w:after="40" w:line="240" w:lineRule="auto"/>
              <w:jc w:val="center"/>
              <w:rPr>
                <w:color w:val="000000"/>
                <w:sz w:val="18"/>
                <w:szCs w:val="18"/>
              </w:rPr>
            </w:pPr>
            <w:r>
              <w:rPr>
                <w:color w:val="000000"/>
                <w:sz w:val="18"/>
                <w:szCs w:val="18"/>
              </w:rPr>
              <w:t>208,021</w:t>
            </w:r>
          </w:p>
        </w:tc>
        <w:tc>
          <w:tcPr>
            <w:tcW w:w="614" w:type="pct"/>
            <w:tcBorders>
              <w:top w:val="nil"/>
              <w:bottom w:val="nil"/>
            </w:tcBorders>
            <w:vAlign w:val="center"/>
          </w:tcPr>
          <w:p w14:paraId="397A680E" w14:textId="77777777" w:rsidR="003E3C44" w:rsidRDefault="003E3C44" w:rsidP="0042068D">
            <w:pPr>
              <w:spacing w:before="40" w:after="40" w:line="240" w:lineRule="auto"/>
              <w:jc w:val="center"/>
              <w:rPr>
                <w:color w:val="000000"/>
                <w:sz w:val="18"/>
                <w:szCs w:val="18"/>
              </w:rPr>
            </w:pPr>
            <w:r>
              <w:rPr>
                <w:color w:val="000000"/>
                <w:sz w:val="18"/>
                <w:szCs w:val="18"/>
              </w:rPr>
              <w:t>30.02</w:t>
            </w:r>
          </w:p>
        </w:tc>
        <w:tc>
          <w:tcPr>
            <w:tcW w:w="641" w:type="pct"/>
            <w:tcBorders>
              <w:top w:val="nil"/>
              <w:bottom w:val="nil"/>
            </w:tcBorders>
            <w:vAlign w:val="center"/>
          </w:tcPr>
          <w:p w14:paraId="27F6B083" w14:textId="77777777" w:rsidR="003E3C44" w:rsidRDefault="003E3C44" w:rsidP="0042068D">
            <w:pPr>
              <w:spacing w:before="40" w:after="40" w:line="240" w:lineRule="auto"/>
              <w:jc w:val="center"/>
              <w:rPr>
                <w:color w:val="000000"/>
                <w:sz w:val="18"/>
                <w:szCs w:val="18"/>
              </w:rPr>
            </w:pPr>
            <w:r>
              <w:rPr>
                <w:color w:val="000000"/>
                <w:sz w:val="18"/>
                <w:szCs w:val="18"/>
              </w:rPr>
              <w:t> </w:t>
            </w:r>
          </w:p>
        </w:tc>
        <w:tc>
          <w:tcPr>
            <w:tcW w:w="690" w:type="pct"/>
            <w:tcBorders>
              <w:top w:val="nil"/>
              <w:bottom w:val="nil"/>
              <w:right w:val="single" w:sz="6" w:space="0" w:color="auto"/>
            </w:tcBorders>
            <w:tcMar>
              <w:right w:w="57" w:type="dxa"/>
            </w:tcMar>
            <w:vAlign w:val="center"/>
          </w:tcPr>
          <w:p w14:paraId="3DDE59BF" w14:textId="77777777" w:rsidR="003E3C44" w:rsidRDefault="003E3C44" w:rsidP="0042068D">
            <w:pPr>
              <w:spacing w:before="40" w:after="40"/>
              <w:jc w:val="center"/>
              <w:rPr>
                <w:color w:val="000000"/>
                <w:sz w:val="18"/>
                <w:szCs w:val="18"/>
              </w:rPr>
            </w:pPr>
            <w:r>
              <w:rPr>
                <w:color w:val="000000"/>
                <w:sz w:val="18"/>
                <w:szCs w:val="18"/>
              </w:rPr>
              <w:t> </w:t>
            </w:r>
          </w:p>
        </w:tc>
      </w:tr>
      <w:tr w:rsidR="003E3C44" w:rsidRPr="00E74FF3" w14:paraId="28BE0690" w14:textId="77777777" w:rsidTr="0042068D">
        <w:tc>
          <w:tcPr>
            <w:tcW w:w="1321" w:type="pct"/>
            <w:tcBorders>
              <w:top w:val="nil"/>
              <w:left w:val="single" w:sz="6" w:space="0" w:color="auto"/>
              <w:bottom w:val="nil"/>
            </w:tcBorders>
            <w:tcMar>
              <w:left w:w="57" w:type="dxa"/>
            </w:tcMar>
            <w:vAlign w:val="center"/>
          </w:tcPr>
          <w:p w14:paraId="42EF7E0B" w14:textId="77777777" w:rsidR="003E3C44" w:rsidRPr="00E74FF3" w:rsidRDefault="003E3C44" w:rsidP="0042068D">
            <w:pPr>
              <w:spacing w:before="40" w:after="40" w:line="240" w:lineRule="auto"/>
              <w:ind w:left="14"/>
              <w:jc w:val="left"/>
              <w:rPr>
                <w:rFonts w:eastAsia="Times New Roman"/>
                <w:sz w:val="18"/>
                <w:szCs w:val="18"/>
              </w:rPr>
            </w:pPr>
            <w:r w:rsidRPr="00E74FF3">
              <w:rPr>
                <w:rFonts w:eastAsia="Times New Roman"/>
                <w:sz w:val="18"/>
                <w:szCs w:val="18"/>
              </w:rPr>
              <w:t>Rio Tinto Limited</w:t>
            </w:r>
          </w:p>
        </w:tc>
        <w:tc>
          <w:tcPr>
            <w:tcW w:w="932" w:type="pct"/>
            <w:tcBorders>
              <w:top w:val="nil"/>
              <w:bottom w:val="nil"/>
            </w:tcBorders>
            <w:vAlign w:val="center"/>
          </w:tcPr>
          <w:p w14:paraId="78C354E4" w14:textId="77777777" w:rsidR="003E3C44" w:rsidRPr="00E74FF3" w:rsidRDefault="003E3C44" w:rsidP="0042068D">
            <w:pPr>
              <w:spacing w:before="40" w:after="40" w:line="240" w:lineRule="auto"/>
              <w:jc w:val="center"/>
              <w:rPr>
                <w:rFonts w:eastAsia="Times New Roman"/>
                <w:sz w:val="18"/>
                <w:szCs w:val="18"/>
              </w:rPr>
            </w:pPr>
          </w:p>
        </w:tc>
        <w:tc>
          <w:tcPr>
            <w:tcW w:w="802" w:type="pct"/>
            <w:tcBorders>
              <w:top w:val="nil"/>
              <w:bottom w:val="nil"/>
            </w:tcBorders>
            <w:vAlign w:val="center"/>
          </w:tcPr>
          <w:p w14:paraId="789CBA6B" w14:textId="77777777" w:rsidR="003E3C44" w:rsidRDefault="003E3C44" w:rsidP="0042068D">
            <w:pPr>
              <w:spacing w:before="40" w:after="40" w:line="240" w:lineRule="auto"/>
              <w:jc w:val="center"/>
              <w:rPr>
                <w:color w:val="000000"/>
                <w:sz w:val="18"/>
                <w:szCs w:val="18"/>
              </w:rPr>
            </w:pPr>
            <w:r>
              <w:rPr>
                <w:color w:val="000000"/>
                <w:sz w:val="18"/>
                <w:szCs w:val="18"/>
              </w:rPr>
              <w:t>11,576</w:t>
            </w:r>
          </w:p>
        </w:tc>
        <w:tc>
          <w:tcPr>
            <w:tcW w:w="614" w:type="pct"/>
            <w:tcBorders>
              <w:top w:val="nil"/>
              <w:bottom w:val="nil"/>
            </w:tcBorders>
            <w:vAlign w:val="center"/>
          </w:tcPr>
          <w:p w14:paraId="2FA883FF" w14:textId="77777777" w:rsidR="003E3C44" w:rsidRDefault="003E3C44" w:rsidP="0042068D">
            <w:pPr>
              <w:spacing w:before="40" w:after="40" w:line="240" w:lineRule="auto"/>
              <w:jc w:val="center"/>
              <w:rPr>
                <w:color w:val="000000"/>
                <w:sz w:val="18"/>
                <w:szCs w:val="18"/>
              </w:rPr>
            </w:pPr>
            <w:r>
              <w:rPr>
                <w:color w:val="000000"/>
                <w:sz w:val="18"/>
                <w:szCs w:val="18"/>
              </w:rPr>
              <w:t>1.67</w:t>
            </w:r>
          </w:p>
        </w:tc>
        <w:tc>
          <w:tcPr>
            <w:tcW w:w="641" w:type="pct"/>
            <w:tcBorders>
              <w:top w:val="nil"/>
              <w:bottom w:val="nil"/>
            </w:tcBorders>
            <w:vAlign w:val="center"/>
          </w:tcPr>
          <w:p w14:paraId="6EDCA17B" w14:textId="77777777" w:rsidR="003E3C44" w:rsidRDefault="003E3C44" w:rsidP="0042068D">
            <w:pPr>
              <w:spacing w:before="40" w:after="40" w:line="240" w:lineRule="auto"/>
              <w:jc w:val="center"/>
              <w:rPr>
                <w:color w:val="000000"/>
                <w:sz w:val="18"/>
                <w:szCs w:val="18"/>
              </w:rPr>
            </w:pPr>
            <w:r>
              <w:rPr>
                <w:color w:val="000000"/>
                <w:sz w:val="18"/>
                <w:szCs w:val="18"/>
              </w:rPr>
              <w:t> </w:t>
            </w:r>
          </w:p>
        </w:tc>
        <w:tc>
          <w:tcPr>
            <w:tcW w:w="690" w:type="pct"/>
            <w:tcBorders>
              <w:top w:val="nil"/>
              <w:bottom w:val="nil"/>
              <w:right w:val="single" w:sz="6" w:space="0" w:color="auto"/>
            </w:tcBorders>
            <w:tcMar>
              <w:right w:w="57" w:type="dxa"/>
            </w:tcMar>
            <w:vAlign w:val="center"/>
          </w:tcPr>
          <w:p w14:paraId="212BCF57" w14:textId="77777777" w:rsidR="003E3C44" w:rsidRDefault="003E3C44" w:rsidP="0042068D">
            <w:pPr>
              <w:spacing w:before="40" w:after="40"/>
              <w:jc w:val="center"/>
              <w:rPr>
                <w:color w:val="000000"/>
                <w:sz w:val="18"/>
                <w:szCs w:val="18"/>
              </w:rPr>
            </w:pPr>
            <w:r>
              <w:rPr>
                <w:color w:val="000000"/>
                <w:sz w:val="18"/>
                <w:szCs w:val="18"/>
              </w:rPr>
              <w:t> </w:t>
            </w:r>
          </w:p>
        </w:tc>
      </w:tr>
      <w:tr w:rsidR="003E3C44" w:rsidRPr="00E74FF3" w14:paraId="2C79FF23" w14:textId="77777777" w:rsidTr="0042068D">
        <w:tc>
          <w:tcPr>
            <w:tcW w:w="1321" w:type="pct"/>
            <w:tcBorders>
              <w:top w:val="nil"/>
              <w:left w:val="single" w:sz="6" w:space="0" w:color="auto"/>
              <w:bottom w:val="nil"/>
            </w:tcBorders>
            <w:tcMar>
              <w:left w:w="57" w:type="dxa"/>
            </w:tcMar>
            <w:vAlign w:val="center"/>
          </w:tcPr>
          <w:p w14:paraId="1D0E8081" w14:textId="77777777" w:rsidR="003E3C44" w:rsidRPr="00E74FF3" w:rsidRDefault="003E3C44" w:rsidP="0042068D">
            <w:pPr>
              <w:spacing w:before="40" w:after="40" w:line="240" w:lineRule="auto"/>
              <w:jc w:val="left"/>
              <w:rPr>
                <w:rFonts w:eastAsia="Times New Roman"/>
                <w:color w:val="000000"/>
                <w:sz w:val="18"/>
                <w:szCs w:val="18"/>
              </w:rPr>
            </w:pPr>
            <w:r w:rsidRPr="00E74FF3">
              <w:rPr>
                <w:rFonts w:eastAsia="Times New Roman"/>
                <w:color w:val="000000"/>
                <w:sz w:val="18"/>
                <w:szCs w:val="18"/>
              </w:rPr>
              <w:t>Telstra Corporation Limited</w:t>
            </w:r>
          </w:p>
        </w:tc>
        <w:tc>
          <w:tcPr>
            <w:tcW w:w="932" w:type="pct"/>
            <w:tcBorders>
              <w:top w:val="nil"/>
              <w:bottom w:val="nil"/>
            </w:tcBorders>
            <w:shd w:val="clear" w:color="auto" w:fill="auto"/>
            <w:vAlign w:val="center"/>
          </w:tcPr>
          <w:p w14:paraId="5064A58F" w14:textId="77777777" w:rsidR="003E3C44" w:rsidRPr="00E74FF3" w:rsidRDefault="003E3C44" w:rsidP="0042068D">
            <w:pPr>
              <w:spacing w:before="40" w:after="40" w:line="240" w:lineRule="auto"/>
              <w:jc w:val="center"/>
              <w:rPr>
                <w:rFonts w:eastAsia="Times New Roman"/>
                <w:sz w:val="18"/>
                <w:szCs w:val="18"/>
                <w:lang w:val="en-US"/>
              </w:rPr>
            </w:pPr>
          </w:p>
        </w:tc>
        <w:tc>
          <w:tcPr>
            <w:tcW w:w="802" w:type="pct"/>
            <w:tcBorders>
              <w:top w:val="nil"/>
              <w:bottom w:val="nil"/>
            </w:tcBorders>
            <w:vAlign w:val="center"/>
          </w:tcPr>
          <w:p w14:paraId="403050D7" w14:textId="77777777" w:rsidR="003E3C44" w:rsidRDefault="003E3C44" w:rsidP="0042068D">
            <w:pPr>
              <w:spacing w:before="40" w:after="40" w:line="240" w:lineRule="auto"/>
              <w:jc w:val="center"/>
              <w:rPr>
                <w:color w:val="000000"/>
                <w:sz w:val="18"/>
                <w:szCs w:val="18"/>
              </w:rPr>
            </w:pPr>
            <w:r>
              <w:rPr>
                <w:color w:val="000000"/>
                <w:sz w:val="18"/>
                <w:szCs w:val="18"/>
              </w:rPr>
              <w:t>34,156</w:t>
            </w:r>
          </w:p>
        </w:tc>
        <w:tc>
          <w:tcPr>
            <w:tcW w:w="614" w:type="pct"/>
            <w:tcBorders>
              <w:top w:val="nil"/>
              <w:bottom w:val="nil"/>
            </w:tcBorders>
            <w:vAlign w:val="center"/>
          </w:tcPr>
          <w:p w14:paraId="189A258B" w14:textId="77777777" w:rsidR="003E3C44" w:rsidRDefault="003E3C44" w:rsidP="0042068D">
            <w:pPr>
              <w:spacing w:before="40" w:after="40" w:line="240" w:lineRule="auto"/>
              <w:jc w:val="center"/>
              <w:rPr>
                <w:color w:val="000000"/>
                <w:sz w:val="18"/>
                <w:szCs w:val="18"/>
              </w:rPr>
            </w:pPr>
            <w:r>
              <w:rPr>
                <w:color w:val="000000"/>
                <w:sz w:val="18"/>
                <w:szCs w:val="18"/>
              </w:rPr>
              <w:t>4.93</w:t>
            </w:r>
          </w:p>
        </w:tc>
        <w:tc>
          <w:tcPr>
            <w:tcW w:w="641" w:type="pct"/>
            <w:tcBorders>
              <w:top w:val="nil"/>
              <w:bottom w:val="nil"/>
            </w:tcBorders>
            <w:vAlign w:val="center"/>
          </w:tcPr>
          <w:p w14:paraId="6C9F0C60" w14:textId="77777777" w:rsidR="003E3C44" w:rsidRDefault="003E3C44" w:rsidP="0042068D">
            <w:pPr>
              <w:spacing w:before="40" w:after="40" w:line="240" w:lineRule="auto"/>
              <w:jc w:val="center"/>
              <w:rPr>
                <w:color w:val="000000"/>
                <w:sz w:val="18"/>
                <w:szCs w:val="18"/>
              </w:rPr>
            </w:pPr>
            <w:r>
              <w:rPr>
                <w:color w:val="000000"/>
                <w:sz w:val="18"/>
                <w:szCs w:val="18"/>
                <w:lang w:val="en-US"/>
              </w:rPr>
              <w:t> </w:t>
            </w:r>
          </w:p>
        </w:tc>
        <w:tc>
          <w:tcPr>
            <w:tcW w:w="690" w:type="pct"/>
            <w:tcBorders>
              <w:top w:val="nil"/>
              <w:bottom w:val="nil"/>
              <w:right w:val="single" w:sz="6" w:space="0" w:color="auto"/>
            </w:tcBorders>
            <w:tcMar>
              <w:right w:w="57" w:type="dxa"/>
            </w:tcMar>
            <w:vAlign w:val="center"/>
          </w:tcPr>
          <w:p w14:paraId="2CAAB8A3" w14:textId="77777777" w:rsidR="003E3C44" w:rsidRDefault="003E3C44" w:rsidP="0042068D">
            <w:pPr>
              <w:spacing w:before="40" w:after="40"/>
              <w:jc w:val="center"/>
              <w:rPr>
                <w:color w:val="000000"/>
                <w:sz w:val="18"/>
                <w:szCs w:val="18"/>
              </w:rPr>
            </w:pPr>
            <w:r>
              <w:rPr>
                <w:color w:val="000000"/>
                <w:sz w:val="18"/>
                <w:szCs w:val="18"/>
                <w:lang w:val="en-US"/>
              </w:rPr>
              <w:t> </w:t>
            </w:r>
          </w:p>
        </w:tc>
      </w:tr>
      <w:tr w:rsidR="003E3C44" w:rsidRPr="00E74FF3" w14:paraId="0C744A51" w14:textId="77777777" w:rsidTr="0042068D">
        <w:tc>
          <w:tcPr>
            <w:tcW w:w="1321" w:type="pct"/>
            <w:tcBorders>
              <w:top w:val="nil"/>
              <w:left w:val="single" w:sz="6" w:space="0" w:color="auto"/>
              <w:bottom w:val="single" w:sz="4" w:space="0" w:color="auto"/>
            </w:tcBorders>
            <w:shd w:val="clear" w:color="auto" w:fill="FFFFFF" w:themeFill="background1"/>
            <w:tcMar>
              <w:left w:w="57" w:type="dxa"/>
            </w:tcMar>
            <w:vAlign w:val="center"/>
          </w:tcPr>
          <w:p w14:paraId="5F3DA4D9" w14:textId="77777777" w:rsidR="003E3C44" w:rsidRPr="00E74FF3" w:rsidRDefault="003E3C44" w:rsidP="0042068D">
            <w:pPr>
              <w:spacing w:before="40" w:after="40" w:line="240" w:lineRule="auto"/>
              <w:ind w:left="14"/>
              <w:jc w:val="left"/>
              <w:rPr>
                <w:rFonts w:eastAsia="Times New Roman"/>
                <w:color w:val="000000"/>
                <w:sz w:val="18"/>
                <w:szCs w:val="18"/>
              </w:rPr>
            </w:pPr>
            <w:r w:rsidRPr="00E74FF3">
              <w:rPr>
                <w:rFonts w:eastAsia="Times New Roman"/>
                <w:color w:val="000000"/>
                <w:sz w:val="18"/>
                <w:szCs w:val="18"/>
              </w:rPr>
              <w:t>Westpac Banking Corporation</w:t>
            </w:r>
          </w:p>
        </w:tc>
        <w:tc>
          <w:tcPr>
            <w:tcW w:w="932" w:type="pct"/>
            <w:tcBorders>
              <w:top w:val="nil"/>
              <w:bottom w:val="single" w:sz="4" w:space="0" w:color="auto"/>
            </w:tcBorders>
            <w:shd w:val="clear" w:color="auto" w:fill="FFFFFF" w:themeFill="background1"/>
            <w:vAlign w:val="center"/>
          </w:tcPr>
          <w:p w14:paraId="5AEA0F71" w14:textId="77777777" w:rsidR="003E3C44" w:rsidRPr="00E74FF3" w:rsidRDefault="003E3C44" w:rsidP="0042068D">
            <w:pPr>
              <w:spacing w:before="40" w:after="40" w:line="240" w:lineRule="auto"/>
              <w:jc w:val="center"/>
              <w:rPr>
                <w:rFonts w:eastAsia="Times New Roman"/>
                <w:sz w:val="18"/>
                <w:szCs w:val="18"/>
                <w:lang w:val="en-US"/>
              </w:rPr>
            </w:pPr>
          </w:p>
        </w:tc>
        <w:tc>
          <w:tcPr>
            <w:tcW w:w="802" w:type="pct"/>
            <w:tcBorders>
              <w:top w:val="nil"/>
              <w:bottom w:val="single" w:sz="4" w:space="0" w:color="auto"/>
            </w:tcBorders>
            <w:shd w:val="clear" w:color="auto" w:fill="FFFFFF" w:themeFill="background1"/>
            <w:vAlign w:val="center"/>
          </w:tcPr>
          <w:p w14:paraId="605F507E" w14:textId="77777777" w:rsidR="003E3C44" w:rsidRDefault="003E3C44" w:rsidP="0042068D">
            <w:pPr>
              <w:spacing w:before="40" w:after="40" w:line="240" w:lineRule="auto"/>
              <w:jc w:val="center"/>
              <w:rPr>
                <w:color w:val="000000"/>
                <w:sz w:val="18"/>
                <w:szCs w:val="18"/>
              </w:rPr>
            </w:pPr>
            <w:r>
              <w:rPr>
                <w:color w:val="000000"/>
                <w:sz w:val="18"/>
                <w:szCs w:val="18"/>
              </w:rPr>
              <w:t>34,130</w:t>
            </w:r>
          </w:p>
        </w:tc>
        <w:tc>
          <w:tcPr>
            <w:tcW w:w="614" w:type="pct"/>
            <w:tcBorders>
              <w:top w:val="nil"/>
              <w:bottom w:val="single" w:sz="4" w:space="0" w:color="auto"/>
            </w:tcBorders>
            <w:shd w:val="clear" w:color="auto" w:fill="FFFFFF" w:themeFill="background1"/>
            <w:vAlign w:val="center"/>
          </w:tcPr>
          <w:p w14:paraId="439FE7EF" w14:textId="77777777" w:rsidR="003E3C44" w:rsidRDefault="003E3C44" w:rsidP="0042068D">
            <w:pPr>
              <w:spacing w:before="40" w:after="40" w:line="240" w:lineRule="auto"/>
              <w:jc w:val="center"/>
              <w:rPr>
                <w:color w:val="000000"/>
                <w:sz w:val="18"/>
                <w:szCs w:val="18"/>
              </w:rPr>
            </w:pPr>
            <w:r>
              <w:rPr>
                <w:color w:val="000000"/>
                <w:sz w:val="18"/>
                <w:szCs w:val="18"/>
              </w:rPr>
              <w:t>4.92</w:t>
            </w:r>
          </w:p>
        </w:tc>
        <w:tc>
          <w:tcPr>
            <w:tcW w:w="641" w:type="pct"/>
            <w:tcBorders>
              <w:top w:val="nil"/>
              <w:bottom w:val="single" w:sz="4" w:space="0" w:color="auto"/>
            </w:tcBorders>
            <w:shd w:val="clear" w:color="auto" w:fill="FFFFFF" w:themeFill="background1"/>
            <w:vAlign w:val="center"/>
          </w:tcPr>
          <w:p w14:paraId="6891A6D2" w14:textId="77777777" w:rsidR="003E3C44" w:rsidRDefault="003E3C44" w:rsidP="0042068D">
            <w:pPr>
              <w:spacing w:before="40" w:after="40" w:line="240" w:lineRule="auto"/>
              <w:jc w:val="center"/>
              <w:rPr>
                <w:color w:val="000000"/>
                <w:sz w:val="18"/>
                <w:szCs w:val="18"/>
              </w:rPr>
            </w:pPr>
            <w:r>
              <w:rPr>
                <w:color w:val="000000"/>
                <w:sz w:val="18"/>
                <w:szCs w:val="18"/>
                <w:lang w:val="en-US"/>
              </w:rPr>
              <w:t> </w:t>
            </w:r>
          </w:p>
        </w:tc>
        <w:tc>
          <w:tcPr>
            <w:tcW w:w="690" w:type="pct"/>
            <w:tcBorders>
              <w:top w:val="nil"/>
              <w:bottom w:val="single" w:sz="4" w:space="0" w:color="auto"/>
              <w:right w:val="single" w:sz="6" w:space="0" w:color="auto"/>
            </w:tcBorders>
            <w:shd w:val="clear" w:color="auto" w:fill="FFFFFF" w:themeFill="background1"/>
            <w:tcMar>
              <w:right w:w="57" w:type="dxa"/>
            </w:tcMar>
            <w:vAlign w:val="center"/>
          </w:tcPr>
          <w:p w14:paraId="36B9AED1" w14:textId="77777777" w:rsidR="003E3C44" w:rsidRDefault="003E3C44" w:rsidP="0042068D">
            <w:pPr>
              <w:spacing w:before="40" w:after="40"/>
              <w:jc w:val="center"/>
              <w:rPr>
                <w:color w:val="000000"/>
                <w:sz w:val="18"/>
                <w:szCs w:val="18"/>
              </w:rPr>
            </w:pPr>
            <w:r>
              <w:rPr>
                <w:color w:val="000000"/>
                <w:sz w:val="18"/>
                <w:szCs w:val="18"/>
                <w:lang w:val="en-US"/>
              </w:rPr>
              <w:t> </w:t>
            </w:r>
          </w:p>
        </w:tc>
      </w:tr>
      <w:tr w:rsidR="003E3C44" w:rsidRPr="00E74FF3" w14:paraId="4CCF517F" w14:textId="77777777" w:rsidTr="0042068D">
        <w:trPr>
          <w:trHeight w:hRule="exact" w:val="469"/>
        </w:trPr>
        <w:tc>
          <w:tcPr>
            <w:tcW w:w="1321" w:type="pct"/>
            <w:tcBorders>
              <w:top w:val="single" w:sz="4" w:space="0" w:color="auto"/>
              <w:left w:val="single" w:sz="6" w:space="0" w:color="auto"/>
              <w:bottom w:val="single" w:sz="4" w:space="0" w:color="auto"/>
            </w:tcBorders>
            <w:shd w:val="clear" w:color="auto" w:fill="DEEAF6" w:themeFill="accent1" w:themeFillTint="33"/>
            <w:tcMar>
              <w:left w:w="57" w:type="dxa"/>
            </w:tcMar>
          </w:tcPr>
          <w:p w14:paraId="6453B65A" w14:textId="77777777" w:rsidR="003E3C44" w:rsidRPr="00E74FF3" w:rsidRDefault="003E3C44" w:rsidP="0042068D">
            <w:pPr>
              <w:spacing w:after="40" w:line="240" w:lineRule="auto"/>
              <w:ind w:left="14"/>
              <w:jc w:val="left"/>
              <w:rPr>
                <w:rFonts w:eastAsia="Times New Roman"/>
                <w:b/>
                <w:sz w:val="18"/>
                <w:szCs w:val="18"/>
              </w:rPr>
            </w:pPr>
            <w:r w:rsidRPr="00E74FF3">
              <w:rPr>
                <w:rFonts w:eastAsia="Times New Roman"/>
                <w:b/>
                <w:sz w:val="18"/>
                <w:szCs w:val="18"/>
              </w:rPr>
              <w:t xml:space="preserve">Total AAE Portfolio </w:t>
            </w:r>
          </w:p>
        </w:tc>
        <w:tc>
          <w:tcPr>
            <w:tcW w:w="932" w:type="pct"/>
            <w:tcBorders>
              <w:top w:val="single" w:sz="4" w:space="0" w:color="auto"/>
              <w:bottom w:val="single" w:sz="4" w:space="0" w:color="auto"/>
            </w:tcBorders>
            <w:shd w:val="clear" w:color="auto" w:fill="DEEAF6" w:themeFill="accent1" w:themeFillTint="33"/>
          </w:tcPr>
          <w:p w14:paraId="7A878BFC" w14:textId="77777777" w:rsidR="003E3C44" w:rsidRPr="00E74FF3" w:rsidRDefault="003E3C44" w:rsidP="0042068D">
            <w:pPr>
              <w:spacing w:before="40" w:after="40" w:line="240" w:lineRule="auto"/>
              <w:jc w:val="center"/>
              <w:rPr>
                <w:rFonts w:eastAsia="Times New Roman"/>
                <w:sz w:val="18"/>
                <w:szCs w:val="18"/>
              </w:rPr>
            </w:pPr>
            <w:r w:rsidRPr="00E74FF3">
              <w:rPr>
                <w:rFonts w:eastAsia="Times New Roman"/>
                <w:sz w:val="18"/>
                <w:szCs w:val="18"/>
                <w:lang w:val="en-US"/>
              </w:rPr>
              <w:t>iShares Core S&amp;P/ASX 200</w:t>
            </w:r>
          </w:p>
        </w:tc>
        <w:tc>
          <w:tcPr>
            <w:tcW w:w="802" w:type="pct"/>
            <w:tcBorders>
              <w:top w:val="single" w:sz="4" w:space="0" w:color="auto"/>
              <w:bottom w:val="single" w:sz="4" w:space="0" w:color="auto"/>
            </w:tcBorders>
            <w:shd w:val="clear" w:color="auto" w:fill="DEEAF6" w:themeFill="accent1" w:themeFillTint="33"/>
            <w:vAlign w:val="center"/>
          </w:tcPr>
          <w:p w14:paraId="3D1234F6" w14:textId="77777777" w:rsidR="003E3C44" w:rsidRDefault="003E3C44" w:rsidP="0042068D">
            <w:pPr>
              <w:spacing w:before="40" w:after="40" w:line="240" w:lineRule="auto"/>
              <w:jc w:val="center"/>
              <w:rPr>
                <w:b/>
                <w:bCs/>
                <w:color w:val="000000"/>
                <w:sz w:val="18"/>
                <w:szCs w:val="18"/>
              </w:rPr>
            </w:pPr>
            <w:r>
              <w:rPr>
                <w:b/>
                <w:bCs/>
                <w:color w:val="000000"/>
                <w:sz w:val="18"/>
                <w:szCs w:val="18"/>
              </w:rPr>
              <w:t>347,513</w:t>
            </w:r>
          </w:p>
        </w:tc>
        <w:tc>
          <w:tcPr>
            <w:tcW w:w="614" w:type="pct"/>
            <w:tcBorders>
              <w:top w:val="single" w:sz="4" w:space="0" w:color="auto"/>
              <w:bottom w:val="single" w:sz="4" w:space="0" w:color="auto"/>
            </w:tcBorders>
            <w:shd w:val="clear" w:color="auto" w:fill="DEEAF6" w:themeFill="accent1" w:themeFillTint="33"/>
            <w:vAlign w:val="center"/>
          </w:tcPr>
          <w:p w14:paraId="7E86A94A" w14:textId="77777777" w:rsidR="003E3C44" w:rsidRDefault="003E3C44" w:rsidP="0042068D">
            <w:pPr>
              <w:spacing w:before="40" w:after="40" w:line="240" w:lineRule="auto"/>
              <w:jc w:val="center"/>
              <w:rPr>
                <w:b/>
                <w:bCs/>
                <w:color w:val="000000"/>
                <w:sz w:val="18"/>
                <w:szCs w:val="18"/>
              </w:rPr>
            </w:pPr>
            <w:r>
              <w:rPr>
                <w:b/>
                <w:bCs/>
                <w:color w:val="000000"/>
                <w:sz w:val="18"/>
                <w:szCs w:val="18"/>
              </w:rPr>
              <w:t>50.15</w:t>
            </w:r>
          </w:p>
        </w:tc>
        <w:tc>
          <w:tcPr>
            <w:tcW w:w="641" w:type="pct"/>
            <w:tcBorders>
              <w:top w:val="single" w:sz="4" w:space="0" w:color="auto"/>
              <w:bottom w:val="single" w:sz="4" w:space="0" w:color="auto"/>
            </w:tcBorders>
            <w:shd w:val="clear" w:color="auto" w:fill="DEEAF6" w:themeFill="accent1" w:themeFillTint="33"/>
            <w:vAlign w:val="center"/>
          </w:tcPr>
          <w:p w14:paraId="0F19799E" w14:textId="77777777" w:rsidR="003E3C44" w:rsidRDefault="003E3C44" w:rsidP="0042068D">
            <w:pPr>
              <w:spacing w:before="40" w:after="40" w:line="240" w:lineRule="auto"/>
              <w:jc w:val="center"/>
              <w:rPr>
                <w:b/>
                <w:bCs/>
                <w:color w:val="000000"/>
                <w:sz w:val="18"/>
                <w:szCs w:val="18"/>
              </w:rPr>
            </w:pPr>
            <w:r>
              <w:rPr>
                <w:b/>
                <w:bCs/>
                <w:color w:val="000000"/>
                <w:sz w:val="18"/>
                <w:szCs w:val="18"/>
              </w:rPr>
              <w:t>50</w:t>
            </w:r>
          </w:p>
        </w:tc>
        <w:tc>
          <w:tcPr>
            <w:tcW w:w="690" w:type="pct"/>
            <w:tcBorders>
              <w:top w:val="single" w:sz="4" w:space="0" w:color="auto"/>
              <w:bottom w:val="single" w:sz="4" w:space="0" w:color="auto"/>
              <w:right w:val="single" w:sz="6" w:space="0" w:color="auto"/>
            </w:tcBorders>
            <w:shd w:val="clear" w:color="auto" w:fill="DEEAF6" w:themeFill="accent1" w:themeFillTint="33"/>
            <w:tcMar>
              <w:right w:w="57" w:type="dxa"/>
            </w:tcMar>
            <w:vAlign w:val="center"/>
          </w:tcPr>
          <w:p w14:paraId="5F5B4E14" w14:textId="77777777" w:rsidR="003E3C44" w:rsidRDefault="003E3C44" w:rsidP="0042068D">
            <w:pPr>
              <w:spacing w:before="40" w:after="40"/>
              <w:jc w:val="center"/>
              <w:rPr>
                <w:b/>
                <w:bCs/>
                <w:color w:val="000000"/>
                <w:sz w:val="18"/>
                <w:szCs w:val="18"/>
              </w:rPr>
            </w:pPr>
            <w:r>
              <w:rPr>
                <w:b/>
                <w:bCs/>
                <w:color w:val="000000"/>
                <w:sz w:val="18"/>
                <w:szCs w:val="18"/>
              </w:rPr>
              <w:t>0.15</w:t>
            </w:r>
          </w:p>
        </w:tc>
      </w:tr>
      <w:tr w:rsidR="003E3C44" w:rsidRPr="00E74FF3" w14:paraId="1BD682AC" w14:textId="77777777" w:rsidTr="0042068D">
        <w:tc>
          <w:tcPr>
            <w:tcW w:w="2253" w:type="pct"/>
            <w:gridSpan w:val="2"/>
            <w:tcBorders>
              <w:top w:val="single" w:sz="4" w:space="0" w:color="auto"/>
              <w:left w:val="single" w:sz="6" w:space="0" w:color="auto"/>
              <w:bottom w:val="nil"/>
            </w:tcBorders>
            <w:tcMar>
              <w:left w:w="57" w:type="dxa"/>
            </w:tcMar>
            <w:vAlign w:val="center"/>
          </w:tcPr>
          <w:p w14:paraId="4876551F" w14:textId="77777777" w:rsidR="003E3C44" w:rsidRPr="00065399" w:rsidRDefault="003E3C44" w:rsidP="0042068D">
            <w:pPr>
              <w:spacing w:before="240" w:after="40" w:line="240" w:lineRule="auto"/>
              <w:jc w:val="left"/>
              <w:rPr>
                <w:rFonts w:eastAsia="Times New Roman"/>
                <w:b/>
                <w:sz w:val="18"/>
                <w:szCs w:val="18"/>
                <w:u w:val="single"/>
              </w:rPr>
            </w:pPr>
            <w:r w:rsidRPr="00065399">
              <w:rPr>
                <w:rFonts w:eastAsia="Times New Roman"/>
                <w:b/>
                <w:sz w:val="18"/>
                <w:szCs w:val="18"/>
                <w:u w:val="single"/>
              </w:rPr>
              <w:t>Asset Allocation Portfolio Holdings</w:t>
            </w:r>
          </w:p>
        </w:tc>
        <w:tc>
          <w:tcPr>
            <w:tcW w:w="802" w:type="pct"/>
            <w:tcBorders>
              <w:top w:val="single" w:sz="4" w:space="0" w:color="auto"/>
              <w:bottom w:val="nil"/>
            </w:tcBorders>
            <w:vAlign w:val="center"/>
          </w:tcPr>
          <w:p w14:paraId="7EAC53E2" w14:textId="77777777" w:rsidR="003E3C44" w:rsidRPr="00E74FF3" w:rsidRDefault="003E3C44" w:rsidP="0042068D">
            <w:pPr>
              <w:spacing w:before="40" w:after="40" w:line="240" w:lineRule="auto"/>
              <w:jc w:val="center"/>
              <w:rPr>
                <w:rFonts w:eastAsia="Times New Roman"/>
                <w:b/>
                <w:i/>
                <w:sz w:val="18"/>
                <w:szCs w:val="18"/>
              </w:rPr>
            </w:pPr>
          </w:p>
        </w:tc>
        <w:tc>
          <w:tcPr>
            <w:tcW w:w="614" w:type="pct"/>
            <w:tcBorders>
              <w:top w:val="single" w:sz="4" w:space="0" w:color="auto"/>
              <w:bottom w:val="nil"/>
            </w:tcBorders>
            <w:vAlign w:val="center"/>
          </w:tcPr>
          <w:p w14:paraId="341B0C33" w14:textId="77777777" w:rsidR="003E3C44" w:rsidRDefault="003E3C44" w:rsidP="0042068D">
            <w:pPr>
              <w:spacing w:before="40" w:after="40" w:line="240" w:lineRule="auto"/>
              <w:jc w:val="center"/>
              <w:rPr>
                <w:b/>
                <w:bCs/>
                <w:i/>
                <w:iCs/>
                <w:color w:val="000000"/>
                <w:sz w:val="18"/>
                <w:szCs w:val="18"/>
              </w:rPr>
            </w:pPr>
            <w:r>
              <w:rPr>
                <w:b/>
                <w:bCs/>
                <w:i/>
                <w:iCs/>
                <w:color w:val="000000"/>
                <w:sz w:val="18"/>
                <w:szCs w:val="18"/>
              </w:rPr>
              <w:t> </w:t>
            </w:r>
          </w:p>
        </w:tc>
        <w:tc>
          <w:tcPr>
            <w:tcW w:w="641" w:type="pct"/>
            <w:tcBorders>
              <w:top w:val="single" w:sz="4" w:space="0" w:color="auto"/>
              <w:bottom w:val="nil"/>
            </w:tcBorders>
            <w:vAlign w:val="center"/>
          </w:tcPr>
          <w:p w14:paraId="0CAFC730" w14:textId="77777777" w:rsidR="003E3C44" w:rsidRDefault="003E3C44" w:rsidP="0042068D">
            <w:pPr>
              <w:spacing w:before="40" w:after="40" w:line="240" w:lineRule="auto"/>
              <w:jc w:val="center"/>
              <w:rPr>
                <w:b/>
                <w:bCs/>
                <w:i/>
                <w:iCs/>
                <w:color w:val="000000"/>
                <w:sz w:val="18"/>
                <w:szCs w:val="18"/>
              </w:rPr>
            </w:pPr>
            <w:r>
              <w:rPr>
                <w:b/>
                <w:bCs/>
                <w:i/>
                <w:iCs/>
                <w:color w:val="000000"/>
                <w:sz w:val="18"/>
                <w:szCs w:val="18"/>
              </w:rPr>
              <w:t> </w:t>
            </w:r>
          </w:p>
        </w:tc>
        <w:tc>
          <w:tcPr>
            <w:tcW w:w="690" w:type="pct"/>
            <w:tcBorders>
              <w:top w:val="single" w:sz="4" w:space="0" w:color="auto"/>
              <w:bottom w:val="nil"/>
              <w:right w:val="single" w:sz="6" w:space="0" w:color="auto"/>
            </w:tcBorders>
            <w:tcMar>
              <w:right w:w="57" w:type="dxa"/>
            </w:tcMar>
            <w:vAlign w:val="center"/>
          </w:tcPr>
          <w:p w14:paraId="4E793AED" w14:textId="77777777" w:rsidR="003E3C44" w:rsidRDefault="003E3C44" w:rsidP="0042068D">
            <w:pPr>
              <w:spacing w:before="40" w:after="40"/>
              <w:jc w:val="center"/>
              <w:rPr>
                <w:b/>
                <w:bCs/>
                <w:i/>
                <w:iCs/>
                <w:color w:val="000000"/>
                <w:sz w:val="18"/>
                <w:szCs w:val="18"/>
              </w:rPr>
            </w:pPr>
            <w:r>
              <w:rPr>
                <w:b/>
                <w:bCs/>
                <w:i/>
                <w:iCs/>
                <w:color w:val="000000"/>
                <w:sz w:val="18"/>
                <w:szCs w:val="18"/>
              </w:rPr>
              <w:t> </w:t>
            </w:r>
          </w:p>
        </w:tc>
      </w:tr>
      <w:tr w:rsidR="003E3C44" w:rsidRPr="00E74FF3" w14:paraId="04614AE0" w14:textId="77777777" w:rsidTr="0042068D">
        <w:tc>
          <w:tcPr>
            <w:tcW w:w="1321" w:type="pct"/>
            <w:tcBorders>
              <w:top w:val="nil"/>
              <w:left w:val="single" w:sz="6" w:space="0" w:color="auto"/>
              <w:bottom w:val="single" w:sz="4" w:space="0" w:color="auto"/>
            </w:tcBorders>
            <w:tcMar>
              <w:left w:w="57" w:type="dxa"/>
            </w:tcMar>
            <w:vAlign w:val="center"/>
          </w:tcPr>
          <w:p w14:paraId="0F5FBB88" w14:textId="77777777" w:rsidR="003E3C44" w:rsidRPr="00E74FF3" w:rsidRDefault="003E3C44" w:rsidP="0042068D">
            <w:pPr>
              <w:spacing w:before="40" w:after="40" w:line="240" w:lineRule="auto"/>
              <w:ind w:left="14"/>
              <w:jc w:val="left"/>
              <w:rPr>
                <w:rFonts w:eastAsia="Times New Roman"/>
                <w:sz w:val="18"/>
                <w:szCs w:val="18"/>
              </w:rPr>
            </w:pPr>
            <w:r w:rsidRPr="00E74FF3">
              <w:rPr>
                <w:rFonts w:eastAsia="Times New Roman"/>
                <w:sz w:val="18"/>
                <w:szCs w:val="18"/>
              </w:rPr>
              <w:t xml:space="preserve">Australian Equities </w:t>
            </w:r>
          </w:p>
        </w:tc>
        <w:tc>
          <w:tcPr>
            <w:tcW w:w="932" w:type="pct"/>
            <w:tcBorders>
              <w:top w:val="nil"/>
              <w:bottom w:val="single" w:sz="4" w:space="0" w:color="auto"/>
            </w:tcBorders>
            <w:vAlign w:val="center"/>
          </w:tcPr>
          <w:p w14:paraId="66AA08FA" w14:textId="77777777" w:rsidR="003E3C44" w:rsidRPr="00E74FF3" w:rsidRDefault="003E3C44" w:rsidP="0042068D">
            <w:pPr>
              <w:spacing w:before="40" w:after="40" w:line="240" w:lineRule="auto"/>
              <w:jc w:val="center"/>
              <w:rPr>
                <w:rFonts w:eastAsia="Times New Roman"/>
                <w:sz w:val="18"/>
                <w:szCs w:val="18"/>
                <w:lang w:val="en-US"/>
              </w:rPr>
            </w:pPr>
          </w:p>
        </w:tc>
        <w:tc>
          <w:tcPr>
            <w:tcW w:w="802" w:type="pct"/>
            <w:tcBorders>
              <w:top w:val="nil"/>
              <w:bottom w:val="single" w:sz="4" w:space="0" w:color="auto"/>
            </w:tcBorders>
            <w:vAlign w:val="center"/>
          </w:tcPr>
          <w:p w14:paraId="24273DFB" w14:textId="77777777" w:rsidR="003E3C44" w:rsidRDefault="003E3C44" w:rsidP="0042068D">
            <w:pPr>
              <w:spacing w:before="40" w:after="40" w:line="240" w:lineRule="auto"/>
              <w:jc w:val="center"/>
              <w:rPr>
                <w:color w:val="000000"/>
                <w:sz w:val="18"/>
                <w:szCs w:val="18"/>
              </w:rPr>
            </w:pPr>
            <w:r>
              <w:rPr>
                <w:color w:val="000000"/>
                <w:sz w:val="18"/>
                <w:szCs w:val="18"/>
              </w:rPr>
              <w:t>70,473</w:t>
            </w:r>
          </w:p>
        </w:tc>
        <w:tc>
          <w:tcPr>
            <w:tcW w:w="614" w:type="pct"/>
            <w:tcBorders>
              <w:top w:val="nil"/>
              <w:bottom w:val="single" w:sz="4" w:space="0" w:color="auto"/>
            </w:tcBorders>
            <w:vAlign w:val="center"/>
          </w:tcPr>
          <w:p w14:paraId="108193E3" w14:textId="77777777" w:rsidR="003E3C44" w:rsidRDefault="003E3C44" w:rsidP="0042068D">
            <w:pPr>
              <w:spacing w:before="40" w:after="40" w:line="240" w:lineRule="auto"/>
              <w:jc w:val="center"/>
              <w:rPr>
                <w:color w:val="000000"/>
                <w:sz w:val="18"/>
                <w:szCs w:val="18"/>
              </w:rPr>
            </w:pPr>
            <w:r>
              <w:rPr>
                <w:color w:val="000000"/>
                <w:sz w:val="18"/>
                <w:szCs w:val="18"/>
              </w:rPr>
              <w:t>10.17</w:t>
            </w:r>
          </w:p>
        </w:tc>
        <w:tc>
          <w:tcPr>
            <w:tcW w:w="641" w:type="pct"/>
            <w:tcBorders>
              <w:top w:val="nil"/>
              <w:bottom w:val="single" w:sz="4" w:space="0" w:color="auto"/>
            </w:tcBorders>
            <w:vAlign w:val="center"/>
          </w:tcPr>
          <w:p w14:paraId="56132CCD" w14:textId="77777777" w:rsidR="003E3C44" w:rsidRDefault="003E3C44" w:rsidP="0042068D">
            <w:pPr>
              <w:spacing w:before="40" w:after="40" w:line="240" w:lineRule="auto"/>
              <w:jc w:val="center"/>
              <w:rPr>
                <w:color w:val="000000"/>
                <w:sz w:val="18"/>
                <w:szCs w:val="18"/>
              </w:rPr>
            </w:pPr>
            <w:r>
              <w:rPr>
                <w:color w:val="000000"/>
                <w:sz w:val="18"/>
                <w:szCs w:val="18"/>
              </w:rPr>
              <w:t>10</w:t>
            </w:r>
          </w:p>
        </w:tc>
        <w:tc>
          <w:tcPr>
            <w:tcW w:w="690" w:type="pct"/>
            <w:tcBorders>
              <w:top w:val="nil"/>
              <w:bottom w:val="single" w:sz="4" w:space="0" w:color="auto"/>
              <w:right w:val="single" w:sz="6" w:space="0" w:color="auto"/>
            </w:tcBorders>
            <w:tcMar>
              <w:right w:w="57" w:type="dxa"/>
            </w:tcMar>
            <w:vAlign w:val="center"/>
          </w:tcPr>
          <w:p w14:paraId="38AA9D4C" w14:textId="77777777" w:rsidR="003E3C44" w:rsidRDefault="003E3C44" w:rsidP="0042068D">
            <w:pPr>
              <w:spacing w:before="40" w:after="40"/>
              <w:jc w:val="center"/>
              <w:rPr>
                <w:color w:val="000000"/>
                <w:sz w:val="18"/>
                <w:szCs w:val="18"/>
              </w:rPr>
            </w:pPr>
            <w:r>
              <w:rPr>
                <w:color w:val="000000"/>
                <w:sz w:val="18"/>
                <w:szCs w:val="18"/>
              </w:rPr>
              <w:t>0.17</w:t>
            </w:r>
          </w:p>
        </w:tc>
      </w:tr>
      <w:tr w:rsidR="003E3C44" w:rsidRPr="00E74FF3" w14:paraId="2BC54C4E" w14:textId="77777777" w:rsidTr="0042068D">
        <w:trPr>
          <w:trHeight w:hRule="exact" w:val="473"/>
        </w:trPr>
        <w:tc>
          <w:tcPr>
            <w:tcW w:w="1321" w:type="pct"/>
            <w:tcBorders>
              <w:top w:val="single" w:sz="4" w:space="0" w:color="auto"/>
              <w:left w:val="single" w:sz="6" w:space="0" w:color="auto"/>
              <w:bottom w:val="single" w:sz="4" w:space="0" w:color="auto"/>
            </w:tcBorders>
            <w:shd w:val="clear" w:color="auto" w:fill="DEEAF6" w:themeFill="accent1" w:themeFillTint="33"/>
            <w:tcMar>
              <w:left w:w="57" w:type="dxa"/>
            </w:tcMar>
          </w:tcPr>
          <w:p w14:paraId="238213D2" w14:textId="77777777" w:rsidR="003E3C44" w:rsidRPr="00E74FF3" w:rsidRDefault="003E3C44" w:rsidP="0042068D">
            <w:pPr>
              <w:spacing w:after="40" w:line="240" w:lineRule="auto"/>
              <w:ind w:left="14"/>
              <w:jc w:val="left"/>
              <w:rPr>
                <w:rFonts w:eastAsia="Times New Roman"/>
                <w:b/>
                <w:sz w:val="18"/>
                <w:szCs w:val="18"/>
              </w:rPr>
            </w:pPr>
            <w:r w:rsidRPr="00E74FF3">
              <w:rPr>
                <w:rFonts w:eastAsia="Times New Roman"/>
                <w:b/>
                <w:sz w:val="18"/>
                <w:szCs w:val="18"/>
              </w:rPr>
              <w:t>Total Australian Equities</w:t>
            </w:r>
          </w:p>
        </w:tc>
        <w:tc>
          <w:tcPr>
            <w:tcW w:w="932" w:type="pct"/>
            <w:tcBorders>
              <w:top w:val="single" w:sz="4" w:space="0" w:color="auto"/>
              <w:bottom w:val="single" w:sz="4" w:space="0" w:color="auto"/>
            </w:tcBorders>
            <w:shd w:val="clear" w:color="auto" w:fill="DEEAF6" w:themeFill="accent1" w:themeFillTint="33"/>
          </w:tcPr>
          <w:p w14:paraId="503F2BB7" w14:textId="77777777" w:rsidR="003E3C44" w:rsidRPr="00E74FF3" w:rsidRDefault="003E3C44" w:rsidP="0042068D">
            <w:pPr>
              <w:spacing w:before="40" w:after="40" w:line="240" w:lineRule="auto"/>
              <w:jc w:val="center"/>
              <w:rPr>
                <w:rFonts w:eastAsia="Times New Roman"/>
                <w:sz w:val="18"/>
                <w:szCs w:val="18"/>
                <w:lang w:val="en-US"/>
              </w:rPr>
            </w:pPr>
            <w:r w:rsidRPr="00E74FF3">
              <w:rPr>
                <w:rFonts w:eastAsia="Times New Roman"/>
                <w:sz w:val="18"/>
                <w:szCs w:val="18"/>
                <w:lang w:val="en-US"/>
              </w:rPr>
              <w:t>iShares Core S&amp;P/ASX 200</w:t>
            </w:r>
          </w:p>
        </w:tc>
        <w:tc>
          <w:tcPr>
            <w:tcW w:w="802" w:type="pct"/>
            <w:tcBorders>
              <w:top w:val="single" w:sz="4" w:space="0" w:color="auto"/>
              <w:bottom w:val="single" w:sz="4" w:space="0" w:color="auto"/>
            </w:tcBorders>
            <w:shd w:val="clear" w:color="auto" w:fill="DEEAF6" w:themeFill="accent1" w:themeFillTint="33"/>
            <w:vAlign w:val="center"/>
          </w:tcPr>
          <w:p w14:paraId="227CEFD0" w14:textId="77777777" w:rsidR="003E3C44" w:rsidRDefault="003E3C44" w:rsidP="0042068D">
            <w:pPr>
              <w:spacing w:before="40" w:after="40" w:line="240" w:lineRule="auto"/>
              <w:jc w:val="center"/>
              <w:rPr>
                <w:b/>
                <w:bCs/>
                <w:color w:val="000000"/>
                <w:sz w:val="18"/>
                <w:szCs w:val="18"/>
              </w:rPr>
            </w:pPr>
            <w:r>
              <w:rPr>
                <w:b/>
                <w:bCs/>
                <w:color w:val="000000"/>
                <w:sz w:val="18"/>
                <w:szCs w:val="18"/>
              </w:rPr>
              <w:t>417,986</w:t>
            </w:r>
          </w:p>
        </w:tc>
        <w:tc>
          <w:tcPr>
            <w:tcW w:w="614" w:type="pct"/>
            <w:tcBorders>
              <w:top w:val="single" w:sz="4" w:space="0" w:color="auto"/>
              <w:bottom w:val="single" w:sz="4" w:space="0" w:color="auto"/>
            </w:tcBorders>
            <w:shd w:val="clear" w:color="auto" w:fill="DEEAF6" w:themeFill="accent1" w:themeFillTint="33"/>
            <w:vAlign w:val="center"/>
          </w:tcPr>
          <w:p w14:paraId="2E08BA5B" w14:textId="77777777" w:rsidR="003E3C44" w:rsidRDefault="003E3C44" w:rsidP="0042068D">
            <w:pPr>
              <w:spacing w:before="40" w:after="40" w:line="240" w:lineRule="auto"/>
              <w:jc w:val="center"/>
              <w:rPr>
                <w:b/>
                <w:bCs/>
                <w:color w:val="000000"/>
                <w:sz w:val="18"/>
                <w:szCs w:val="18"/>
              </w:rPr>
            </w:pPr>
            <w:r>
              <w:rPr>
                <w:b/>
                <w:bCs/>
                <w:color w:val="000000"/>
                <w:sz w:val="18"/>
                <w:szCs w:val="18"/>
              </w:rPr>
              <w:t>60.31</w:t>
            </w:r>
          </w:p>
        </w:tc>
        <w:tc>
          <w:tcPr>
            <w:tcW w:w="641" w:type="pct"/>
            <w:tcBorders>
              <w:top w:val="single" w:sz="4" w:space="0" w:color="auto"/>
              <w:bottom w:val="single" w:sz="4" w:space="0" w:color="auto"/>
            </w:tcBorders>
            <w:shd w:val="clear" w:color="auto" w:fill="DEEAF6" w:themeFill="accent1" w:themeFillTint="33"/>
            <w:vAlign w:val="center"/>
          </w:tcPr>
          <w:p w14:paraId="1FE20CF4" w14:textId="77777777" w:rsidR="003E3C44" w:rsidRDefault="003E3C44" w:rsidP="0042068D">
            <w:pPr>
              <w:spacing w:before="40" w:after="40" w:line="240" w:lineRule="auto"/>
              <w:jc w:val="center"/>
              <w:rPr>
                <w:b/>
                <w:bCs/>
                <w:color w:val="000000"/>
                <w:sz w:val="18"/>
                <w:szCs w:val="18"/>
              </w:rPr>
            </w:pPr>
            <w:r>
              <w:rPr>
                <w:b/>
                <w:bCs/>
                <w:color w:val="000000"/>
                <w:sz w:val="18"/>
                <w:szCs w:val="18"/>
              </w:rPr>
              <w:t>60</w:t>
            </w:r>
          </w:p>
        </w:tc>
        <w:tc>
          <w:tcPr>
            <w:tcW w:w="690" w:type="pct"/>
            <w:tcBorders>
              <w:top w:val="single" w:sz="4" w:space="0" w:color="auto"/>
              <w:bottom w:val="single" w:sz="4" w:space="0" w:color="auto"/>
              <w:right w:val="single" w:sz="6" w:space="0" w:color="auto"/>
            </w:tcBorders>
            <w:shd w:val="clear" w:color="auto" w:fill="DEEAF6" w:themeFill="accent1" w:themeFillTint="33"/>
            <w:tcMar>
              <w:right w:w="57" w:type="dxa"/>
            </w:tcMar>
            <w:vAlign w:val="center"/>
          </w:tcPr>
          <w:p w14:paraId="3E17A297" w14:textId="77777777" w:rsidR="003E3C44" w:rsidRDefault="003E3C44" w:rsidP="0042068D">
            <w:pPr>
              <w:spacing w:before="40" w:after="40"/>
              <w:jc w:val="center"/>
              <w:rPr>
                <w:b/>
                <w:bCs/>
                <w:color w:val="000000"/>
                <w:sz w:val="18"/>
                <w:szCs w:val="18"/>
              </w:rPr>
            </w:pPr>
            <w:r>
              <w:rPr>
                <w:b/>
                <w:bCs/>
                <w:color w:val="000000"/>
                <w:sz w:val="18"/>
                <w:szCs w:val="18"/>
              </w:rPr>
              <w:t>0.31</w:t>
            </w:r>
          </w:p>
        </w:tc>
      </w:tr>
      <w:tr w:rsidR="003E3C44" w:rsidRPr="00E74FF3" w14:paraId="286582CC" w14:textId="77777777" w:rsidTr="0042068D">
        <w:tc>
          <w:tcPr>
            <w:tcW w:w="1321" w:type="pct"/>
            <w:tcBorders>
              <w:top w:val="single" w:sz="4" w:space="0" w:color="auto"/>
              <w:left w:val="single" w:sz="6" w:space="0" w:color="auto"/>
              <w:bottom w:val="nil"/>
            </w:tcBorders>
            <w:tcMar>
              <w:left w:w="57" w:type="dxa"/>
            </w:tcMar>
            <w:vAlign w:val="center"/>
          </w:tcPr>
          <w:p w14:paraId="4B0D10D2" w14:textId="77777777" w:rsidR="003E3C44" w:rsidRPr="00E74FF3" w:rsidRDefault="003E3C44" w:rsidP="0042068D">
            <w:pPr>
              <w:spacing w:before="40" w:after="40" w:line="240" w:lineRule="auto"/>
              <w:ind w:left="14"/>
              <w:jc w:val="left"/>
              <w:rPr>
                <w:rFonts w:eastAsia="Times New Roman"/>
                <w:sz w:val="18"/>
                <w:szCs w:val="18"/>
                <w:lang w:val="en-US"/>
              </w:rPr>
            </w:pPr>
            <w:r w:rsidRPr="00E74FF3">
              <w:rPr>
                <w:rFonts w:eastAsia="Times New Roman"/>
                <w:sz w:val="18"/>
                <w:szCs w:val="18"/>
                <w:lang w:val="en-US"/>
              </w:rPr>
              <w:t xml:space="preserve">International Equities, </w:t>
            </w:r>
          </w:p>
          <w:p w14:paraId="4F4B22E0" w14:textId="77777777" w:rsidR="003E3C44" w:rsidRPr="00E74FF3" w:rsidRDefault="003E3C44" w:rsidP="0042068D">
            <w:pPr>
              <w:spacing w:before="40" w:after="40" w:line="240" w:lineRule="auto"/>
              <w:jc w:val="left"/>
              <w:rPr>
                <w:rFonts w:eastAsia="Times New Roman"/>
                <w:sz w:val="18"/>
                <w:szCs w:val="18"/>
              </w:rPr>
            </w:pPr>
            <w:r w:rsidRPr="00E74FF3">
              <w:rPr>
                <w:rFonts w:eastAsia="Times New Roman"/>
                <w:sz w:val="18"/>
                <w:szCs w:val="18"/>
                <w:lang w:val="en-US"/>
              </w:rPr>
              <w:t>Hedged</w:t>
            </w:r>
          </w:p>
        </w:tc>
        <w:tc>
          <w:tcPr>
            <w:tcW w:w="932" w:type="pct"/>
            <w:tcBorders>
              <w:top w:val="single" w:sz="4" w:space="0" w:color="auto"/>
              <w:bottom w:val="nil"/>
            </w:tcBorders>
            <w:vAlign w:val="center"/>
          </w:tcPr>
          <w:p w14:paraId="1085DC5F" w14:textId="77777777" w:rsidR="003E3C44" w:rsidRPr="00E74FF3" w:rsidRDefault="003E3C44" w:rsidP="0042068D">
            <w:pPr>
              <w:spacing w:after="40" w:line="240" w:lineRule="auto"/>
              <w:jc w:val="center"/>
              <w:rPr>
                <w:rFonts w:eastAsia="Times New Roman"/>
                <w:sz w:val="18"/>
                <w:szCs w:val="18"/>
              </w:rPr>
            </w:pPr>
            <w:r w:rsidRPr="00E74FF3">
              <w:rPr>
                <w:rFonts w:eastAsia="Times New Roman"/>
                <w:sz w:val="18"/>
                <w:szCs w:val="18"/>
                <w:lang w:val="en-US"/>
              </w:rPr>
              <w:t>Vanguard International Shares Index, Hedged</w:t>
            </w:r>
          </w:p>
        </w:tc>
        <w:tc>
          <w:tcPr>
            <w:tcW w:w="802" w:type="pct"/>
            <w:tcBorders>
              <w:top w:val="single" w:sz="4" w:space="0" w:color="auto"/>
              <w:bottom w:val="nil"/>
            </w:tcBorders>
            <w:vAlign w:val="center"/>
          </w:tcPr>
          <w:p w14:paraId="7A63D8B0" w14:textId="77777777" w:rsidR="003E3C44" w:rsidRDefault="003E3C44" w:rsidP="0042068D">
            <w:pPr>
              <w:spacing w:before="40" w:after="40" w:line="240" w:lineRule="auto"/>
              <w:jc w:val="center"/>
              <w:rPr>
                <w:color w:val="000000"/>
                <w:sz w:val="18"/>
                <w:szCs w:val="18"/>
              </w:rPr>
            </w:pPr>
            <w:r>
              <w:rPr>
                <w:color w:val="000000"/>
                <w:sz w:val="18"/>
                <w:szCs w:val="18"/>
              </w:rPr>
              <w:t>67,284</w:t>
            </w:r>
          </w:p>
        </w:tc>
        <w:tc>
          <w:tcPr>
            <w:tcW w:w="614" w:type="pct"/>
            <w:tcBorders>
              <w:top w:val="single" w:sz="4" w:space="0" w:color="auto"/>
              <w:bottom w:val="nil"/>
            </w:tcBorders>
            <w:vAlign w:val="center"/>
          </w:tcPr>
          <w:p w14:paraId="637CD045" w14:textId="77777777" w:rsidR="003E3C44" w:rsidRDefault="003E3C44" w:rsidP="0042068D">
            <w:pPr>
              <w:spacing w:before="40" w:after="40" w:line="240" w:lineRule="auto"/>
              <w:jc w:val="center"/>
              <w:rPr>
                <w:color w:val="000000"/>
                <w:sz w:val="18"/>
                <w:szCs w:val="18"/>
              </w:rPr>
            </w:pPr>
            <w:r>
              <w:rPr>
                <w:color w:val="000000"/>
                <w:sz w:val="18"/>
                <w:szCs w:val="18"/>
              </w:rPr>
              <w:t>9.71</w:t>
            </w:r>
          </w:p>
        </w:tc>
        <w:tc>
          <w:tcPr>
            <w:tcW w:w="641" w:type="pct"/>
            <w:tcBorders>
              <w:top w:val="single" w:sz="4" w:space="0" w:color="auto"/>
              <w:bottom w:val="nil"/>
            </w:tcBorders>
            <w:vAlign w:val="center"/>
          </w:tcPr>
          <w:p w14:paraId="464EDC7B" w14:textId="77777777" w:rsidR="003E3C44" w:rsidRDefault="003E3C44" w:rsidP="0042068D">
            <w:pPr>
              <w:spacing w:before="40" w:after="40" w:line="240" w:lineRule="auto"/>
              <w:jc w:val="center"/>
              <w:rPr>
                <w:color w:val="000000"/>
                <w:sz w:val="18"/>
                <w:szCs w:val="18"/>
              </w:rPr>
            </w:pPr>
            <w:r>
              <w:rPr>
                <w:color w:val="000000"/>
                <w:sz w:val="18"/>
                <w:szCs w:val="18"/>
              </w:rPr>
              <w:t>10</w:t>
            </w:r>
          </w:p>
        </w:tc>
        <w:tc>
          <w:tcPr>
            <w:tcW w:w="690" w:type="pct"/>
            <w:tcBorders>
              <w:top w:val="single" w:sz="4" w:space="0" w:color="auto"/>
              <w:bottom w:val="nil"/>
              <w:right w:val="single" w:sz="6" w:space="0" w:color="auto"/>
            </w:tcBorders>
            <w:tcMar>
              <w:right w:w="57" w:type="dxa"/>
            </w:tcMar>
            <w:vAlign w:val="center"/>
          </w:tcPr>
          <w:p w14:paraId="5A6D265C" w14:textId="77777777" w:rsidR="003E3C44" w:rsidRDefault="003E3C44" w:rsidP="0042068D">
            <w:pPr>
              <w:spacing w:before="40" w:after="40"/>
              <w:jc w:val="center"/>
              <w:rPr>
                <w:color w:val="000000"/>
                <w:sz w:val="18"/>
                <w:szCs w:val="18"/>
              </w:rPr>
            </w:pPr>
            <w:r>
              <w:rPr>
                <w:color w:val="000000"/>
                <w:sz w:val="18"/>
                <w:szCs w:val="18"/>
              </w:rPr>
              <w:t>-0.29</w:t>
            </w:r>
          </w:p>
        </w:tc>
      </w:tr>
      <w:tr w:rsidR="003E3C44" w:rsidRPr="00E74FF3" w14:paraId="710A34FB" w14:textId="77777777" w:rsidTr="0042068D">
        <w:tc>
          <w:tcPr>
            <w:tcW w:w="1321" w:type="pct"/>
            <w:tcBorders>
              <w:top w:val="nil"/>
              <w:left w:val="single" w:sz="6" w:space="0" w:color="auto"/>
              <w:bottom w:val="single" w:sz="4" w:space="0" w:color="auto"/>
            </w:tcBorders>
            <w:tcMar>
              <w:left w:w="57" w:type="dxa"/>
            </w:tcMar>
            <w:vAlign w:val="center"/>
          </w:tcPr>
          <w:p w14:paraId="59578AC0" w14:textId="77777777" w:rsidR="003E3C44" w:rsidRPr="00E74FF3" w:rsidRDefault="003E3C44" w:rsidP="0042068D">
            <w:pPr>
              <w:spacing w:before="40" w:after="40" w:line="240" w:lineRule="auto"/>
              <w:ind w:left="14"/>
              <w:jc w:val="left"/>
              <w:rPr>
                <w:rFonts w:eastAsia="Times New Roman"/>
                <w:sz w:val="18"/>
                <w:szCs w:val="18"/>
              </w:rPr>
            </w:pPr>
            <w:r w:rsidRPr="00E74FF3">
              <w:rPr>
                <w:rFonts w:eastAsia="Times New Roman"/>
                <w:sz w:val="18"/>
                <w:szCs w:val="18"/>
                <w:lang w:val="en-US"/>
              </w:rPr>
              <w:t>International Equities, Unhedged</w:t>
            </w:r>
          </w:p>
        </w:tc>
        <w:tc>
          <w:tcPr>
            <w:tcW w:w="932" w:type="pct"/>
            <w:tcBorders>
              <w:top w:val="nil"/>
              <w:bottom w:val="single" w:sz="4" w:space="0" w:color="auto"/>
            </w:tcBorders>
            <w:vAlign w:val="center"/>
          </w:tcPr>
          <w:p w14:paraId="0E72BBE6" w14:textId="77777777" w:rsidR="003E3C44" w:rsidRPr="00E74FF3" w:rsidRDefault="003E3C44" w:rsidP="0042068D">
            <w:pPr>
              <w:spacing w:before="40" w:after="40" w:line="240" w:lineRule="auto"/>
              <w:jc w:val="center"/>
              <w:rPr>
                <w:rFonts w:eastAsia="Times New Roman"/>
                <w:sz w:val="18"/>
                <w:szCs w:val="18"/>
              </w:rPr>
            </w:pPr>
            <w:r w:rsidRPr="00E74FF3">
              <w:rPr>
                <w:rFonts w:eastAsia="Times New Roman"/>
                <w:sz w:val="18"/>
                <w:szCs w:val="18"/>
                <w:lang w:val="en-US"/>
              </w:rPr>
              <w:t>Vanguard International Shares Index</w:t>
            </w:r>
          </w:p>
        </w:tc>
        <w:tc>
          <w:tcPr>
            <w:tcW w:w="802" w:type="pct"/>
            <w:tcBorders>
              <w:top w:val="nil"/>
              <w:bottom w:val="single" w:sz="4" w:space="0" w:color="auto"/>
            </w:tcBorders>
            <w:vAlign w:val="center"/>
          </w:tcPr>
          <w:p w14:paraId="629F195B" w14:textId="77777777" w:rsidR="003E3C44" w:rsidRDefault="003E3C44" w:rsidP="0042068D">
            <w:pPr>
              <w:spacing w:before="40" w:after="40" w:line="240" w:lineRule="auto"/>
              <w:jc w:val="center"/>
              <w:rPr>
                <w:color w:val="000000"/>
                <w:sz w:val="18"/>
                <w:szCs w:val="18"/>
              </w:rPr>
            </w:pPr>
            <w:r>
              <w:rPr>
                <w:color w:val="000000"/>
                <w:sz w:val="18"/>
                <w:szCs w:val="18"/>
              </w:rPr>
              <w:t>71,910</w:t>
            </w:r>
          </w:p>
        </w:tc>
        <w:tc>
          <w:tcPr>
            <w:tcW w:w="614" w:type="pct"/>
            <w:tcBorders>
              <w:top w:val="nil"/>
              <w:bottom w:val="single" w:sz="4" w:space="0" w:color="auto"/>
            </w:tcBorders>
            <w:vAlign w:val="center"/>
          </w:tcPr>
          <w:p w14:paraId="0C9C97BF" w14:textId="77777777" w:rsidR="003E3C44" w:rsidRDefault="003E3C44" w:rsidP="0042068D">
            <w:pPr>
              <w:spacing w:before="40" w:after="40" w:line="240" w:lineRule="auto"/>
              <w:jc w:val="center"/>
              <w:rPr>
                <w:color w:val="000000"/>
                <w:sz w:val="18"/>
                <w:szCs w:val="18"/>
              </w:rPr>
            </w:pPr>
            <w:r>
              <w:rPr>
                <w:color w:val="000000"/>
                <w:sz w:val="18"/>
                <w:szCs w:val="18"/>
              </w:rPr>
              <w:t>10.38</w:t>
            </w:r>
          </w:p>
        </w:tc>
        <w:tc>
          <w:tcPr>
            <w:tcW w:w="641" w:type="pct"/>
            <w:tcBorders>
              <w:top w:val="nil"/>
              <w:bottom w:val="single" w:sz="4" w:space="0" w:color="auto"/>
            </w:tcBorders>
            <w:vAlign w:val="center"/>
          </w:tcPr>
          <w:p w14:paraId="6E762C23" w14:textId="77777777" w:rsidR="003E3C44" w:rsidRDefault="003E3C44" w:rsidP="0042068D">
            <w:pPr>
              <w:spacing w:before="40" w:after="40" w:line="240" w:lineRule="auto"/>
              <w:jc w:val="center"/>
              <w:rPr>
                <w:color w:val="000000"/>
                <w:sz w:val="18"/>
                <w:szCs w:val="18"/>
              </w:rPr>
            </w:pPr>
            <w:r>
              <w:rPr>
                <w:color w:val="000000"/>
                <w:sz w:val="18"/>
                <w:szCs w:val="18"/>
              </w:rPr>
              <w:t>10</w:t>
            </w:r>
          </w:p>
        </w:tc>
        <w:tc>
          <w:tcPr>
            <w:tcW w:w="690" w:type="pct"/>
            <w:tcBorders>
              <w:top w:val="nil"/>
              <w:bottom w:val="single" w:sz="4" w:space="0" w:color="auto"/>
              <w:right w:val="single" w:sz="6" w:space="0" w:color="auto"/>
            </w:tcBorders>
            <w:tcMar>
              <w:right w:w="57" w:type="dxa"/>
            </w:tcMar>
            <w:vAlign w:val="center"/>
          </w:tcPr>
          <w:p w14:paraId="46882BEE" w14:textId="77777777" w:rsidR="003E3C44" w:rsidRDefault="003E3C44" w:rsidP="0042068D">
            <w:pPr>
              <w:spacing w:before="40" w:after="40"/>
              <w:jc w:val="center"/>
              <w:rPr>
                <w:color w:val="000000"/>
                <w:sz w:val="18"/>
                <w:szCs w:val="18"/>
              </w:rPr>
            </w:pPr>
            <w:r>
              <w:rPr>
                <w:color w:val="000000"/>
                <w:sz w:val="18"/>
                <w:szCs w:val="18"/>
                <w:lang w:val="en-US"/>
              </w:rPr>
              <w:t>0.38</w:t>
            </w:r>
          </w:p>
        </w:tc>
      </w:tr>
      <w:tr w:rsidR="003E3C44" w:rsidRPr="00E74FF3" w14:paraId="7F69C562" w14:textId="77777777" w:rsidTr="0042068D">
        <w:trPr>
          <w:trHeight w:hRule="exact" w:val="325"/>
        </w:trPr>
        <w:tc>
          <w:tcPr>
            <w:tcW w:w="1321" w:type="pct"/>
            <w:tcBorders>
              <w:top w:val="single" w:sz="4" w:space="0" w:color="auto"/>
              <w:left w:val="single" w:sz="6" w:space="0" w:color="auto"/>
              <w:bottom w:val="single" w:sz="4" w:space="0" w:color="auto"/>
            </w:tcBorders>
            <w:tcMar>
              <w:left w:w="57" w:type="dxa"/>
            </w:tcMar>
          </w:tcPr>
          <w:p w14:paraId="2F9F7420" w14:textId="77777777" w:rsidR="003E3C44" w:rsidRPr="00E74FF3" w:rsidRDefault="003E3C44" w:rsidP="0042068D">
            <w:pPr>
              <w:spacing w:before="60" w:after="60" w:line="240" w:lineRule="auto"/>
              <w:ind w:left="14"/>
              <w:jc w:val="left"/>
              <w:rPr>
                <w:rFonts w:eastAsia="Times New Roman"/>
                <w:b/>
                <w:sz w:val="18"/>
                <w:szCs w:val="18"/>
              </w:rPr>
            </w:pPr>
            <w:r w:rsidRPr="00E74FF3">
              <w:rPr>
                <w:rFonts w:eastAsia="Times New Roman"/>
                <w:b/>
                <w:sz w:val="18"/>
                <w:szCs w:val="18"/>
              </w:rPr>
              <w:t>Total International Equities</w:t>
            </w:r>
          </w:p>
        </w:tc>
        <w:tc>
          <w:tcPr>
            <w:tcW w:w="932" w:type="pct"/>
            <w:tcBorders>
              <w:top w:val="single" w:sz="4" w:space="0" w:color="auto"/>
              <w:bottom w:val="single" w:sz="4" w:space="0" w:color="auto"/>
            </w:tcBorders>
          </w:tcPr>
          <w:p w14:paraId="1336BBAE" w14:textId="77777777" w:rsidR="003E3C44" w:rsidRPr="00E74FF3" w:rsidRDefault="003E3C44" w:rsidP="0042068D">
            <w:pPr>
              <w:spacing w:before="60" w:after="60" w:line="240" w:lineRule="auto"/>
              <w:jc w:val="center"/>
              <w:rPr>
                <w:rFonts w:eastAsia="Times New Roman"/>
                <w:b/>
                <w:i/>
                <w:sz w:val="18"/>
                <w:szCs w:val="18"/>
              </w:rPr>
            </w:pPr>
          </w:p>
        </w:tc>
        <w:tc>
          <w:tcPr>
            <w:tcW w:w="802" w:type="pct"/>
            <w:tcBorders>
              <w:top w:val="single" w:sz="4" w:space="0" w:color="auto"/>
              <w:bottom w:val="single" w:sz="4" w:space="0" w:color="auto"/>
            </w:tcBorders>
            <w:vAlign w:val="center"/>
          </w:tcPr>
          <w:p w14:paraId="35CAC3B3" w14:textId="77777777" w:rsidR="003E3C44" w:rsidRDefault="003E3C44" w:rsidP="0042068D">
            <w:pPr>
              <w:spacing w:before="40" w:after="40" w:line="240" w:lineRule="auto"/>
              <w:jc w:val="center"/>
              <w:rPr>
                <w:b/>
                <w:bCs/>
                <w:color w:val="000000"/>
                <w:sz w:val="18"/>
                <w:szCs w:val="18"/>
              </w:rPr>
            </w:pPr>
            <w:r>
              <w:rPr>
                <w:b/>
                <w:bCs/>
                <w:color w:val="000000"/>
                <w:sz w:val="18"/>
                <w:szCs w:val="18"/>
              </w:rPr>
              <w:t>139,194</w:t>
            </w:r>
          </w:p>
        </w:tc>
        <w:tc>
          <w:tcPr>
            <w:tcW w:w="614" w:type="pct"/>
            <w:tcBorders>
              <w:top w:val="single" w:sz="4" w:space="0" w:color="auto"/>
              <w:bottom w:val="single" w:sz="4" w:space="0" w:color="auto"/>
            </w:tcBorders>
            <w:vAlign w:val="center"/>
          </w:tcPr>
          <w:p w14:paraId="3EC27A6D" w14:textId="77777777" w:rsidR="003E3C44" w:rsidRDefault="003E3C44" w:rsidP="0042068D">
            <w:pPr>
              <w:spacing w:before="40" w:after="40" w:line="240" w:lineRule="auto"/>
              <w:jc w:val="center"/>
              <w:rPr>
                <w:b/>
                <w:bCs/>
                <w:color w:val="000000"/>
                <w:sz w:val="18"/>
                <w:szCs w:val="18"/>
              </w:rPr>
            </w:pPr>
            <w:r>
              <w:rPr>
                <w:b/>
                <w:bCs/>
                <w:color w:val="000000"/>
                <w:sz w:val="18"/>
                <w:szCs w:val="18"/>
              </w:rPr>
              <w:t>20.09</w:t>
            </w:r>
          </w:p>
        </w:tc>
        <w:tc>
          <w:tcPr>
            <w:tcW w:w="641" w:type="pct"/>
            <w:tcBorders>
              <w:top w:val="single" w:sz="4" w:space="0" w:color="auto"/>
              <w:bottom w:val="single" w:sz="4" w:space="0" w:color="auto"/>
            </w:tcBorders>
            <w:vAlign w:val="center"/>
          </w:tcPr>
          <w:p w14:paraId="45DF7D9E" w14:textId="77777777" w:rsidR="003E3C44" w:rsidRDefault="003E3C44" w:rsidP="0042068D">
            <w:pPr>
              <w:spacing w:before="40" w:after="40" w:line="240" w:lineRule="auto"/>
              <w:jc w:val="center"/>
              <w:rPr>
                <w:b/>
                <w:bCs/>
                <w:color w:val="000000"/>
                <w:sz w:val="18"/>
                <w:szCs w:val="18"/>
              </w:rPr>
            </w:pPr>
            <w:r>
              <w:rPr>
                <w:b/>
                <w:bCs/>
                <w:color w:val="000000"/>
                <w:sz w:val="18"/>
                <w:szCs w:val="18"/>
              </w:rPr>
              <w:t>20</w:t>
            </w:r>
          </w:p>
        </w:tc>
        <w:tc>
          <w:tcPr>
            <w:tcW w:w="690" w:type="pct"/>
            <w:tcBorders>
              <w:top w:val="single" w:sz="4" w:space="0" w:color="auto"/>
              <w:bottom w:val="single" w:sz="4" w:space="0" w:color="auto"/>
              <w:right w:val="single" w:sz="6" w:space="0" w:color="auto"/>
            </w:tcBorders>
            <w:tcMar>
              <w:right w:w="57" w:type="dxa"/>
            </w:tcMar>
            <w:vAlign w:val="center"/>
          </w:tcPr>
          <w:p w14:paraId="29E2DDF5" w14:textId="77777777" w:rsidR="003E3C44" w:rsidRDefault="003E3C44" w:rsidP="0042068D">
            <w:pPr>
              <w:spacing w:before="40" w:after="40"/>
              <w:jc w:val="center"/>
              <w:rPr>
                <w:b/>
                <w:bCs/>
                <w:color w:val="000000"/>
                <w:sz w:val="18"/>
                <w:szCs w:val="18"/>
              </w:rPr>
            </w:pPr>
            <w:r>
              <w:rPr>
                <w:b/>
                <w:bCs/>
                <w:color w:val="000000"/>
                <w:sz w:val="18"/>
                <w:szCs w:val="18"/>
              </w:rPr>
              <w:t>0.09</w:t>
            </w:r>
          </w:p>
        </w:tc>
      </w:tr>
      <w:tr w:rsidR="003E3C44" w:rsidRPr="00E74FF3" w14:paraId="38879D69" w14:textId="77777777" w:rsidTr="0042068D">
        <w:trPr>
          <w:trHeight w:hRule="exact" w:val="334"/>
        </w:trPr>
        <w:tc>
          <w:tcPr>
            <w:tcW w:w="1321" w:type="pct"/>
            <w:tcBorders>
              <w:top w:val="single" w:sz="4" w:space="0" w:color="auto"/>
              <w:left w:val="single" w:sz="6" w:space="0" w:color="auto"/>
              <w:bottom w:val="single" w:sz="4" w:space="0" w:color="auto"/>
            </w:tcBorders>
            <w:shd w:val="clear" w:color="auto" w:fill="DEEAF6" w:themeFill="accent1" w:themeFillTint="33"/>
            <w:tcMar>
              <w:left w:w="57" w:type="dxa"/>
            </w:tcMar>
          </w:tcPr>
          <w:p w14:paraId="17C64873" w14:textId="77777777" w:rsidR="003E3C44" w:rsidRPr="00E74FF3" w:rsidRDefault="003E3C44" w:rsidP="0042068D">
            <w:pPr>
              <w:spacing w:before="60" w:after="60" w:line="240" w:lineRule="auto"/>
              <w:ind w:left="14"/>
              <w:jc w:val="left"/>
              <w:rPr>
                <w:rFonts w:eastAsia="Times New Roman"/>
                <w:b/>
                <w:sz w:val="18"/>
                <w:szCs w:val="18"/>
              </w:rPr>
            </w:pPr>
            <w:r w:rsidRPr="00E74FF3">
              <w:rPr>
                <w:rFonts w:eastAsia="Times New Roman"/>
                <w:b/>
                <w:sz w:val="18"/>
                <w:szCs w:val="18"/>
              </w:rPr>
              <w:t>Total Equities</w:t>
            </w:r>
          </w:p>
        </w:tc>
        <w:tc>
          <w:tcPr>
            <w:tcW w:w="932" w:type="pct"/>
            <w:tcBorders>
              <w:top w:val="single" w:sz="4" w:space="0" w:color="auto"/>
              <w:bottom w:val="single" w:sz="4" w:space="0" w:color="auto"/>
            </w:tcBorders>
            <w:shd w:val="clear" w:color="auto" w:fill="DEEAF6" w:themeFill="accent1" w:themeFillTint="33"/>
          </w:tcPr>
          <w:p w14:paraId="2CD62365" w14:textId="77777777" w:rsidR="003E3C44" w:rsidRPr="00E74FF3" w:rsidRDefault="003E3C44" w:rsidP="0042068D">
            <w:pPr>
              <w:spacing w:before="60" w:after="60" w:line="240" w:lineRule="auto"/>
              <w:jc w:val="center"/>
              <w:rPr>
                <w:rFonts w:eastAsia="Times New Roman"/>
                <w:b/>
                <w:sz w:val="18"/>
                <w:szCs w:val="18"/>
              </w:rPr>
            </w:pPr>
          </w:p>
        </w:tc>
        <w:tc>
          <w:tcPr>
            <w:tcW w:w="802" w:type="pct"/>
            <w:tcBorders>
              <w:top w:val="single" w:sz="4" w:space="0" w:color="auto"/>
              <w:bottom w:val="single" w:sz="4" w:space="0" w:color="auto"/>
            </w:tcBorders>
            <w:shd w:val="clear" w:color="auto" w:fill="DEEAF6" w:themeFill="accent1" w:themeFillTint="33"/>
            <w:vAlign w:val="center"/>
          </w:tcPr>
          <w:p w14:paraId="2E189556" w14:textId="77777777" w:rsidR="003E3C44" w:rsidRDefault="003E3C44" w:rsidP="0042068D">
            <w:pPr>
              <w:spacing w:before="40" w:after="40" w:line="240" w:lineRule="auto"/>
              <w:jc w:val="center"/>
              <w:rPr>
                <w:b/>
                <w:bCs/>
                <w:color w:val="000000"/>
                <w:sz w:val="18"/>
                <w:szCs w:val="18"/>
              </w:rPr>
            </w:pPr>
            <w:r>
              <w:rPr>
                <w:b/>
                <w:bCs/>
                <w:color w:val="000000"/>
                <w:sz w:val="18"/>
                <w:szCs w:val="18"/>
              </w:rPr>
              <w:t>557,180</w:t>
            </w:r>
          </w:p>
        </w:tc>
        <w:tc>
          <w:tcPr>
            <w:tcW w:w="614" w:type="pct"/>
            <w:tcBorders>
              <w:top w:val="single" w:sz="4" w:space="0" w:color="auto"/>
              <w:bottom w:val="single" w:sz="4" w:space="0" w:color="auto"/>
            </w:tcBorders>
            <w:shd w:val="clear" w:color="auto" w:fill="DEEAF6" w:themeFill="accent1" w:themeFillTint="33"/>
            <w:vAlign w:val="center"/>
          </w:tcPr>
          <w:p w14:paraId="0025CE33" w14:textId="77777777" w:rsidR="003E3C44" w:rsidRDefault="003E3C44" w:rsidP="0042068D">
            <w:pPr>
              <w:spacing w:before="40" w:after="40" w:line="240" w:lineRule="auto"/>
              <w:jc w:val="center"/>
              <w:rPr>
                <w:b/>
                <w:bCs/>
                <w:color w:val="000000"/>
                <w:sz w:val="18"/>
                <w:szCs w:val="18"/>
              </w:rPr>
            </w:pPr>
            <w:r>
              <w:rPr>
                <w:b/>
                <w:bCs/>
                <w:color w:val="000000"/>
                <w:sz w:val="18"/>
                <w:szCs w:val="18"/>
              </w:rPr>
              <w:t>80.40</w:t>
            </w:r>
          </w:p>
        </w:tc>
        <w:tc>
          <w:tcPr>
            <w:tcW w:w="641" w:type="pct"/>
            <w:tcBorders>
              <w:top w:val="single" w:sz="4" w:space="0" w:color="auto"/>
              <w:bottom w:val="single" w:sz="4" w:space="0" w:color="auto"/>
            </w:tcBorders>
            <w:shd w:val="clear" w:color="auto" w:fill="DEEAF6" w:themeFill="accent1" w:themeFillTint="33"/>
            <w:vAlign w:val="center"/>
          </w:tcPr>
          <w:p w14:paraId="456438B8" w14:textId="77777777" w:rsidR="003E3C44" w:rsidRDefault="003E3C44" w:rsidP="0042068D">
            <w:pPr>
              <w:spacing w:before="40" w:after="40" w:line="240" w:lineRule="auto"/>
              <w:jc w:val="center"/>
              <w:rPr>
                <w:b/>
                <w:bCs/>
                <w:color w:val="000000"/>
                <w:sz w:val="18"/>
                <w:szCs w:val="18"/>
              </w:rPr>
            </w:pPr>
            <w:r>
              <w:rPr>
                <w:b/>
                <w:bCs/>
                <w:color w:val="000000"/>
                <w:sz w:val="18"/>
                <w:szCs w:val="18"/>
              </w:rPr>
              <w:t>80</w:t>
            </w:r>
          </w:p>
        </w:tc>
        <w:tc>
          <w:tcPr>
            <w:tcW w:w="690" w:type="pct"/>
            <w:tcBorders>
              <w:top w:val="single" w:sz="4" w:space="0" w:color="auto"/>
              <w:bottom w:val="single" w:sz="4" w:space="0" w:color="auto"/>
              <w:right w:val="single" w:sz="6" w:space="0" w:color="auto"/>
            </w:tcBorders>
            <w:shd w:val="clear" w:color="auto" w:fill="DEEAF6" w:themeFill="accent1" w:themeFillTint="33"/>
            <w:tcMar>
              <w:right w:w="57" w:type="dxa"/>
            </w:tcMar>
            <w:vAlign w:val="center"/>
          </w:tcPr>
          <w:p w14:paraId="30E0BB8B" w14:textId="77777777" w:rsidR="003E3C44" w:rsidRDefault="003E3C44" w:rsidP="0042068D">
            <w:pPr>
              <w:spacing w:before="40" w:after="40"/>
              <w:jc w:val="center"/>
              <w:rPr>
                <w:b/>
                <w:bCs/>
                <w:color w:val="000000"/>
                <w:sz w:val="18"/>
                <w:szCs w:val="18"/>
              </w:rPr>
            </w:pPr>
            <w:r>
              <w:rPr>
                <w:b/>
                <w:bCs/>
                <w:color w:val="000000"/>
                <w:sz w:val="18"/>
                <w:szCs w:val="18"/>
              </w:rPr>
              <w:t>0.40</w:t>
            </w:r>
          </w:p>
        </w:tc>
      </w:tr>
      <w:tr w:rsidR="003E3C44" w:rsidRPr="00E74FF3" w14:paraId="12AD4C63" w14:textId="77777777" w:rsidTr="0042068D">
        <w:tc>
          <w:tcPr>
            <w:tcW w:w="1321" w:type="pct"/>
            <w:tcBorders>
              <w:top w:val="single" w:sz="4" w:space="0" w:color="auto"/>
              <w:left w:val="single" w:sz="6" w:space="0" w:color="auto"/>
              <w:bottom w:val="nil"/>
            </w:tcBorders>
            <w:tcMar>
              <w:left w:w="57" w:type="dxa"/>
            </w:tcMar>
            <w:vAlign w:val="center"/>
          </w:tcPr>
          <w:p w14:paraId="45AE9DC9" w14:textId="77777777" w:rsidR="003E3C44" w:rsidRPr="00E74FF3" w:rsidRDefault="003E3C44" w:rsidP="0042068D">
            <w:pPr>
              <w:spacing w:before="40" w:after="40" w:line="240" w:lineRule="auto"/>
              <w:ind w:left="14"/>
              <w:jc w:val="left"/>
              <w:rPr>
                <w:rFonts w:eastAsia="Times New Roman"/>
                <w:b/>
                <w:bCs/>
                <w:sz w:val="18"/>
                <w:szCs w:val="18"/>
                <w:lang w:val="en-US"/>
              </w:rPr>
            </w:pPr>
            <w:r w:rsidRPr="00E74FF3">
              <w:rPr>
                <w:rFonts w:eastAsia="Times New Roman"/>
                <w:b/>
                <w:bCs/>
                <w:sz w:val="18"/>
                <w:szCs w:val="18"/>
                <w:lang w:val="en-US"/>
              </w:rPr>
              <w:t>Australian Fixed Income</w:t>
            </w:r>
          </w:p>
        </w:tc>
        <w:tc>
          <w:tcPr>
            <w:tcW w:w="932" w:type="pct"/>
            <w:tcBorders>
              <w:top w:val="single" w:sz="4" w:space="0" w:color="auto"/>
              <w:bottom w:val="nil"/>
            </w:tcBorders>
            <w:vAlign w:val="center"/>
          </w:tcPr>
          <w:p w14:paraId="56E7FD49" w14:textId="77777777" w:rsidR="003E3C44" w:rsidRPr="00E74FF3" w:rsidRDefault="003E3C44" w:rsidP="0042068D">
            <w:pPr>
              <w:spacing w:after="40" w:line="240" w:lineRule="auto"/>
              <w:jc w:val="center"/>
              <w:rPr>
                <w:rFonts w:eastAsia="Times New Roman"/>
                <w:sz w:val="18"/>
                <w:szCs w:val="18"/>
                <w:lang w:val="en-US"/>
              </w:rPr>
            </w:pPr>
            <w:r w:rsidRPr="00E74FF3">
              <w:rPr>
                <w:rFonts w:eastAsia="Times New Roman"/>
                <w:sz w:val="18"/>
                <w:szCs w:val="18"/>
                <w:lang w:val="en-US"/>
              </w:rPr>
              <w:t>Vanguard Australian Government Bond Index</w:t>
            </w:r>
          </w:p>
        </w:tc>
        <w:tc>
          <w:tcPr>
            <w:tcW w:w="802" w:type="pct"/>
            <w:tcBorders>
              <w:top w:val="single" w:sz="4" w:space="0" w:color="auto"/>
              <w:bottom w:val="nil"/>
            </w:tcBorders>
            <w:vAlign w:val="center"/>
          </w:tcPr>
          <w:p w14:paraId="1CECCE7C" w14:textId="77777777" w:rsidR="003E3C44" w:rsidRDefault="003E3C44" w:rsidP="0042068D">
            <w:pPr>
              <w:spacing w:before="40" w:after="40" w:line="240" w:lineRule="auto"/>
              <w:jc w:val="center"/>
              <w:rPr>
                <w:b/>
                <w:bCs/>
                <w:color w:val="000000"/>
                <w:sz w:val="18"/>
                <w:szCs w:val="18"/>
              </w:rPr>
            </w:pPr>
            <w:r>
              <w:rPr>
                <w:b/>
                <w:bCs/>
                <w:color w:val="000000"/>
                <w:sz w:val="18"/>
                <w:szCs w:val="18"/>
              </w:rPr>
              <w:t>100,575</w:t>
            </w:r>
          </w:p>
        </w:tc>
        <w:tc>
          <w:tcPr>
            <w:tcW w:w="614" w:type="pct"/>
            <w:tcBorders>
              <w:top w:val="single" w:sz="4" w:space="0" w:color="auto"/>
              <w:bottom w:val="nil"/>
            </w:tcBorders>
            <w:vAlign w:val="center"/>
          </w:tcPr>
          <w:p w14:paraId="43BA3347" w14:textId="77777777" w:rsidR="003E3C44" w:rsidRDefault="003E3C44" w:rsidP="0042068D">
            <w:pPr>
              <w:spacing w:before="40" w:after="40" w:line="240" w:lineRule="auto"/>
              <w:jc w:val="center"/>
              <w:rPr>
                <w:b/>
                <w:bCs/>
                <w:color w:val="000000"/>
                <w:sz w:val="18"/>
                <w:szCs w:val="18"/>
              </w:rPr>
            </w:pPr>
            <w:r>
              <w:rPr>
                <w:b/>
                <w:bCs/>
                <w:color w:val="000000"/>
                <w:sz w:val="18"/>
                <w:szCs w:val="18"/>
              </w:rPr>
              <w:t>14.51</w:t>
            </w:r>
          </w:p>
        </w:tc>
        <w:tc>
          <w:tcPr>
            <w:tcW w:w="641" w:type="pct"/>
            <w:tcBorders>
              <w:top w:val="single" w:sz="4" w:space="0" w:color="auto"/>
              <w:bottom w:val="nil"/>
            </w:tcBorders>
            <w:vAlign w:val="center"/>
          </w:tcPr>
          <w:p w14:paraId="594E0887" w14:textId="77777777" w:rsidR="003E3C44" w:rsidRDefault="003E3C44" w:rsidP="0042068D">
            <w:pPr>
              <w:spacing w:before="40" w:after="40" w:line="240" w:lineRule="auto"/>
              <w:jc w:val="center"/>
              <w:rPr>
                <w:b/>
                <w:bCs/>
                <w:color w:val="000000"/>
                <w:sz w:val="18"/>
                <w:szCs w:val="18"/>
              </w:rPr>
            </w:pPr>
            <w:r>
              <w:rPr>
                <w:b/>
                <w:bCs/>
                <w:color w:val="000000"/>
                <w:sz w:val="18"/>
                <w:szCs w:val="18"/>
                <w:lang w:val="en-US"/>
              </w:rPr>
              <w:t>15</w:t>
            </w:r>
          </w:p>
        </w:tc>
        <w:tc>
          <w:tcPr>
            <w:tcW w:w="690" w:type="pct"/>
            <w:tcBorders>
              <w:top w:val="single" w:sz="4" w:space="0" w:color="auto"/>
              <w:bottom w:val="nil"/>
              <w:right w:val="single" w:sz="6" w:space="0" w:color="auto"/>
            </w:tcBorders>
            <w:tcMar>
              <w:right w:w="57" w:type="dxa"/>
            </w:tcMar>
            <w:vAlign w:val="center"/>
          </w:tcPr>
          <w:p w14:paraId="21AA05CD" w14:textId="77777777" w:rsidR="003E3C44" w:rsidRDefault="003E3C44" w:rsidP="0042068D">
            <w:pPr>
              <w:spacing w:before="40" w:after="40"/>
              <w:jc w:val="center"/>
              <w:rPr>
                <w:b/>
                <w:bCs/>
                <w:color w:val="000000"/>
                <w:sz w:val="18"/>
                <w:szCs w:val="18"/>
              </w:rPr>
            </w:pPr>
            <w:r>
              <w:rPr>
                <w:b/>
                <w:bCs/>
                <w:color w:val="000000"/>
                <w:sz w:val="18"/>
                <w:szCs w:val="18"/>
                <w:lang w:val="en-US"/>
              </w:rPr>
              <w:t>-0.49</w:t>
            </w:r>
          </w:p>
        </w:tc>
      </w:tr>
      <w:tr w:rsidR="003E3C44" w:rsidRPr="00E74FF3" w14:paraId="23125080" w14:textId="77777777" w:rsidTr="0042068D">
        <w:tc>
          <w:tcPr>
            <w:tcW w:w="1321" w:type="pct"/>
            <w:tcBorders>
              <w:top w:val="nil"/>
              <w:left w:val="single" w:sz="6" w:space="0" w:color="auto"/>
              <w:bottom w:val="nil"/>
            </w:tcBorders>
            <w:tcMar>
              <w:left w:w="57" w:type="dxa"/>
            </w:tcMar>
            <w:vAlign w:val="center"/>
          </w:tcPr>
          <w:p w14:paraId="1D582D4F" w14:textId="77777777" w:rsidR="003E3C44" w:rsidRPr="00E74FF3" w:rsidRDefault="003E3C44" w:rsidP="0042068D">
            <w:pPr>
              <w:spacing w:after="40" w:line="240" w:lineRule="auto"/>
              <w:ind w:left="14"/>
              <w:jc w:val="left"/>
              <w:rPr>
                <w:rFonts w:eastAsia="Times New Roman"/>
                <w:b/>
                <w:i/>
                <w:sz w:val="18"/>
                <w:szCs w:val="18"/>
                <w:lang w:val="en-US"/>
              </w:rPr>
            </w:pPr>
            <w:r w:rsidRPr="00E74FF3">
              <w:rPr>
                <w:rFonts w:eastAsia="Times New Roman"/>
                <w:b/>
                <w:i/>
                <w:sz w:val="18"/>
                <w:szCs w:val="18"/>
                <w:lang w:val="en-US"/>
              </w:rPr>
              <w:t>Australian Cash &amp; Accruals</w:t>
            </w:r>
            <w:r>
              <w:rPr>
                <w:rFonts w:eastAsia="Times New Roman"/>
                <w:b/>
                <w:i/>
                <w:sz w:val="18"/>
                <w:szCs w:val="18"/>
                <w:lang w:val="en-US"/>
              </w:rPr>
              <w:t>:</w:t>
            </w:r>
          </w:p>
        </w:tc>
        <w:tc>
          <w:tcPr>
            <w:tcW w:w="932" w:type="pct"/>
            <w:tcBorders>
              <w:top w:val="nil"/>
              <w:bottom w:val="nil"/>
            </w:tcBorders>
            <w:vAlign w:val="center"/>
          </w:tcPr>
          <w:p w14:paraId="5ACF0424" w14:textId="77777777" w:rsidR="003E3C44" w:rsidRPr="00E74FF3" w:rsidRDefault="003E3C44" w:rsidP="0042068D">
            <w:pPr>
              <w:spacing w:before="40" w:after="40" w:line="240" w:lineRule="auto"/>
              <w:jc w:val="center"/>
              <w:rPr>
                <w:rFonts w:eastAsia="Times New Roman"/>
                <w:sz w:val="18"/>
                <w:szCs w:val="18"/>
                <w:lang w:val="en-US"/>
              </w:rPr>
            </w:pPr>
          </w:p>
        </w:tc>
        <w:tc>
          <w:tcPr>
            <w:tcW w:w="802" w:type="pct"/>
            <w:tcBorders>
              <w:top w:val="nil"/>
              <w:bottom w:val="nil"/>
            </w:tcBorders>
            <w:vAlign w:val="center"/>
          </w:tcPr>
          <w:p w14:paraId="52DECE1E" w14:textId="77777777" w:rsidR="003E3C44" w:rsidRDefault="003E3C44" w:rsidP="0042068D">
            <w:pPr>
              <w:spacing w:before="40" w:after="40" w:line="240" w:lineRule="auto"/>
              <w:jc w:val="center"/>
              <w:rPr>
                <w:color w:val="000000"/>
                <w:sz w:val="18"/>
                <w:szCs w:val="18"/>
              </w:rPr>
            </w:pPr>
            <w:r>
              <w:rPr>
                <w:color w:val="000000"/>
                <w:sz w:val="18"/>
                <w:szCs w:val="18"/>
              </w:rPr>
              <w:t> </w:t>
            </w:r>
          </w:p>
        </w:tc>
        <w:tc>
          <w:tcPr>
            <w:tcW w:w="614" w:type="pct"/>
            <w:tcBorders>
              <w:top w:val="nil"/>
              <w:bottom w:val="nil"/>
            </w:tcBorders>
            <w:vAlign w:val="center"/>
          </w:tcPr>
          <w:p w14:paraId="48962419" w14:textId="77777777" w:rsidR="003E3C44" w:rsidRDefault="003E3C44" w:rsidP="0042068D">
            <w:pPr>
              <w:spacing w:before="40" w:after="40" w:line="240" w:lineRule="auto"/>
              <w:jc w:val="center"/>
              <w:rPr>
                <w:color w:val="000000"/>
                <w:sz w:val="18"/>
                <w:szCs w:val="18"/>
              </w:rPr>
            </w:pPr>
            <w:r>
              <w:rPr>
                <w:color w:val="000000"/>
                <w:sz w:val="18"/>
                <w:szCs w:val="18"/>
              </w:rPr>
              <w:t> </w:t>
            </w:r>
          </w:p>
        </w:tc>
        <w:tc>
          <w:tcPr>
            <w:tcW w:w="641" w:type="pct"/>
            <w:tcBorders>
              <w:top w:val="nil"/>
              <w:bottom w:val="nil"/>
            </w:tcBorders>
            <w:vAlign w:val="center"/>
          </w:tcPr>
          <w:p w14:paraId="42F3ACB2" w14:textId="77777777" w:rsidR="003E3C44" w:rsidRDefault="003E3C44" w:rsidP="0042068D">
            <w:pPr>
              <w:spacing w:before="40" w:after="40" w:line="240" w:lineRule="auto"/>
              <w:jc w:val="center"/>
              <w:rPr>
                <w:color w:val="000000"/>
                <w:sz w:val="18"/>
                <w:szCs w:val="18"/>
              </w:rPr>
            </w:pPr>
            <w:r>
              <w:rPr>
                <w:color w:val="000000"/>
                <w:sz w:val="18"/>
                <w:szCs w:val="18"/>
              </w:rPr>
              <w:t> </w:t>
            </w:r>
          </w:p>
        </w:tc>
        <w:tc>
          <w:tcPr>
            <w:tcW w:w="690" w:type="pct"/>
            <w:tcBorders>
              <w:top w:val="nil"/>
              <w:bottom w:val="nil"/>
              <w:right w:val="single" w:sz="6" w:space="0" w:color="auto"/>
            </w:tcBorders>
            <w:tcMar>
              <w:right w:w="57" w:type="dxa"/>
            </w:tcMar>
            <w:vAlign w:val="center"/>
          </w:tcPr>
          <w:p w14:paraId="19350BCC" w14:textId="77777777" w:rsidR="003E3C44" w:rsidRDefault="003E3C44" w:rsidP="0042068D">
            <w:pPr>
              <w:spacing w:before="40" w:after="40"/>
              <w:jc w:val="center"/>
              <w:rPr>
                <w:color w:val="000000"/>
                <w:sz w:val="18"/>
                <w:szCs w:val="18"/>
              </w:rPr>
            </w:pPr>
            <w:r>
              <w:rPr>
                <w:color w:val="000000"/>
                <w:sz w:val="18"/>
                <w:szCs w:val="18"/>
              </w:rPr>
              <w:t> </w:t>
            </w:r>
          </w:p>
        </w:tc>
      </w:tr>
      <w:tr w:rsidR="003E3C44" w:rsidRPr="00E74FF3" w14:paraId="50A2CEC3" w14:textId="77777777" w:rsidTr="0042068D">
        <w:tc>
          <w:tcPr>
            <w:tcW w:w="1321" w:type="pct"/>
            <w:tcBorders>
              <w:top w:val="nil"/>
              <w:left w:val="single" w:sz="6" w:space="0" w:color="auto"/>
              <w:bottom w:val="nil"/>
            </w:tcBorders>
            <w:tcMar>
              <w:left w:w="57" w:type="dxa"/>
            </w:tcMar>
            <w:vAlign w:val="center"/>
          </w:tcPr>
          <w:p w14:paraId="10A70B9B" w14:textId="77777777" w:rsidR="003E3C44" w:rsidRPr="00E74FF3" w:rsidRDefault="003E3C44" w:rsidP="0042068D">
            <w:pPr>
              <w:spacing w:before="40" w:after="40" w:line="240" w:lineRule="auto"/>
              <w:ind w:left="14"/>
              <w:jc w:val="left"/>
              <w:rPr>
                <w:rFonts w:eastAsia="Times New Roman"/>
                <w:b/>
                <w:sz w:val="18"/>
                <w:szCs w:val="18"/>
                <w:lang w:val="en-US"/>
              </w:rPr>
            </w:pPr>
            <w:r w:rsidRPr="00E74FF3">
              <w:rPr>
                <w:rFonts w:eastAsia="Times New Roman"/>
                <w:sz w:val="18"/>
                <w:szCs w:val="18"/>
                <w:lang w:val="en-US"/>
              </w:rPr>
              <w:t xml:space="preserve">BetaShares Australia High Interest Cash </w:t>
            </w:r>
          </w:p>
        </w:tc>
        <w:tc>
          <w:tcPr>
            <w:tcW w:w="932" w:type="pct"/>
            <w:tcBorders>
              <w:top w:val="nil"/>
              <w:bottom w:val="nil"/>
            </w:tcBorders>
            <w:vAlign w:val="center"/>
          </w:tcPr>
          <w:p w14:paraId="7374E943" w14:textId="77777777" w:rsidR="003E3C44" w:rsidRPr="00E74FF3" w:rsidRDefault="003E3C44" w:rsidP="0042068D">
            <w:pPr>
              <w:spacing w:before="40" w:after="40" w:line="240" w:lineRule="auto"/>
              <w:jc w:val="center"/>
              <w:rPr>
                <w:rFonts w:eastAsia="Times New Roman"/>
                <w:sz w:val="18"/>
                <w:szCs w:val="18"/>
                <w:lang w:val="en-US"/>
              </w:rPr>
            </w:pPr>
          </w:p>
        </w:tc>
        <w:tc>
          <w:tcPr>
            <w:tcW w:w="802" w:type="pct"/>
            <w:tcBorders>
              <w:top w:val="nil"/>
              <w:bottom w:val="nil"/>
            </w:tcBorders>
            <w:vAlign w:val="center"/>
          </w:tcPr>
          <w:p w14:paraId="672592C5" w14:textId="77777777" w:rsidR="003E3C44" w:rsidRDefault="003E3C44" w:rsidP="0042068D">
            <w:pPr>
              <w:spacing w:before="40" w:after="40" w:line="240" w:lineRule="auto"/>
              <w:jc w:val="center"/>
              <w:rPr>
                <w:color w:val="000000"/>
                <w:sz w:val="18"/>
                <w:szCs w:val="18"/>
              </w:rPr>
            </w:pPr>
            <w:r>
              <w:rPr>
                <w:color w:val="000000"/>
                <w:sz w:val="18"/>
                <w:szCs w:val="18"/>
              </w:rPr>
              <w:t>16,693</w:t>
            </w:r>
          </w:p>
        </w:tc>
        <w:tc>
          <w:tcPr>
            <w:tcW w:w="614" w:type="pct"/>
            <w:tcBorders>
              <w:top w:val="nil"/>
              <w:bottom w:val="nil"/>
            </w:tcBorders>
            <w:vAlign w:val="center"/>
          </w:tcPr>
          <w:p w14:paraId="277C6AE8" w14:textId="77777777" w:rsidR="003E3C44" w:rsidRDefault="003E3C44" w:rsidP="0042068D">
            <w:pPr>
              <w:spacing w:before="40" w:after="40" w:line="240" w:lineRule="auto"/>
              <w:jc w:val="center"/>
              <w:rPr>
                <w:color w:val="000000"/>
                <w:sz w:val="18"/>
                <w:szCs w:val="18"/>
              </w:rPr>
            </w:pPr>
            <w:r>
              <w:rPr>
                <w:color w:val="000000"/>
                <w:sz w:val="18"/>
                <w:szCs w:val="18"/>
              </w:rPr>
              <w:t>2.41</w:t>
            </w:r>
          </w:p>
        </w:tc>
        <w:tc>
          <w:tcPr>
            <w:tcW w:w="641" w:type="pct"/>
            <w:tcBorders>
              <w:top w:val="nil"/>
              <w:bottom w:val="nil"/>
            </w:tcBorders>
            <w:vAlign w:val="center"/>
          </w:tcPr>
          <w:p w14:paraId="6B1E09DD" w14:textId="77777777" w:rsidR="003E3C44" w:rsidRDefault="003E3C44" w:rsidP="0042068D">
            <w:pPr>
              <w:spacing w:before="40" w:after="40" w:line="240" w:lineRule="auto"/>
              <w:jc w:val="center"/>
              <w:rPr>
                <w:color w:val="000000"/>
                <w:sz w:val="18"/>
                <w:szCs w:val="18"/>
              </w:rPr>
            </w:pPr>
            <w:r>
              <w:rPr>
                <w:color w:val="000000"/>
                <w:sz w:val="18"/>
                <w:szCs w:val="18"/>
              </w:rPr>
              <w:t> </w:t>
            </w:r>
          </w:p>
        </w:tc>
        <w:tc>
          <w:tcPr>
            <w:tcW w:w="690" w:type="pct"/>
            <w:tcBorders>
              <w:top w:val="nil"/>
              <w:bottom w:val="nil"/>
              <w:right w:val="single" w:sz="6" w:space="0" w:color="auto"/>
            </w:tcBorders>
            <w:tcMar>
              <w:right w:w="57" w:type="dxa"/>
            </w:tcMar>
            <w:vAlign w:val="center"/>
          </w:tcPr>
          <w:p w14:paraId="7A6D5D57" w14:textId="77777777" w:rsidR="003E3C44" w:rsidRDefault="003E3C44" w:rsidP="0042068D">
            <w:pPr>
              <w:spacing w:before="40" w:after="40"/>
              <w:jc w:val="center"/>
              <w:rPr>
                <w:color w:val="000000"/>
                <w:sz w:val="18"/>
                <w:szCs w:val="18"/>
              </w:rPr>
            </w:pPr>
            <w:r>
              <w:rPr>
                <w:color w:val="000000"/>
                <w:sz w:val="18"/>
                <w:szCs w:val="18"/>
              </w:rPr>
              <w:t> </w:t>
            </w:r>
          </w:p>
        </w:tc>
      </w:tr>
      <w:tr w:rsidR="003E3C44" w:rsidRPr="00E74FF3" w14:paraId="6DEBEFE5" w14:textId="77777777" w:rsidTr="0042068D">
        <w:tc>
          <w:tcPr>
            <w:tcW w:w="1321" w:type="pct"/>
            <w:tcBorders>
              <w:top w:val="nil"/>
              <w:left w:val="single" w:sz="6" w:space="0" w:color="auto"/>
              <w:bottom w:val="nil"/>
            </w:tcBorders>
            <w:tcMar>
              <w:left w:w="57" w:type="dxa"/>
            </w:tcMar>
            <w:vAlign w:val="center"/>
          </w:tcPr>
          <w:p w14:paraId="10E2E7EF" w14:textId="77777777" w:rsidR="003E3C44" w:rsidRPr="00E74FF3" w:rsidRDefault="003E3C44" w:rsidP="0042068D">
            <w:pPr>
              <w:spacing w:before="40" w:after="40" w:line="240" w:lineRule="auto"/>
              <w:ind w:left="14"/>
              <w:jc w:val="left"/>
              <w:rPr>
                <w:rFonts w:eastAsia="Times New Roman"/>
                <w:sz w:val="18"/>
                <w:szCs w:val="18"/>
                <w:lang w:val="en-US"/>
              </w:rPr>
            </w:pPr>
            <w:r w:rsidRPr="00E74FF3">
              <w:rPr>
                <w:rFonts w:eastAsia="Times New Roman"/>
                <w:sz w:val="18"/>
                <w:szCs w:val="18"/>
                <w:lang w:val="en-US"/>
              </w:rPr>
              <w:t>BT Cash Management Trust</w:t>
            </w:r>
          </w:p>
        </w:tc>
        <w:tc>
          <w:tcPr>
            <w:tcW w:w="932" w:type="pct"/>
            <w:tcBorders>
              <w:top w:val="nil"/>
              <w:bottom w:val="nil"/>
            </w:tcBorders>
            <w:vAlign w:val="center"/>
          </w:tcPr>
          <w:p w14:paraId="6BE86E2C" w14:textId="77777777" w:rsidR="003E3C44" w:rsidRPr="00E74FF3" w:rsidRDefault="003E3C44" w:rsidP="0042068D">
            <w:pPr>
              <w:spacing w:before="40" w:after="40" w:line="240" w:lineRule="auto"/>
              <w:jc w:val="center"/>
              <w:rPr>
                <w:rFonts w:eastAsia="Times New Roman"/>
                <w:sz w:val="18"/>
                <w:szCs w:val="18"/>
                <w:lang w:val="en-US"/>
              </w:rPr>
            </w:pPr>
          </w:p>
        </w:tc>
        <w:tc>
          <w:tcPr>
            <w:tcW w:w="802" w:type="pct"/>
            <w:tcBorders>
              <w:top w:val="nil"/>
              <w:bottom w:val="nil"/>
            </w:tcBorders>
            <w:vAlign w:val="center"/>
          </w:tcPr>
          <w:p w14:paraId="4ED79095" w14:textId="77777777" w:rsidR="003E3C44" w:rsidRDefault="003E3C44" w:rsidP="0042068D">
            <w:pPr>
              <w:spacing w:before="40" w:after="40" w:line="240" w:lineRule="auto"/>
              <w:jc w:val="center"/>
              <w:rPr>
                <w:color w:val="000000"/>
                <w:sz w:val="18"/>
                <w:szCs w:val="18"/>
              </w:rPr>
            </w:pPr>
            <w:r>
              <w:rPr>
                <w:color w:val="000000"/>
                <w:sz w:val="18"/>
                <w:szCs w:val="18"/>
              </w:rPr>
              <w:t>16,577</w:t>
            </w:r>
          </w:p>
        </w:tc>
        <w:tc>
          <w:tcPr>
            <w:tcW w:w="614" w:type="pct"/>
            <w:tcBorders>
              <w:top w:val="nil"/>
              <w:bottom w:val="nil"/>
            </w:tcBorders>
            <w:vAlign w:val="center"/>
          </w:tcPr>
          <w:p w14:paraId="3ED2950C" w14:textId="77777777" w:rsidR="003E3C44" w:rsidRDefault="003E3C44" w:rsidP="0042068D">
            <w:pPr>
              <w:spacing w:before="40" w:after="40" w:line="240" w:lineRule="auto"/>
              <w:jc w:val="center"/>
              <w:rPr>
                <w:color w:val="000000"/>
                <w:sz w:val="18"/>
                <w:szCs w:val="18"/>
              </w:rPr>
            </w:pPr>
            <w:r>
              <w:rPr>
                <w:color w:val="000000"/>
                <w:sz w:val="18"/>
                <w:szCs w:val="18"/>
              </w:rPr>
              <w:t>2.39</w:t>
            </w:r>
          </w:p>
        </w:tc>
        <w:tc>
          <w:tcPr>
            <w:tcW w:w="641" w:type="pct"/>
            <w:tcBorders>
              <w:top w:val="nil"/>
              <w:bottom w:val="nil"/>
            </w:tcBorders>
            <w:vAlign w:val="center"/>
          </w:tcPr>
          <w:p w14:paraId="2FACBCEF" w14:textId="77777777" w:rsidR="003E3C44" w:rsidRDefault="003E3C44" w:rsidP="0042068D">
            <w:pPr>
              <w:spacing w:before="40" w:after="40" w:line="240" w:lineRule="auto"/>
              <w:jc w:val="center"/>
              <w:rPr>
                <w:color w:val="000000"/>
                <w:sz w:val="18"/>
                <w:szCs w:val="18"/>
              </w:rPr>
            </w:pPr>
            <w:r>
              <w:rPr>
                <w:color w:val="000000"/>
                <w:sz w:val="18"/>
                <w:szCs w:val="18"/>
                <w:lang w:val="en-US"/>
              </w:rPr>
              <w:t> </w:t>
            </w:r>
          </w:p>
        </w:tc>
        <w:tc>
          <w:tcPr>
            <w:tcW w:w="690" w:type="pct"/>
            <w:tcBorders>
              <w:top w:val="nil"/>
              <w:bottom w:val="nil"/>
              <w:right w:val="single" w:sz="6" w:space="0" w:color="auto"/>
            </w:tcBorders>
            <w:tcMar>
              <w:right w:w="57" w:type="dxa"/>
            </w:tcMar>
            <w:vAlign w:val="center"/>
          </w:tcPr>
          <w:p w14:paraId="10D8F2EC" w14:textId="77777777" w:rsidR="003E3C44" w:rsidRDefault="003E3C44" w:rsidP="0042068D">
            <w:pPr>
              <w:spacing w:before="40" w:after="40"/>
              <w:jc w:val="center"/>
              <w:rPr>
                <w:color w:val="000000"/>
                <w:sz w:val="18"/>
                <w:szCs w:val="18"/>
              </w:rPr>
            </w:pPr>
            <w:r>
              <w:rPr>
                <w:color w:val="000000"/>
                <w:sz w:val="18"/>
                <w:szCs w:val="18"/>
                <w:lang w:val="en-US"/>
              </w:rPr>
              <w:t> </w:t>
            </w:r>
          </w:p>
        </w:tc>
      </w:tr>
      <w:tr w:rsidR="003E3C44" w:rsidRPr="00E74FF3" w14:paraId="623F203E" w14:textId="77777777" w:rsidTr="0042068D">
        <w:tc>
          <w:tcPr>
            <w:tcW w:w="1321" w:type="pct"/>
            <w:tcBorders>
              <w:top w:val="nil"/>
              <w:left w:val="single" w:sz="6" w:space="0" w:color="auto"/>
              <w:bottom w:val="nil"/>
            </w:tcBorders>
            <w:tcMar>
              <w:left w:w="57" w:type="dxa"/>
            </w:tcMar>
            <w:vAlign w:val="center"/>
          </w:tcPr>
          <w:p w14:paraId="0F5F0BD2" w14:textId="77777777" w:rsidR="003E3C44" w:rsidRPr="00E74FF3" w:rsidRDefault="003E3C44" w:rsidP="0042068D">
            <w:pPr>
              <w:spacing w:before="40" w:after="40" w:line="240" w:lineRule="auto"/>
              <w:jc w:val="left"/>
              <w:rPr>
                <w:rFonts w:eastAsia="Times New Roman"/>
                <w:sz w:val="18"/>
                <w:szCs w:val="18"/>
                <w:lang w:val="en-US"/>
              </w:rPr>
            </w:pPr>
            <w:r w:rsidRPr="00E74FF3">
              <w:rPr>
                <w:rFonts w:eastAsia="Times New Roman"/>
                <w:sz w:val="18"/>
                <w:szCs w:val="18"/>
                <w:lang w:val="en-US"/>
              </w:rPr>
              <w:t>Accrued Interest &amp; Dividends</w:t>
            </w:r>
          </w:p>
        </w:tc>
        <w:tc>
          <w:tcPr>
            <w:tcW w:w="932" w:type="pct"/>
            <w:tcBorders>
              <w:top w:val="nil"/>
              <w:bottom w:val="nil"/>
            </w:tcBorders>
            <w:vAlign w:val="center"/>
          </w:tcPr>
          <w:p w14:paraId="4C5532DB" w14:textId="77777777" w:rsidR="003E3C44" w:rsidRPr="00E74FF3" w:rsidRDefault="003E3C44" w:rsidP="0042068D">
            <w:pPr>
              <w:spacing w:before="40" w:after="40" w:line="240" w:lineRule="auto"/>
              <w:jc w:val="center"/>
              <w:rPr>
                <w:rFonts w:eastAsia="Times New Roman"/>
                <w:sz w:val="18"/>
                <w:szCs w:val="18"/>
                <w:lang w:val="en-US"/>
              </w:rPr>
            </w:pPr>
          </w:p>
        </w:tc>
        <w:tc>
          <w:tcPr>
            <w:tcW w:w="802" w:type="pct"/>
            <w:tcBorders>
              <w:top w:val="nil"/>
              <w:bottom w:val="nil"/>
            </w:tcBorders>
            <w:vAlign w:val="center"/>
          </w:tcPr>
          <w:p w14:paraId="7B8CE4E8" w14:textId="77777777" w:rsidR="003E3C44" w:rsidRDefault="003E3C44" w:rsidP="0042068D">
            <w:pPr>
              <w:spacing w:before="40" w:after="40" w:line="240" w:lineRule="auto"/>
              <w:jc w:val="center"/>
              <w:rPr>
                <w:color w:val="000000"/>
                <w:sz w:val="18"/>
                <w:szCs w:val="18"/>
              </w:rPr>
            </w:pPr>
            <w:r>
              <w:rPr>
                <w:color w:val="000000"/>
                <w:sz w:val="18"/>
                <w:szCs w:val="18"/>
              </w:rPr>
              <w:t>4.77</w:t>
            </w:r>
          </w:p>
        </w:tc>
        <w:tc>
          <w:tcPr>
            <w:tcW w:w="614" w:type="pct"/>
            <w:tcBorders>
              <w:top w:val="nil"/>
              <w:bottom w:val="nil"/>
            </w:tcBorders>
            <w:vAlign w:val="center"/>
          </w:tcPr>
          <w:p w14:paraId="673680F4" w14:textId="77777777" w:rsidR="003E3C44" w:rsidRDefault="003E3C44" w:rsidP="0042068D">
            <w:pPr>
              <w:spacing w:before="40" w:after="40" w:line="240" w:lineRule="auto"/>
              <w:jc w:val="center"/>
              <w:rPr>
                <w:color w:val="000000"/>
                <w:sz w:val="18"/>
                <w:szCs w:val="18"/>
              </w:rPr>
            </w:pPr>
            <w:r>
              <w:rPr>
                <w:color w:val="000000"/>
                <w:sz w:val="18"/>
                <w:szCs w:val="18"/>
              </w:rPr>
              <w:t>0.00</w:t>
            </w:r>
          </w:p>
        </w:tc>
        <w:tc>
          <w:tcPr>
            <w:tcW w:w="641" w:type="pct"/>
            <w:tcBorders>
              <w:top w:val="nil"/>
              <w:bottom w:val="nil"/>
            </w:tcBorders>
            <w:vAlign w:val="center"/>
          </w:tcPr>
          <w:p w14:paraId="30FE0767" w14:textId="77777777" w:rsidR="003E3C44" w:rsidRDefault="003E3C44" w:rsidP="0042068D">
            <w:pPr>
              <w:spacing w:before="40" w:after="40" w:line="240" w:lineRule="auto"/>
              <w:jc w:val="center"/>
              <w:rPr>
                <w:color w:val="000000"/>
                <w:sz w:val="18"/>
                <w:szCs w:val="18"/>
              </w:rPr>
            </w:pPr>
            <w:r>
              <w:rPr>
                <w:color w:val="000000"/>
                <w:sz w:val="18"/>
                <w:szCs w:val="18"/>
                <w:lang w:val="en-US"/>
              </w:rPr>
              <w:t> </w:t>
            </w:r>
          </w:p>
        </w:tc>
        <w:tc>
          <w:tcPr>
            <w:tcW w:w="690" w:type="pct"/>
            <w:tcBorders>
              <w:top w:val="nil"/>
              <w:bottom w:val="nil"/>
              <w:right w:val="single" w:sz="6" w:space="0" w:color="auto"/>
            </w:tcBorders>
            <w:tcMar>
              <w:right w:w="57" w:type="dxa"/>
            </w:tcMar>
            <w:vAlign w:val="center"/>
          </w:tcPr>
          <w:p w14:paraId="1C6ED070" w14:textId="77777777" w:rsidR="003E3C44" w:rsidRDefault="003E3C44" w:rsidP="0042068D">
            <w:pPr>
              <w:spacing w:before="40" w:after="40"/>
              <w:jc w:val="center"/>
              <w:rPr>
                <w:color w:val="000000"/>
                <w:sz w:val="18"/>
                <w:szCs w:val="18"/>
              </w:rPr>
            </w:pPr>
            <w:r>
              <w:rPr>
                <w:color w:val="000000"/>
                <w:sz w:val="18"/>
                <w:szCs w:val="18"/>
                <w:lang w:val="en-US"/>
              </w:rPr>
              <w:t> </w:t>
            </w:r>
          </w:p>
        </w:tc>
      </w:tr>
      <w:tr w:rsidR="003E3C44" w:rsidRPr="00E74FF3" w14:paraId="2F8C9423" w14:textId="77777777" w:rsidTr="0042068D">
        <w:trPr>
          <w:trHeight w:val="322"/>
        </w:trPr>
        <w:tc>
          <w:tcPr>
            <w:tcW w:w="1321" w:type="pct"/>
            <w:tcBorders>
              <w:top w:val="nil"/>
              <w:left w:val="single" w:sz="6" w:space="0" w:color="auto"/>
              <w:bottom w:val="single" w:sz="4" w:space="0" w:color="auto"/>
            </w:tcBorders>
            <w:tcMar>
              <w:left w:w="57" w:type="dxa"/>
            </w:tcMar>
            <w:vAlign w:val="center"/>
          </w:tcPr>
          <w:p w14:paraId="2AC4D646" w14:textId="77777777" w:rsidR="003E3C44" w:rsidRPr="00E74FF3" w:rsidRDefault="003E3C44" w:rsidP="0042068D">
            <w:pPr>
              <w:spacing w:before="40" w:after="40" w:line="240" w:lineRule="auto"/>
              <w:ind w:left="14"/>
              <w:jc w:val="left"/>
              <w:rPr>
                <w:rFonts w:eastAsia="Times New Roman"/>
                <w:b/>
                <w:sz w:val="18"/>
                <w:szCs w:val="18"/>
                <w:lang w:val="en-US"/>
              </w:rPr>
            </w:pPr>
            <w:r w:rsidRPr="00E74FF3">
              <w:rPr>
                <w:rFonts w:eastAsia="Times New Roman"/>
                <w:sz w:val="18"/>
                <w:szCs w:val="18"/>
                <w:lang w:val="en-US"/>
              </w:rPr>
              <w:t>Accrued Franking Credits</w:t>
            </w:r>
          </w:p>
        </w:tc>
        <w:tc>
          <w:tcPr>
            <w:tcW w:w="932" w:type="pct"/>
            <w:tcBorders>
              <w:top w:val="nil"/>
              <w:bottom w:val="single" w:sz="4" w:space="0" w:color="auto"/>
            </w:tcBorders>
            <w:vAlign w:val="center"/>
          </w:tcPr>
          <w:p w14:paraId="5C5CF68C" w14:textId="77777777" w:rsidR="003E3C44" w:rsidRPr="00E74FF3" w:rsidRDefault="003E3C44" w:rsidP="0042068D">
            <w:pPr>
              <w:spacing w:before="40" w:after="40" w:line="240" w:lineRule="auto"/>
              <w:jc w:val="center"/>
              <w:rPr>
                <w:rFonts w:eastAsia="Times New Roman"/>
                <w:bCs/>
                <w:sz w:val="18"/>
                <w:szCs w:val="18"/>
                <w:lang w:val="en-US"/>
              </w:rPr>
            </w:pPr>
          </w:p>
        </w:tc>
        <w:tc>
          <w:tcPr>
            <w:tcW w:w="802" w:type="pct"/>
            <w:tcBorders>
              <w:top w:val="nil"/>
              <w:bottom w:val="single" w:sz="4" w:space="0" w:color="auto"/>
            </w:tcBorders>
            <w:vAlign w:val="center"/>
          </w:tcPr>
          <w:p w14:paraId="756B3EC2" w14:textId="77777777" w:rsidR="003E3C44" w:rsidRDefault="003E3C44" w:rsidP="0042068D">
            <w:pPr>
              <w:spacing w:before="40" w:after="40" w:line="240" w:lineRule="auto"/>
              <w:jc w:val="center"/>
              <w:rPr>
                <w:color w:val="000000"/>
                <w:sz w:val="18"/>
                <w:szCs w:val="18"/>
              </w:rPr>
            </w:pPr>
            <w:r>
              <w:rPr>
                <w:color w:val="000000"/>
                <w:sz w:val="18"/>
                <w:szCs w:val="18"/>
                <w:lang w:val="en-US"/>
              </w:rPr>
              <w:t>1,980</w:t>
            </w:r>
          </w:p>
        </w:tc>
        <w:tc>
          <w:tcPr>
            <w:tcW w:w="614" w:type="pct"/>
            <w:tcBorders>
              <w:top w:val="nil"/>
              <w:bottom w:val="single" w:sz="4" w:space="0" w:color="auto"/>
            </w:tcBorders>
            <w:vAlign w:val="center"/>
          </w:tcPr>
          <w:p w14:paraId="2E5399E1" w14:textId="77777777" w:rsidR="003E3C44" w:rsidRDefault="003E3C44" w:rsidP="0042068D">
            <w:pPr>
              <w:spacing w:before="40" w:after="40" w:line="240" w:lineRule="auto"/>
              <w:jc w:val="center"/>
              <w:rPr>
                <w:color w:val="000000"/>
                <w:sz w:val="18"/>
                <w:szCs w:val="18"/>
              </w:rPr>
            </w:pPr>
            <w:r>
              <w:rPr>
                <w:color w:val="000000"/>
                <w:sz w:val="18"/>
                <w:szCs w:val="18"/>
                <w:lang w:val="en-US"/>
              </w:rPr>
              <w:t>0.28</w:t>
            </w:r>
          </w:p>
        </w:tc>
        <w:tc>
          <w:tcPr>
            <w:tcW w:w="641" w:type="pct"/>
            <w:tcBorders>
              <w:top w:val="nil"/>
              <w:bottom w:val="single" w:sz="4" w:space="0" w:color="auto"/>
            </w:tcBorders>
            <w:vAlign w:val="center"/>
          </w:tcPr>
          <w:p w14:paraId="58431AE3" w14:textId="77777777" w:rsidR="003E3C44" w:rsidRDefault="003E3C44" w:rsidP="0042068D">
            <w:pPr>
              <w:spacing w:before="40" w:after="40" w:line="240" w:lineRule="auto"/>
              <w:jc w:val="center"/>
              <w:rPr>
                <w:color w:val="000000"/>
                <w:sz w:val="18"/>
                <w:szCs w:val="18"/>
              </w:rPr>
            </w:pPr>
            <w:r>
              <w:rPr>
                <w:color w:val="000000"/>
                <w:sz w:val="18"/>
                <w:szCs w:val="18"/>
                <w:lang w:val="en-US"/>
              </w:rPr>
              <w:t> </w:t>
            </w:r>
          </w:p>
        </w:tc>
        <w:tc>
          <w:tcPr>
            <w:tcW w:w="690" w:type="pct"/>
            <w:tcBorders>
              <w:top w:val="nil"/>
              <w:bottom w:val="single" w:sz="4" w:space="0" w:color="auto"/>
              <w:right w:val="single" w:sz="6" w:space="0" w:color="auto"/>
            </w:tcBorders>
            <w:tcMar>
              <w:right w:w="57" w:type="dxa"/>
            </w:tcMar>
            <w:vAlign w:val="center"/>
          </w:tcPr>
          <w:p w14:paraId="216B619D" w14:textId="77777777" w:rsidR="003E3C44" w:rsidRDefault="003E3C44" w:rsidP="0042068D">
            <w:pPr>
              <w:spacing w:before="40" w:after="40"/>
              <w:jc w:val="center"/>
              <w:rPr>
                <w:color w:val="000000"/>
                <w:sz w:val="18"/>
                <w:szCs w:val="18"/>
              </w:rPr>
            </w:pPr>
            <w:r>
              <w:rPr>
                <w:color w:val="000000"/>
                <w:sz w:val="18"/>
                <w:szCs w:val="18"/>
                <w:lang w:val="en-US"/>
              </w:rPr>
              <w:t> </w:t>
            </w:r>
          </w:p>
        </w:tc>
      </w:tr>
      <w:tr w:rsidR="003E3C44" w:rsidRPr="00E74FF3" w14:paraId="573B70C7" w14:textId="77777777" w:rsidTr="0042068D">
        <w:trPr>
          <w:trHeight w:val="322"/>
        </w:trPr>
        <w:tc>
          <w:tcPr>
            <w:tcW w:w="1321" w:type="pct"/>
            <w:tcBorders>
              <w:top w:val="single" w:sz="4" w:space="0" w:color="auto"/>
              <w:left w:val="single" w:sz="6" w:space="0" w:color="auto"/>
              <w:bottom w:val="single" w:sz="4" w:space="0" w:color="auto"/>
            </w:tcBorders>
            <w:tcMar>
              <w:left w:w="57" w:type="dxa"/>
            </w:tcMar>
            <w:vAlign w:val="center"/>
          </w:tcPr>
          <w:p w14:paraId="3F1BBCDC" w14:textId="77777777" w:rsidR="003E3C44" w:rsidRPr="00E74FF3" w:rsidRDefault="003E3C44" w:rsidP="0042068D">
            <w:pPr>
              <w:spacing w:before="40" w:after="40" w:line="240" w:lineRule="auto"/>
              <w:ind w:left="14"/>
              <w:jc w:val="left"/>
              <w:rPr>
                <w:rFonts w:eastAsia="Times New Roman"/>
                <w:sz w:val="18"/>
                <w:szCs w:val="18"/>
                <w:lang w:val="en-US"/>
              </w:rPr>
            </w:pPr>
            <w:r w:rsidRPr="00E74FF3">
              <w:rPr>
                <w:rFonts w:eastAsia="Times New Roman"/>
                <w:b/>
                <w:sz w:val="18"/>
                <w:szCs w:val="18"/>
                <w:lang w:val="en-US"/>
              </w:rPr>
              <w:t>Total Cash &amp; Accruals</w:t>
            </w:r>
          </w:p>
        </w:tc>
        <w:tc>
          <w:tcPr>
            <w:tcW w:w="932" w:type="pct"/>
            <w:tcBorders>
              <w:top w:val="single" w:sz="4" w:space="0" w:color="auto"/>
              <w:bottom w:val="single" w:sz="4" w:space="0" w:color="auto"/>
            </w:tcBorders>
            <w:vAlign w:val="center"/>
          </w:tcPr>
          <w:p w14:paraId="26291BF7" w14:textId="77777777" w:rsidR="003E3C44" w:rsidRPr="00E74FF3" w:rsidRDefault="003E3C44" w:rsidP="0042068D">
            <w:pPr>
              <w:spacing w:before="40" w:after="40" w:line="240" w:lineRule="auto"/>
              <w:jc w:val="center"/>
              <w:rPr>
                <w:rFonts w:eastAsia="Times New Roman"/>
                <w:bCs/>
                <w:sz w:val="18"/>
                <w:szCs w:val="18"/>
                <w:lang w:val="en-US"/>
              </w:rPr>
            </w:pPr>
            <w:r w:rsidRPr="00E74FF3">
              <w:rPr>
                <w:rFonts w:eastAsia="Times New Roman"/>
                <w:bCs/>
                <w:sz w:val="18"/>
                <w:szCs w:val="18"/>
                <w:lang w:val="en-US"/>
              </w:rPr>
              <w:t>BetaShares Australia High Interest Cash</w:t>
            </w:r>
          </w:p>
        </w:tc>
        <w:tc>
          <w:tcPr>
            <w:tcW w:w="802" w:type="pct"/>
            <w:tcBorders>
              <w:top w:val="single" w:sz="4" w:space="0" w:color="auto"/>
              <w:bottom w:val="single" w:sz="4" w:space="0" w:color="auto"/>
            </w:tcBorders>
            <w:vAlign w:val="center"/>
          </w:tcPr>
          <w:p w14:paraId="1222969E" w14:textId="77777777" w:rsidR="003E3C44" w:rsidRDefault="003E3C44" w:rsidP="0042068D">
            <w:pPr>
              <w:spacing w:before="40" w:after="40" w:line="240" w:lineRule="auto"/>
              <w:jc w:val="center"/>
              <w:rPr>
                <w:b/>
                <w:bCs/>
                <w:color w:val="000000"/>
                <w:sz w:val="18"/>
                <w:szCs w:val="18"/>
              </w:rPr>
            </w:pPr>
            <w:r>
              <w:rPr>
                <w:b/>
                <w:bCs/>
                <w:color w:val="000000"/>
                <w:sz w:val="18"/>
                <w:szCs w:val="18"/>
                <w:lang w:val="en-US"/>
              </w:rPr>
              <w:t>35,255</w:t>
            </w:r>
          </w:p>
        </w:tc>
        <w:tc>
          <w:tcPr>
            <w:tcW w:w="614" w:type="pct"/>
            <w:tcBorders>
              <w:top w:val="single" w:sz="4" w:space="0" w:color="auto"/>
              <w:bottom w:val="single" w:sz="4" w:space="0" w:color="auto"/>
            </w:tcBorders>
            <w:vAlign w:val="center"/>
          </w:tcPr>
          <w:p w14:paraId="53F8F49A" w14:textId="77777777" w:rsidR="003E3C44" w:rsidRDefault="003E3C44" w:rsidP="0042068D">
            <w:pPr>
              <w:spacing w:before="40" w:after="40" w:line="240" w:lineRule="auto"/>
              <w:jc w:val="center"/>
              <w:rPr>
                <w:b/>
                <w:bCs/>
                <w:color w:val="000000"/>
                <w:sz w:val="18"/>
                <w:szCs w:val="18"/>
              </w:rPr>
            </w:pPr>
            <w:r>
              <w:rPr>
                <w:b/>
                <w:bCs/>
                <w:color w:val="000000"/>
                <w:sz w:val="18"/>
                <w:szCs w:val="18"/>
              </w:rPr>
              <w:t>5.09</w:t>
            </w:r>
          </w:p>
        </w:tc>
        <w:tc>
          <w:tcPr>
            <w:tcW w:w="641" w:type="pct"/>
            <w:tcBorders>
              <w:top w:val="single" w:sz="4" w:space="0" w:color="auto"/>
              <w:bottom w:val="single" w:sz="4" w:space="0" w:color="auto"/>
            </w:tcBorders>
            <w:vAlign w:val="center"/>
          </w:tcPr>
          <w:p w14:paraId="10CCA38C" w14:textId="77777777" w:rsidR="003E3C44" w:rsidRDefault="003E3C44" w:rsidP="0042068D">
            <w:pPr>
              <w:spacing w:before="40" w:after="40" w:line="240" w:lineRule="auto"/>
              <w:jc w:val="center"/>
              <w:rPr>
                <w:b/>
                <w:bCs/>
                <w:color w:val="000000"/>
                <w:sz w:val="18"/>
                <w:szCs w:val="18"/>
              </w:rPr>
            </w:pPr>
            <w:r>
              <w:rPr>
                <w:b/>
                <w:bCs/>
                <w:color w:val="000000"/>
                <w:sz w:val="18"/>
                <w:szCs w:val="18"/>
                <w:lang w:val="en-US"/>
              </w:rPr>
              <w:t>5</w:t>
            </w:r>
          </w:p>
        </w:tc>
        <w:tc>
          <w:tcPr>
            <w:tcW w:w="690" w:type="pct"/>
            <w:tcBorders>
              <w:top w:val="single" w:sz="4" w:space="0" w:color="auto"/>
              <w:bottom w:val="single" w:sz="4" w:space="0" w:color="auto"/>
              <w:right w:val="single" w:sz="6" w:space="0" w:color="auto"/>
            </w:tcBorders>
            <w:tcMar>
              <w:right w:w="57" w:type="dxa"/>
            </w:tcMar>
            <w:vAlign w:val="center"/>
          </w:tcPr>
          <w:p w14:paraId="15AADF0B" w14:textId="77777777" w:rsidR="003E3C44" w:rsidRDefault="003E3C44" w:rsidP="0042068D">
            <w:pPr>
              <w:spacing w:before="40" w:after="40"/>
              <w:jc w:val="center"/>
              <w:rPr>
                <w:b/>
                <w:bCs/>
                <w:color w:val="000000"/>
                <w:sz w:val="18"/>
                <w:szCs w:val="18"/>
              </w:rPr>
            </w:pPr>
            <w:r>
              <w:rPr>
                <w:b/>
                <w:bCs/>
                <w:color w:val="000000"/>
                <w:sz w:val="18"/>
                <w:szCs w:val="18"/>
                <w:lang w:val="en-US"/>
              </w:rPr>
              <w:t>0.09</w:t>
            </w:r>
          </w:p>
        </w:tc>
      </w:tr>
      <w:tr w:rsidR="003E3C44" w:rsidRPr="00E74FF3" w14:paraId="6670287E" w14:textId="77777777" w:rsidTr="0042068D">
        <w:trPr>
          <w:trHeight w:hRule="exact" w:val="307"/>
        </w:trPr>
        <w:tc>
          <w:tcPr>
            <w:tcW w:w="1321" w:type="pct"/>
            <w:tcBorders>
              <w:top w:val="single" w:sz="4" w:space="0" w:color="auto"/>
              <w:left w:val="single" w:sz="6" w:space="0" w:color="auto"/>
              <w:bottom w:val="single" w:sz="4" w:space="0" w:color="auto"/>
            </w:tcBorders>
            <w:shd w:val="clear" w:color="auto" w:fill="DEEAF6" w:themeFill="accent1" w:themeFillTint="33"/>
            <w:tcMar>
              <w:left w:w="57" w:type="dxa"/>
            </w:tcMar>
          </w:tcPr>
          <w:p w14:paraId="1E625C95" w14:textId="77777777" w:rsidR="003E3C44" w:rsidRPr="00E74FF3" w:rsidRDefault="003E3C44" w:rsidP="0042068D">
            <w:pPr>
              <w:spacing w:before="60" w:after="60" w:line="240" w:lineRule="auto"/>
              <w:ind w:left="14"/>
              <w:jc w:val="left"/>
              <w:rPr>
                <w:rFonts w:eastAsia="Times New Roman"/>
                <w:b/>
                <w:i/>
                <w:sz w:val="18"/>
                <w:szCs w:val="18"/>
                <w:lang w:val="en-US"/>
              </w:rPr>
            </w:pPr>
            <w:r w:rsidRPr="00E74FF3">
              <w:rPr>
                <w:rFonts w:eastAsia="Times New Roman"/>
                <w:b/>
                <w:sz w:val="18"/>
                <w:szCs w:val="18"/>
                <w:lang w:val="en-US"/>
              </w:rPr>
              <w:t xml:space="preserve">Total Fixed Income &amp; Cash </w:t>
            </w:r>
          </w:p>
        </w:tc>
        <w:tc>
          <w:tcPr>
            <w:tcW w:w="932" w:type="pct"/>
            <w:tcBorders>
              <w:top w:val="single" w:sz="4" w:space="0" w:color="auto"/>
              <w:bottom w:val="single" w:sz="4" w:space="0" w:color="auto"/>
            </w:tcBorders>
            <w:shd w:val="clear" w:color="auto" w:fill="DEEAF6" w:themeFill="accent1" w:themeFillTint="33"/>
          </w:tcPr>
          <w:p w14:paraId="3E86953F" w14:textId="77777777" w:rsidR="003E3C44" w:rsidRPr="00E74FF3" w:rsidRDefault="003E3C44" w:rsidP="0042068D">
            <w:pPr>
              <w:spacing w:before="60" w:after="60" w:line="240" w:lineRule="auto"/>
              <w:jc w:val="center"/>
              <w:rPr>
                <w:rFonts w:eastAsia="Times New Roman"/>
                <w:sz w:val="18"/>
                <w:szCs w:val="18"/>
                <w:lang w:val="en-US"/>
              </w:rPr>
            </w:pPr>
          </w:p>
        </w:tc>
        <w:tc>
          <w:tcPr>
            <w:tcW w:w="802" w:type="pct"/>
            <w:tcBorders>
              <w:top w:val="single" w:sz="4" w:space="0" w:color="auto"/>
              <w:bottom w:val="single" w:sz="4" w:space="0" w:color="auto"/>
            </w:tcBorders>
            <w:shd w:val="clear" w:color="auto" w:fill="DEEAF6" w:themeFill="accent1" w:themeFillTint="33"/>
            <w:vAlign w:val="center"/>
          </w:tcPr>
          <w:p w14:paraId="4C1878EA" w14:textId="77777777" w:rsidR="003E3C44" w:rsidRDefault="003E3C44" w:rsidP="0042068D">
            <w:pPr>
              <w:spacing w:before="40" w:after="40" w:line="240" w:lineRule="auto"/>
              <w:jc w:val="center"/>
              <w:rPr>
                <w:b/>
                <w:bCs/>
                <w:color w:val="000000"/>
                <w:sz w:val="18"/>
                <w:szCs w:val="18"/>
              </w:rPr>
            </w:pPr>
            <w:r>
              <w:rPr>
                <w:b/>
                <w:bCs/>
                <w:color w:val="000000"/>
                <w:sz w:val="18"/>
                <w:szCs w:val="18"/>
                <w:lang w:val="en-US"/>
              </w:rPr>
              <w:t>135,830</w:t>
            </w:r>
          </w:p>
        </w:tc>
        <w:tc>
          <w:tcPr>
            <w:tcW w:w="614" w:type="pct"/>
            <w:tcBorders>
              <w:top w:val="single" w:sz="4" w:space="0" w:color="auto"/>
              <w:bottom w:val="single" w:sz="4" w:space="0" w:color="auto"/>
            </w:tcBorders>
            <w:shd w:val="clear" w:color="auto" w:fill="DEEAF6" w:themeFill="accent1" w:themeFillTint="33"/>
            <w:vAlign w:val="center"/>
          </w:tcPr>
          <w:p w14:paraId="61E3797B" w14:textId="77777777" w:rsidR="003E3C44" w:rsidRDefault="003E3C44" w:rsidP="0042068D">
            <w:pPr>
              <w:spacing w:before="40" w:after="40" w:line="240" w:lineRule="auto"/>
              <w:jc w:val="center"/>
              <w:rPr>
                <w:b/>
                <w:bCs/>
                <w:color w:val="000000"/>
                <w:sz w:val="18"/>
                <w:szCs w:val="18"/>
              </w:rPr>
            </w:pPr>
            <w:r>
              <w:rPr>
                <w:b/>
                <w:bCs/>
                <w:color w:val="000000"/>
                <w:sz w:val="18"/>
                <w:szCs w:val="18"/>
              </w:rPr>
              <w:t>19.60</w:t>
            </w:r>
          </w:p>
        </w:tc>
        <w:tc>
          <w:tcPr>
            <w:tcW w:w="641" w:type="pct"/>
            <w:tcBorders>
              <w:top w:val="single" w:sz="4" w:space="0" w:color="auto"/>
              <w:bottom w:val="single" w:sz="4" w:space="0" w:color="auto"/>
            </w:tcBorders>
            <w:shd w:val="clear" w:color="auto" w:fill="DEEAF6" w:themeFill="accent1" w:themeFillTint="33"/>
            <w:vAlign w:val="center"/>
          </w:tcPr>
          <w:p w14:paraId="6EB840AB" w14:textId="77777777" w:rsidR="003E3C44" w:rsidRDefault="003E3C44" w:rsidP="0042068D">
            <w:pPr>
              <w:spacing w:before="40" w:after="40" w:line="240" w:lineRule="auto"/>
              <w:jc w:val="center"/>
              <w:rPr>
                <w:b/>
                <w:bCs/>
                <w:color w:val="000000"/>
                <w:sz w:val="18"/>
                <w:szCs w:val="18"/>
              </w:rPr>
            </w:pPr>
            <w:r>
              <w:rPr>
                <w:b/>
                <w:bCs/>
                <w:color w:val="000000"/>
                <w:sz w:val="18"/>
                <w:szCs w:val="18"/>
                <w:lang w:val="en-US"/>
              </w:rPr>
              <w:t>20</w:t>
            </w:r>
          </w:p>
        </w:tc>
        <w:tc>
          <w:tcPr>
            <w:tcW w:w="690" w:type="pct"/>
            <w:tcBorders>
              <w:top w:val="single" w:sz="4" w:space="0" w:color="auto"/>
              <w:bottom w:val="single" w:sz="4" w:space="0" w:color="auto"/>
              <w:right w:val="single" w:sz="6" w:space="0" w:color="auto"/>
            </w:tcBorders>
            <w:shd w:val="clear" w:color="auto" w:fill="DEEAF6" w:themeFill="accent1" w:themeFillTint="33"/>
            <w:tcMar>
              <w:right w:w="57" w:type="dxa"/>
            </w:tcMar>
            <w:vAlign w:val="center"/>
          </w:tcPr>
          <w:p w14:paraId="2D95C9EC" w14:textId="77777777" w:rsidR="003E3C44" w:rsidRDefault="003E3C44" w:rsidP="0042068D">
            <w:pPr>
              <w:spacing w:before="40" w:after="40"/>
              <w:jc w:val="center"/>
              <w:rPr>
                <w:b/>
                <w:bCs/>
                <w:color w:val="000000"/>
                <w:sz w:val="18"/>
                <w:szCs w:val="18"/>
              </w:rPr>
            </w:pPr>
            <w:r>
              <w:rPr>
                <w:b/>
                <w:bCs/>
                <w:color w:val="000000"/>
                <w:sz w:val="18"/>
                <w:szCs w:val="18"/>
                <w:lang w:val="en-US"/>
              </w:rPr>
              <w:t>-0.40</w:t>
            </w:r>
          </w:p>
        </w:tc>
      </w:tr>
      <w:tr w:rsidR="003E3C44" w:rsidRPr="00E74FF3" w14:paraId="2A8E5272" w14:textId="77777777" w:rsidTr="0042068D">
        <w:trPr>
          <w:trHeight w:val="62"/>
        </w:trPr>
        <w:tc>
          <w:tcPr>
            <w:tcW w:w="1321" w:type="pct"/>
            <w:tcBorders>
              <w:top w:val="single" w:sz="4" w:space="0" w:color="auto"/>
              <w:left w:val="single" w:sz="6" w:space="0" w:color="auto"/>
              <w:bottom w:val="nil"/>
            </w:tcBorders>
            <w:tcMar>
              <w:left w:w="57" w:type="dxa"/>
            </w:tcMar>
            <w:vAlign w:val="center"/>
          </w:tcPr>
          <w:p w14:paraId="77CE47BB" w14:textId="77777777" w:rsidR="003E3C44" w:rsidRPr="00382634" w:rsidRDefault="003E3C44" w:rsidP="0042068D">
            <w:pPr>
              <w:spacing w:before="40" w:after="40" w:line="240" w:lineRule="auto"/>
              <w:jc w:val="left"/>
              <w:rPr>
                <w:rFonts w:eastAsia="Times New Roman"/>
                <w:b/>
                <w:sz w:val="6"/>
                <w:szCs w:val="6"/>
                <w:lang w:val="en-US"/>
              </w:rPr>
            </w:pPr>
          </w:p>
        </w:tc>
        <w:tc>
          <w:tcPr>
            <w:tcW w:w="932" w:type="pct"/>
            <w:tcBorders>
              <w:top w:val="single" w:sz="4" w:space="0" w:color="auto"/>
              <w:bottom w:val="nil"/>
            </w:tcBorders>
            <w:vAlign w:val="center"/>
          </w:tcPr>
          <w:p w14:paraId="3FA2C898" w14:textId="77777777" w:rsidR="003E3C44" w:rsidRPr="00382634" w:rsidDel="006749BC" w:rsidRDefault="003E3C44" w:rsidP="0042068D">
            <w:pPr>
              <w:spacing w:before="40" w:after="40" w:line="240" w:lineRule="auto"/>
              <w:jc w:val="center"/>
              <w:rPr>
                <w:rFonts w:eastAsia="Times New Roman"/>
                <w:b/>
                <w:sz w:val="6"/>
                <w:szCs w:val="6"/>
                <w:lang w:val="en-US"/>
              </w:rPr>
            </w:pPr>
          </w:p>
        </w:tc>
        <w:tc>
          <w:tcPr>
            <w:tcW w:w="802" w:type="pct"/>
            <w:tcBorders>
              <w:top w:val="single" w:sz="4" w:space="0" w:color="auto"/>
              <w:bottom w:val="nil"/>
            </w:tcBorders>
            <w:vAlign w:val="center"/>
          </w:tcPr>
          <w:p w14:paraId="62F64C34" w14:textId="77777777" w:rsidR="003E3C44" w:rsidRDefault="003E3C44" w:rsidP="0042068D">
            <w:pPr>
              <w:spacing w:before="40" w:after="40" w:line="240" w:lineRule="auto"/>
              <w:jc w:val="center"/>
              <w:rPr>
                <w:b/>
                <w:bCs/>
                <w:color w:val="000000"/>
                <w:sz w:val="6"/>
                <w:szCs w:val="6"/>
              </w:rPr>
            </w:pPr>
            <w:r>
              <w:rPr>
                <w:b/>
                <w:bCs/>
                <w:color w:val="000000"/>
                <w:sz w:val="6"/>
                <w:szCs w:val="6"/>
                <w:lang w:val="en-US"/>
              </w:rPr>
              <w:t> </w:t>
            </w:r>
          </w:p>
        </w:tc>
        <w:tc>
          <w:tcPr>
            <w:tcW w:w="614" w:type="pct"/>
            <w:tcBorders>
              <w:top w:val="single" w:sz="4" w:space="0" w:color="auto"/>
              <w:bottom w:val="nil"/>
            </w:tcBorders>
            <w:vAlign w:val="center"/>
          </w:tcPr>
          <w:p w14:paraId="1DD650B1" w14:textId="77777777" w:rsidR="003E3C44" w:rsidRDefault="003E3C44" w:rsidP="0042068D">
            <w:pPr>
              <w:spacing w:before="40" w:after="40" w:line="240" w:lineRule="auto"/>
              <w:jc w:val="center"/>
              <w:rPr>
                <w:b/>
                <w:bCs/>
                <w:color w:val="000000"/>
                <w:sz w:val="6"/>
                <w:szCs w:val="6"/>
              </w:rPr>
            </w:pPr>
            <w:r>
              <w:rPr>
                <w:b/>
                <w:bCs/>
                <w:color w:val="000000"/>
                <w:sz w:val="6"/>
                <w:szCs w:val="6"/>
                <w:lang w:val="en-US"/>
              </w:rPr>
              <w:t> </w:t>
            </w:r>
          </w:p>
        </w:tc>
        <w:tc>
          <w:tcPr>
            <w:tcW w:w="641" w:type="pct"/>
            <w:tcBorders>
              <w:top w:val="single" w:sz="4" w:space="0" w:color="auto"/>
              <w:bottom w:val="nil"/>
            </w:tcBorders>
            <w:vAlign w:val="center"/>
          </w:tcPr>
          <w:p w14:paraId="41E25C0F" w14:textId="77777777" w:rsidR="003E3C44" w:rsidRDefault="003E3C44" w:rsidP="0042068D">
            <w:pPr>
              <w:spacing w:before="40" w:after="40" w:line="240" w:lineRule="auto"/>
              <w:jc w:val="center"/>
              <w:rPr>
                <w:b/>
                <w:bCs/>
                <w:color w:val="000000"/>
                <w:sz w:val="6"/>
                <w:szCs w:val="6"/>
              </w:rPr>
            </w:pPr>
            <w:r>
              <w:rPr>
                <w:b/>
                <w:bCs/>
                <w:color w:val="000000"/>
                <w:sz w:val="6"/>
                <w:szCs w:val="6"/>
                <w:lang w:val="en-US"/>
              </w:rPr>
              <w:t> </w:t>
            </w:r>
          </w:p>
        </w:tc>
        <w:tc>
          <w:tcPr>
            <w:tcW w:w="690" w:type="pct"/>
            <w:tcBorders>
              <w:top w:val="single" w:sz="4" w:space="0" w:color="auto"/>
              <w:bottom w:val="nil"/>
              <w:right w:val="single" w:sz="6" w:space="0" w:color="auto"/>
            </w:tcBorders>
            <w:tcMar>
              <w:right w:w="57" w:type="dxa"/>
            </w:tcMar>
            <w:vAlign w:val="center"/>
          </w:tcPr>
          <w:p w14:paraId="23F28969" w14:textId="77777777" w:rsidR="003E3C44" w:rsidRDefault="003E3C44" w:rsidP="0042068D">
            <w:pPr>
              <w:spacing w:before="40" w:after="40"/>
              <w:jc w:val="center"/>
              <w:rPr>
                <w:b/>
                <w:bCs/>
                <w:color w:val="000000"/>
                <w:sz w:val="6"/>
                <w:szCs w:val="6"/>
              </w:rPr>
            </w:pPr>
            <w:r>
              <w:rPr>
                <w:b/>
                <w:bCs/>
                <w:color w:val="000000"/>
                <w:sz w:val="6"/>
                <w:szCs w:val="6"/>
                <w:lang w:val="en-US"/>
              </w:rPr>
              <w:t> </w:t>
            </w:r>
          </w:p>
        </w:tc>
      </w:tr>
      <w:tr w:rsidR="003E3C44" w:rsidRPr="00CD4BAD" w14:paraId="4355193F" w14:textId="77777777" w:rsidTr="0042068D">
        <w:trPr>
          <w:trHeight w:hRule="exact" w:val="361"/>
        </w:trPr>
        <w:tc>
          <w:tcPr>
            <w:tcW w:w="2253" w:type="pct"/>
            <w:gridSpan w:val="2"/>
            <w:tcBorders>
              <w:top w:val="nil"/>
              <w:left w:val="single" w:sz="6" w:space="0" w:color="auto"/>
              <w:bottom w:val="single" w:sz="6" w:space="0" w:color="auto"/>
            </w:tcBorders>
            <w:tcMar>
              <w:left w:w="57" w:type="dxa"/>
            </w:tcMar>
          </w:tcPr>
          <w:p w14:paraId="30FD95F7" w14:textId="77777777" w:rsidR="003E3C44" w:rsidRPr="00E74FF3" w:rsidRDefault="003E3C44" w:rsidP="0042068D">
            <w:pPr>
              <w:spacing w:before="60" w:after="60" w:line="240" w:lineRule="auto"/>
              <w:jc w:val="left"/>
              <w:rPr>
                <w:rFonts w:eastAsia="Times New Roman"/>
                <w:sz w:val="18"/>
                <w:szCs w:val="18"/>
                <w:lang w:val="en-US"/>
              </w:rPr>
            </w:pPr>
            <w:r w:rsidRPr="00E74FF3">
              <w:rPr>
                <w:rFonts w:eastAsia="Times New Roman"/>
                <w:b/>
                <w:sz w:val="18"/>
                <w:szCs w:val="18"/>
                <w:lang w:val="en-US"/>
              </w:rPr>
              <w:t>Total Value of SMF Assets</w:t>
            </w:r>
          </w:p>
        </w:tc>
        <w:tc>
          <w:tcPr>
            <w:tcW w:w="802" w:type="pct"/>
            <w:tcBorders>
              <w:top w:val="nil"/>
              <w:bottom w:val="single" w:sz="6" w:space="0" w:color="auto"/>
            </w:tcBorders>
          </w:tcPr>
          <w:p w14:paraId="0B6EE133" w14:textId="77777777" w:rsidR="003E3C44" w:rsidRPr="00E74FF3" w:rsidRDefault="003E3C44" w:rsidP="0042068D">
            <w:pPr>
              <w:spacing w:before="40" w:after="40" w:line="240" w:lineRule="auto"/>
              <w:jc w:val="center"/>
              <w:rPr>
                <w:rFonts w:eastAsia="Times New Roman"/>
                <w:b/>
                <w:sz w:val="18"/>
                <w:szCs w:val="18"/>
              </w:rPr>
            </w:pPr>
            <w:r w:rsidRPr="00E74FF3">
              <w:rPr>
                <w:rFonts w:eastAsia="Times New Roman"/>
                <w:b/>
                <w:sz w:val="18"/>
                <w:szCs w:val="18"/>
                <w:lang w:val="en-US"/>
              </w:rPr>
              <w:t>693,010</w:t>
            </w:r>
          </w:p>
        </w:tc>
        <w:tc>
          <w:tcPr>
            <w:tcW w:w="614" w:type="pct"/>
            <w:tcBorders>
              <w:top w:val="nil"/>
              <w:bottom w:val="single" w:sz="6" w:space="0" w:color="auto"/>
            </w:tcBorders>
            <w:vAlign w:val="center"/>
          </w:tcPr>
          <w:p w14:paraId="37C22B68" w14:textId="77777777" w:rsidR="003E3C44" w:rsidRDefault="003E3C44" w:rsidP="0042068D">
            <w:pPr>
              <w:spacing w:before="40" w:after="40" w:line="240" w:lineRule="auto"/>
              <w:jc w:val="center"/>
              <w:rPr>
                <w:b/>
                <w:bCs/>
                <w:color w:val="000000"/>
                <w:sz w:val="18"/>
                <w:szCs w:val="18"/>
              </w:rPr>
            </w:pPr>
            <w:r>
              <w:rPr>
                <w:b/>
                <w:bCs/>
                <w:color w:val="000000"/>
                <w:sz w:val="18"/>
                <w:szCs w:val="18"/>
                <w:lang w:val="en-US"/>
              </w:rPr>
              <w:t>693,010</w:t>
            </w:r>
          </w:p>
        </w:tc>
        <w:tc>
          <w:tcPr>
            <w:tcW w:w="641" w:type="pct"/>
            <w:tcBorders>
              <w:top w:val="nil"/>
              <w:bottom w:val="single" w:sz="6" w:space="0" w:color="auto"/>
            </w:tcBorders>
            <w:vAlign w:val="center"/>
          </w:tcPr>
          <w:p w14:paraId="2F08125E" w14:textId="77777777" w:rsidR="003E3C44" w:rsidRDefault="003E3C44" w:rsidP="0042068D">
            <w:pPr>
              <w:spacing w:before="40" w:after="40" w:line="240" w:lineRule="auto"/>
              <w:jc w:val="center"/>
              <w:rPr>
                <w:b/>
                <w:bCs/>
                <w:color w:val="000000"/>
                <w:sz w:val="18"/>
                <w:szCs w:val="18"/>
              </w:rPr>
            </w:pPr>
            <w:r>
              <w:rPr>
                <w:b/>
                <w:bCs/>
                <w:color w:val="000000"/>
                <w:sz w:val="18"/>
                <w:szCs w:val="18"/>
                <w:lang w:val="en-US"/>
              </w:rPr>
              <w:t>100.0</w:t>
            </w:r>
          </w:p>
        </w:tc>
        <w:tc>
          <w:tcPr>
            <w:tcW w:w="690" w:type="pct"/>
            <w:tcBorders>
              <w:top w:val="nil"/>
              <w:bottom w:val="single" w:sz="6" w:space="0" w:color="auto"/>
              <w:right w:val="single" w:sz="6" w:space="0" w:color="auto"/>
            </w:tcBorders>
            <w:tcMar>
              <w:right w:w="57" w:type="dxa"/>
            </w:tcMar>
            <w:vAlign w:val="center"/>
          </w:tcPr>
          <w:p w14:paraId="63B574F7" w14:textId="77777777" w:rsidR="003E3C44" w:rsidRDefault="003E3C44" w:rsidP="0042068D">
            <w:pPr>
              <w:spacing w:before="40" w:after="40"/>
              <w:jc w:val="center"/>
              <w:rPr>
                <w:b/>
                <w:bCs/>
                <w:color w:val="000000"/>
                <w:sz w:val="18"/>
                <w:szCs w:val="18"/>
              </w:rPr>
            </w:pPr>
            <w:r>
              <w:rPr>
                <w:b/>
                <w:bCs/>
                <w:color w:val="000000"/>
                <w:sz w:val="18"/>
                <w:szCs w:val="18"/>
                <w:lang w:val="en-US"/>
              </w:rPr>
              <w:t>100</w:t>
            </w:r>
          </w:p>
        </w:tc>
      </w:tr>
    </w:tbl>
    <w:p w14:paraId="61E3C5C5" w14:textId="34E0FC30" w:rsidR="006E0BB3" w:rsidRDefault="006E0BB3">
      <w:pPr>
        <w:widowControl/>
        <w:spacing w:before="0" w:after="160" w:line="259" w:lineRule="auto"/>
        <w:jc w:val="left"/>
        <w:rPr>
          <w:b/>
          <w:bCs/>
          <w:iCs/>
          <w:color w:val="5B9BD5" w:themeColor="accent1"/>
          <w:szCs w:val="28"/>
        </w:rPr>
      </w:pPr>
    </w:p>
    <w:p w14:paraId="36379CBF" w14:textId="391CEB69" w:rsidR="006E0BB3" w:rsidRDefault="006E0BB3">
      <w:pPr>
        <w:widowControl/>
        <w:spacing w:before="0" w:after="160" w:line="259" w:lineRule="auto"/>
        <w:jc w:val="left"/>
        <w:rPr>
          <w:b/>
          <w:bCs/>
          <w:iCs/>
          <w:color w:val="5B9BD5" w:themeColor="accent1"/>
          <w:szCs w:val="28"/>
        </w:rPr>
      </w:pPr>
      <w:r>
        <w:rPr>
          <w:b/>
          <w:bCs/>
          <w:iCs/>
          <w:color w:val="5B9BD5" w:themeColor="accent1"/>
          <w:szCs w:val="28"/>
        </w:rPr>
        <w:br w:type="page"/>
      </w:r>
    </w:p>
    <w:p w14:paraId="5FEF3729" w14:textId="696B9553" w:rsidR="00F846F0" w:rsidRPr="00F846F0" w:rsidRDefault="00F846F0" w:rsidP="00F846F0">
      <w:pPr>
        <w:pStyle w:val="Heading3"/>
        <w:spacing w:before="360"/>
        <w:rPr>
          <w:lang w:val="en-US"/>
        </w:rPr>
      </w:pPr>
      <w:bookmarkStart w:id="23" w:name="_Toc13642410"/>
      <w:r>
        <w:rPr>
          <w:lang w:val="en-US"/>
        </w:rPr>
        <w:lastRenderedPageBreak/>
        <w:t>Portfolio Performance</w:t>
      </w:r>
      <w:bookmarkEnd w:id="23"/>
    </w:p>
    <w:p w14:paraId="6A8DCB28" w14:textId="599FA177" w:rsidR="0091516F" w:rsidRDefault="0091516F" w:rsidP="0091516F">
      <w:pPr>
        <w:widowControl/>
        <w:spacing w:before="180" w:after="180"/>
        <w:rPr>
          <w:color w:val="000000"/>
          <w:sz w:val="20"/>
          <w:szCs w:val="20"/>
          <w:bdr w:val="none" w:sz="0" w:space="0" w:color="auto" w:frame="1"/>
          <w:shd w:val="clear" w:color="auto" w:fill="FFFFFF"/>
        </w:rPr>
      </w:pPr>
      <w:r>
        <w:rPr>
          <w:color w:val="000000"/>
          <w:sz w:val="20"/>
          <w:szCs w:val="20"/>
          <w:bdr w:val="none" w:sz="0" w:space="0" w:color="auto" w:frame="1"/>
          <w:shd w:val="clear" w:color="auto" w:fill="FFFFFF"/>
        </w:rPr>
        <w:t>Figure 3 reports</w:t>
      </w:r>
      <w:r w:rsidRPr="006E0BB3">
        <w:rPr>
          <w:color w:val="000000"/>
          <w:sz w:val="20"/>
          <w:szCs w:val="20"/>
          <w:bdr w:val="none" w:sz="0" w:space="0" w:color="auto" w:frame="1"/>
          <w:shd w:val="clear" w:color="auto" w:fill="FFFFFF"/>
        </w:rPr>
        <w:t xml:space="preserve"> the Fund’s portfolio performance </w:t>
      </w:r>
      <w:r>
        <w:rPr>
          <w:color w:val="000000"/>
          <w:sz w:val="20"/>
          <w:szCs w:val="20"/>
          <w:bdr w:val="none" w:sz="0" w:space="0" w:color="auto" w:frame="1"/>
          <w:shd w:val="clear" w:color="auto" w:fill="FFFFFF"/>
        </w:rPr>
        <w:t xml:space="preserve">during 2018, year-to-date during 2019, and cumulative </w:t>
      </w:r>
      <w:r w:rsidRPr="006E0BB3">
        <w:rPr>
          <w:color w:val="000000"/>
          <w:sz w:val="20"/>
          <w:szCs w:val="20"/>
          <w:bdr w:val="none" w:sz="0" w:space="0" w:color="auto" w:frame="1"/>
          <w:shd w:val="clear" w:color="auto" w:fill="FFFFFF"/>
        </w:rPr>
        <w:t>since inception. It is extr</w:t>
      </w:r>
      <w:r w:rsidR="00F6021A">
        <w:rPr>
          <w:color w:val="000000"/>
          <w:sz w:val="20"/>
          <w:szCs w:val="20"/>
          <w:bdr w:val="none" w:sz="0" w:space="0" w:color="auto" w:frame="1"/>
          <w:shd w:val="clear" w:color="auto" w:fill="FFFFFF"/>
        </w:rPr>
        <w:t xml:space="preserve">emely pleasing to see the Fund return of </w:t>
      </w:r>
      <w:r>
        <w:rPr>
          <w:color w:val="000000"/>
          <w:sz w:val="20"/>
          <w:szCs w:val="20"/>
          <w:bdr w:val="none" w:sz="0" w:space="0" w:color="auto" w:frame="1"/>
          <w:shd w:val="clear" w:color="auto" w:fill="FFFFFF"/>
        </w:rPr>
        <w:t>15</w:t>
      </w:r>
      <w:r w:rsidRPr="006E0BB3">
        <w:rPr>
          <w:color w:val="000000"/>
          <w:sz w:val="20"/>
          <w:szCs w:val="20"/>
          <w:bdr w:val="none" w:sz="0" w:space="0" w:color="auto" w:frame="1"/>
          <w:shd w:val="clear" w:color="auto" w:fill="FFFFFF"/>
        </w:rPr>
        <w:t>.</w:t>
      </w:r>
      <w:r>
        <w:rPr>
          <w:color w:val="000000"/>
          <w:sz w:val="20"/>
          <w:szCs w:val="20"/>
          <w:bdr w:val="none" w:sz="0" w:space="0" w:color="auto" w:frame="1"/>
          <w:shd w:val="clear" w:color="auto" w:fill="FFFFFF"/>
        </w:rPr>
        <w:t>8</w:t>
      </w:r>
      <w:r w:rsidR="00365D89">
        <w:rPr>
          <w:color w:val="000000"/>
          <w:sz w:val="20"/>
          <w:szCs w:val="20"/>
          <w:bdr w:val="none" w:sz="0" w:space="0" w:color="auto" w:frame="1"/>
          <w:shd w:val="clear" w:color="auto" w:fill="FFFFFF"/>
        </w:rPr>
        <w:t>5</w:t>
      </w:r>
      <w:r w:rsidRPr="006E0BB3">
        <w:rPr>
          <w:color w:val="000000"/>
          <w:sz w:val="20"/>
          <w:szCs w:val="20"/>
          <w:bdr w:val="none" w:sz="0" w:space="0" w:color="auto" w:frame="1"/>
          <w:shd w:val="clear" w:color="auto" w:fill="FFFFFF"/>
        </w:rPr>
        <w:t xml:space="preserve">% </w:t>
      </w:r>
      <w:r>
        <w:rPr>
          <w:color w:val="000000"/>
          <w:sz w:val="20"/>
          <w:szCs w:val="20"/>
          <w:bdr w:val="none" w:sz="0" w:space="0" w:color="auto" w:frame="1"/>
          <w:shd w:val="clear" w:color="auto" w:fill="FFFFFF"/>
        </w:rPr>
        <w:t xml:space="preserve">since inception </w:t>
      </w:r>
      <w:r w:rsidRPr="006E0BB3">
        <w:rPr>
          <w:color w:val="000000"/>
          <w:sz w:val="20"/>
          <w:szCs w:val="20"/>
          <w:bdr w:val="none" w:sz="0" w:space="0" w:color="auto" w:frame="1"/>
          <w:shd w:val="clear" w:color="auto" w:fill="FFFFFF"/>
        </w:rPr>
        <w:t>surpass</w:t>
      </w:r>
      <w:r w:rsidR="00F6021A">
        <w:rPr>
          <w:color w:val="000000"/>
          <w:sz w:val="20"/>
          <w:szCs w:val="20"/>
          <w:bdr w:val="none" w:sz="0" w:space="0" w:color="auto" w:frame="1"/>
          <w:shd w:val="clear" w:color="auto" w:fill="FFFFFF"/>
        </w:rPr>
        <w:t>ing</w:t>
      </w:r>
      <w:r w:rsidRPr="006E0BB3">
        <w:rPr>
          <w:color w:val="000000"/>
          <w:sz w:val="20"/>
          <w:szCs w:val="20"/>
          <w:bdr w:val="none" w:sz="0" w:space="0" w:color="auto" w:frame="1"/>
          <w:shd w:val="clear" w:color="auto" w:fill="FFFFFF"/>
        </w:rPr>
        <w:t xml:space="preserve"> the</w:t>
      </w:r>
      <w:r>
        <w:rPr>
          <w:color w:val="000000"/>
          <w:sz w:val="20"/>
          <w:szCs w:val="20"/>
          <w:bdr w:val="none" w:sz="0" w:space="0" w:color="auto" w:frame="1"/>
          <w:shd w:val="clear" w:color="auto" w:fill="FFFFFF"/>
        </w:rPr>
        <w:t xml:space="preserve"> </w:t>
      </w:r>
      <w:r w:rsidRPr="006E0BB3">
        <w:rPr>
          <w:color w:val="000000"/>
          <w:sz w:val="20"/>
          <w:szCs w:val="20"/>
          <w:bdr w:val="none" w:sz="0" w:space="0" w:color="auto" w:frame="1"/>
          <w:shd w:val="clear" w:color="auto" w:fill="FFFFFF"/>
        </w:rPr>
        <w:t xml:space="preserve">return target of </w:t>
      </w:r>
      <w:r>
        <w:rPr>
          <w:color w:val="000000"/>
          <w:sz w:val="20"/>
          <w:szCs w:val="20"/>
          <w:bdr w:val="none" w:sz="0" w:space="0" w:color="auto" w:frame="1"/>
          <w:shd w:val="clear" w:color="auto" w:fill="FFFFFF"/>
        </w:rPr>
        <w:t xml:space="preserve">6.86% over the period (comprising the </w:t>
      </w:r>
      <w:r w:rsidRPr="006E0BB3">
        <w:rPr>
          <w:color w:val="000000"/>
          <w:sz w:val="20"/>
          <w:szCs w:val="20"/>
          <w:bdr w:val="none" w:sz="0" w:space="0" w:color="auto" w:frame="1"/>
          <w:shd w:val="clear" w:color="auto" w:fill="FFFFFF"/>
        </w:rPr>
        <w:t xml:space="preserve">4.5% distribution rate </w:t>
      </w:r>
      <w:r>
        <w:rPr>
          <w:color w:val="000000"/>
          <w:sz w:val="20"/>
          <w:szCs w:val="20"/>
          <w:bdr w:val="none" w:sz="0" w:space="0" w:color="auto" w:frame="1"/>
          <w:shd w:val="clear" w:color="auto" w:fill="FFFFFF"/>
        </w:rPr>
        <w:t>plus realised</w:t>
      </w:r>
      <w:r w:rsidRPr="006E0BB3">
        <w:rPr>
          <w:color w:val="000000"/>
          <w:sz w:val="20"/>
          <w:szCs w:val="20"/>
          <w:bdr w:val="none" w:sz="0" w:space="0" w:color="auto" w:frame="1"/>
          <w:shd w:val="clear" w:color="auto" w:fill="FFFFFF"/>
        </w:rPr>
        <w:t xml:space="preserve"> inflation</w:t>
      </w:r>
      <w:r>
        <w:rPr>
          <w:color w:val="000000"/>
          <w:sz w:val="20"/>
          <w:szCs w:val="20"/>
          <w:bdr w:val="none" w:sz="0" w:space="0" w:color="auto" w:frame="1"/>
          <w:shd w:val="clear" w:color="auto" w:fill="FFFFFF"/>
        </w:rPr>
        <w:t>) by +8.43%.</w:t>
      </w:r>
      <w:r w:rsidRPr="006E0BB3">
        <w:rPr>
          <w:color w:val="000000"/>
          <w:sz w:val="20"/>
          <w:szCs w:val="20"/>
          <w:bdr w:val="none" w:sz="0" w:space="0" w:color="auto" w:frame="1"/>
          <w:shd w:val="clear" w:color="auto" w:fill="FFFFFF"/>
        </w:rPr>
        <w:t xml:space="preserve"> This result carries a long-term significance</w:t>
      </w:r>
      <w:r>
        <w:rPr>
          <w:color w:val="000000"/>
          <w:sz w:val="20"/>
          <w:szCs w:val="20"/>
          <w:bdr w:val="none" w:sz="0" w:space="0" w:color="auto" w:frame="1"/>
          <w:shd w:val="clear" w:color="auto" w:fill="FFFFFF"/>
        </w:rPr>
        <w:t>,</w:t>
      </w:r>
      <w:r w:rsidRPr="006E0BB3">
        <w:rPr>
          <w:color w:val="000000"/>
          <w:sz w:val="20"/>
          <w:szCs w:val="20"/>
          <w:bdr w:val="none" w:sz="0" w:space="0" w:color="auto" w:frame="1"/>
          <w:shd w:val="clear" w:color="auto" w:fill="FFFFFF"/>
        </w:rPr>
        <w:t xml:space="preserve"> and represents progress towards our objective of maintaining the real value of the Fund to support our philanthropic objectives. </w:t>
      </w:r>
    </w:p>
    <w:p w14:paraId="76594EB8" w14:textId="5E09C165" w:rsidR="00F6021A" w:rsidRDefault="007C7A95" w:rsidP="00134F2F">
      <w:pPr>
        <w:widowControl/>
        <w:spacing w:before="180" w:after="180"/>
        <w:rPr>
          <w:color w:val="000000"/>
          <w:sz w:val="20"/>
          <w:szCs w:val="20"/>
          <w:bdr w:val="none" w:sz="0" w:space="0" w:color="auto" w:frame="1"/>
          <w:shd w:val="clear" w:color="auto" w:fill="FFFFFF"/>
        </w:rPr>
      </w:pPr>
      <w:r>
        <w:rPr>
          <w:sz w:val="20"/>
          <w:szCs w:val="20"/>
        </w:rPr>
        <w:t>T</w:t>
      </w:r>
      <w:r w:rsidR="00134F2F">
        <w:rPr>
          <w:sz w:val="20"/>
          <w:szCs w:val="20"/>
        </w:rPr>
        <w:t xml:space="preserve">he Fund underperformed </w:t>
      </w:r>
      <w:r>
        <w:rPr>
          <w:sz w:val="20"/>
          <w:szCs w:val="20"/>
        </w:rPr>
        <w:t xml:space="preserve">the reference portfolio </w:t>
      </w:r>
      <w:r w:rsidR="00134F2F">
        <w:rPr>
          <w:sz w:val="20"/>
          <w:szCs w:val="20"/>
        </w:rPr>
        <w:t>by -0.47% since inception</w:t>
      </w:r>
      <w:r>
        <w:rPr>
          <w:sz w:val="20"/>
          <w:szCs w:val="20"/>
        </w:rPr>
        <w:t>, comprising of relative returns of -1.11% during 2018 and +0.83% in 2019 year-to-date</w:t>
      </w:r>
      <w:r w:rsidR="00134F2F">
        <w:rPr>
          <w:sz w:val="20"/>
          <w:szCs w:val="20"/>
        </w:rPr>
        <w:t>. With asset allocat</w:t>
      </w:r>
      <w:r>
        <w:rPr>
          <w:sz w:val="20"/>
          <w:szCs w:val="20"/>
        </w:rPr>
        <w:t xml:space="preserve">ion </w:t>
      </w:r>
      <w:r w:rsidR="00134F2F">
        <w:rPr>
          <w:sz w:val="20"/>
          <w:szCs w:val="20"/>
        </w:rPr>
        <w:t>set in line with the reference portfolio weights</w:t>
      </w:r>
      <w:r>
        <w:rPr>
          <w:sz w:val="20"/>
          <w:szCs w:val="20"/>
        </w:rPr>
        <w:t>, the</w:t>
      </w:r>
      <w:r w:rsidR="00134F2F">
        <w:rPr>
          <w:sz w:val="20"/>
          <w:szCs w:val="20"/>
        </w:rPr>
        <w:t xml:space="preserve"> underperformance is largely attributable to the performance of AAE portfolio relative to the benchmark S&amp;P/ASX200 ETF. The sources of this relative performance are revealed in the attribution analysis </w:t>
      </w:r>
      <w:r>
        <w:rPr>
          <w:sz w:val="20"/>
          <w:szCs w:val="20"/>
        </w:rPr>
        <w:t>below, although can largely be traced to B</w:t>
      </w:r>
      <w:r w:rsidR="00134F2F">
        <w:rPr>
          <w:sz w:val="20"/>
          <w:szCs w:val="20"/>
        </w:rPr>
        <w:t>ingo</w:t>
      </w:r>
      <w:r>
        <w:rPr>
          <w:sz w:val="20"/>
          <w:szCs w:val="20"/>
        </w:rPr>
        <w:t xml:space="preserve"> Industries</w:t>
      </w:r>
      <w:r w:rsidR="00134F2F">
        <w:rPr>
          <w:sz w:val="20"/>
          <w:szCs w:val="20"/>
        </w:rPr>
        <w:t xml:space="preserve">. </w:t>
      </w:r>
    </w:p>
    <w:p w14:paraId="471FF0A8" w14:textId="04446160" w:rsidR="00F6021A" w:rsidRPr="006E0BB3" w:rsidRDefault="00F6021A" w:rsidP="0091516F">
      <w:pPr>
        <w:widowControl/>
        <w:spacing w:before="180" w:after="180"/>
        <w:rPr>
          <w:color w:val="000000"/>
          <w:sz w:val="20"/>
          <w:szCs w:val="20"/>
          <w:bdr w:val="none" w:sz="0" w:space="0" w:color="auto" w:frame="1"/>
          <w:shd w:val="clear" w:color="auto" w:fill="FFFFFF"/>
        </w:rPr>
      </w:pPr>
      <w:r w:rsidRPr="006E0BB3">
        <w:rPr>
          <w:color w:val="000000"/>
          <w:sz w:val="20"/>
          <w:szCs w:val="20"/>
          <w:bdr w:val="none" w:sz="0" w:space="0" w:color="auto" w:frame="1"/>
          <w:shd w:val="clear" w:color="auto" w:fill="FFFFFF"/>
        </w:rPr>
        <w:t>The Fund paid its first distribution of $27,746.21 on 14th January 2019, comprising $19,762.38 paid out from the Fund itself with the balance met by interest received on cash held by CBE prior to transfer of the funds to the SMF.</w:t>
      </w:r>
    </w:p>
    <w:p w14:paraId="257FF895" w14:textId="58D4EC56" w:rsidR="00E84312" w:rsidRPr="00AB1473" w:rsidRDefault="00E84312" w:rsidP="0091516F">
      <w:pPr>
        <w:spacing w:before="300" w:after="60"/>
        <w:rPr>
          <w:b/>
          <w:sz w:val="22"/>
          <w:szCs w:val="22"/>
        </w:rPr>
      </w:pPr>
      <w:r w:rsidRPr="00AB1473">
        <w:rPr>
          <w:b/>
          <w:sz w:val="22"/>
          <w:szCs w:val="22"/>
        </w:rPr>
        <w:t>Figure 3: Portfolio Performance: 10 April 2018 to 21 June 2019</w:t>
      </w:r>
    </w:p>
    <w:tbl>
      <w:tblPr>
        <w:tblStyle w:val="TableGrid"/>
        <w:tblW w:w="5000" w:type="pct"/>
        <w:tblBorders>
          <w:insideH w:val="none" w:sz="0" w:space="0" w:color="auto"/>
          <w:insideV w:val="none" w:sz="0" w:space="0" w:color="auto"/>
        </w:tblBorders>
        <w:tblLayout w:type="fixed"/>
        <w:tblLook w:val="04A0" w:firstRow="1" w:lastRow="0" w:firstColumn="1" w:lastColumn="0" w:noHBand="0" w:noVBand="1"/>
      </w:tblPr>
      <w:tblGrid>
        <w:gridCol w:w="3601"/>
        <w:gridCol w:w="2411"/>
        <w:gridCol w:w="1694"/>
        <w:gridCol w:w="1876"/>
      </w:tblGrid>
      <w:tr w:rsidR="00E84312" w:rsidRPr="004D0272" w14:paraId="7C757C5B" w14:textId="77777777" w:rsidTr="000E793A">
        <w:trPr>
          <w:trHeight w:val="312"/>
        </w:trPr>
        <w:tc>
          <w:tcPr>
            <w:tcW w:w="1879" w:type="pct"/>
            <w:tcBorders>
              <w:top w:val="single" w:sz="8" w:space="0" w:color="auto"/>
              <w:left w:val="single" w:sz="8" w:space="0" w:color="auto"/>
              <w:bottom w:val="nil"/>
            </w:tcBorders>
            <w:shd w:val="clear" w:color="auto" w:fill="DEEAF6"/>
            <w:noWrap/>
            <w:hideMark/>
          </w:tcPr>
          <w:p w14:paraId="18E1B037" w14:textId="77777777" w:rsidR="00E84312" w:rsidRPr="004D0272" w:rsidRDefault="00E84312" w:rsidP="00AF0889">
            <w:pPr>
              <w:spacing w:before="40" w:after="20"/>
              <w:rPr>
                <w:rFonts w:eastAsia="Times New Roman"/>
                <w:b/>
                <w:bCs/>
                <w:iCs/>
                <w:color w:val="000000"/>
                <w:sz w:val="20"/>
                <w:szCs w:val="20"/>
              </w:rPr>
            </w:pPr>
            <w:r w:rsidRPr="004D0272">
              <w:rPr>
                <w:rFonts w:eastAsia="Times New Roman"/>
                <w:b/>
                <w:bCs/>
                <w:iCs/>
                <w:color w:val="000000"/>
                <w:sz w:val="20"/>
                <w:szCs w:val="20"/>
              </w:rPr>
              <w:t>Year</w:t>
            </w:r>
          </w:p>
        </w:tc>
        <w:tc>
          <w:tcPr>
            <w:tcW w:w="1258" w:type="pct"/>
            <w:tcBorders>
              <w:top w:val="single" w:sz="8" w:space="0" w:color="auto"/>
              <w:bottom w:val="nil"/>
            </w:tcBorders>
            <w:shd w:val="clear" w:color="auto" w:fill="DEEAF6"/>
            <w:noWrap/>
            <w:hideMark/>
          </w:tcPr>
          <w:p w14:paraId="2531F3BE" w14:textId="77777777" w:rsidR="00E84312" w:rsidRPr="004D0272" w:rsidRDefault="00E84312" w:rsidP="00AF0889">
            <w:pPr>
              <w:spacing w:before="40" w:after="20"/>
              <w:jc w:val="center"/>
              <w:rPr>
                <w:rFonts w:eastAsia="Times New Roman"/>
                <w:b/>
                <w:color w:val="000000"/>
                <w:sz w:val="20"/>
                <w:szCs w:val="20"/>
              </w:rPr>
            </w:pPr>
            <w:r w:rsidRPr="004D0272">
              <w:rPr>
                <w:rFonts w:eastAsia="Times New Roman"/>
                <w:b/>
                <w:color w:val="000000"/>
                <w:sz w:val="20"/>
                <w:szCs w:val="20"/>
              </w:rPr>
              <w:t>2018</w:t>
            </w:r>
          </w:p>
        </w:tc>
        <w:tc>
          <w:tcPr>
            <w:tcW w:w="884" w:type="pct"/>
            <w:tcBorders>
              <w:top w:val="single" w:sz="8" w:space="0" w:color="auto"/>
              <w:bottom w:val="nil"/>
            </w:tcBorders>
            <w:shd w:val="clear" w:color="auto" w:fill="DEEAF6"/>
            <w:noWrap/>
            <w:hideMark/>
          </w:tcPr>
          <w:p w14:paraId="086077A0" w14:textId="77777777" w:rsidR="00E84312" w:rsidRPr="004D0272" w:rsidRDefault="00E84312" w:rsidP="00AF0889">
            <w:pPr>
              <w:spacing w:before="40" w:after="20"/>
              <w:jc w:val="center"/>
              <w:rPr>
                <w:rFonts w:eastAsia="Times New Roman"/>
                <w:b/>
                <w:color w:val="000000"/>
                <w:sz w:val="20"/>
                <w:szCs w:val="20"/>
              </w:rPr>
            </w:pPr>
            <w:r w:rsidRPr="004D0272">
              <w:rPr>
                <w:rFonts w:eastAsia="Times New Roman"/>
                <w:b/>
                <w:color w:val="000000"/>
                <w:sz w:val="20"/>
                <w:szCs w:val="20"/>
              </w:rPr>
              <w:t>2019</w:t>
            </w:r>
          </w:p>
        </w:tc>
        <w:tc>
          <w:tcPr>
            <w:tcW w:w="979" w:type="pct"/>
            <w:vMerge w:val="restart"/>
            <w:tcBorders>
              <w:top w:val="single" w:sz="8" w:space="0" w:color="auto"/>
              <w:bottom w:val="nil"/>
              <w:right w:val="single" w:sz="8" w:space="0" w:color="auto"/>
            </w:tcBorders>
            <w:shd w:val="clear" w:color="auto" w:fill="DEEAF6"/>
            <w:noWrap/>
            <w:hideMark/>
          </w:tcPr>
          <w:p w14:paraId="77D9E00E" w14:textId="77777777" w:rsidR="00E84312" w:rsidRPr="004D0272" w:rsidRDefault="00E84312" w:rsidP="00502FEE">
            <w:pPr>
              <w:spacing w:before="180" w:after="20"/>
              <w:jc w:val="center"/>
              <w:rPr>
                <w:rFonts w:eastAsia="Times New Roman"/>
                <w:b/>
                <w:color w:val="000000"/>
                <w:sz w:val="20"/>
                <w:szCs w:val="20"/>
              </w:rPr>
            </w:pPr>
            <w:r w:rsidRPr="004D0272">
              <w:rPr>
                <w:rFonts w:eastAsia="Times New Roman"/>
                <w:b/>
                <w:color w:val="000000"/>
                <w:sz w:val="20"/>
                <w:szCs w:val="20"/>
              </w:rPr>
              <w:t>Performance Since Inception</w:t>
            </w:r>
          </w:p>
        </w:tc>
      </w:tr>
      <w:tr w:rsidR="00E84312" w:rsidRPr="004D0272" w14:paraId="31289DE2" w14:textId="77777777" w:rsidTr="000E793A">
        <w:trPr>
          <w:trHeight w:val="312"/>
        </w:trPr>
        <w:tc>
          <w:tcPr>
            <w:tcW w:w="1879" w:type="pct"/>
            <w:tcBorders>
              <w:top w:val="nil"/>
              <w:left w:val="single" w:sz="8" w:space="0" w:color="auto"/>
              <w:bottom w:val="single" w:sz="4" w:space="0" w:color="auto"/>
            </w:tcBorders>
            <w:shd w:val="clear" w:color="auto" w:fill="DEEAF6"/>
            <w:noWrap/>
            <w:hideMark/>
          </w:tcPr>
          <w:p w14:paraId="4230B841" w14:textId="77777777" w:rsidR="00E84312" w:rsidRPr="004D0272" w:rsidRDefault="00E84312" w:rsidP="00502FEE">
            <w:pPr>
              <w:spacing w:before="180" w:after="20"/>
              <w:jc w:val="center"/>
              <w:rPr>
                <w:rFonts w:eastAsia="Times New Roman"/>
                <w:b/>
                <w:bCs/>
                <w:i/>
                <w:iCs/>
                <w:color w:val="000000"/>
                <w:sz w:val="20"/>
                <w:szCs w:val="20"/>
              </w:rPr>
            </w:pPr>
            <w:r w:rsidRPr="004D0272">
              <w:rPr>
                <w:rFonts w:eastAsia="Times New Roman"/>
                <w:b/>
                <w:bCs/>
                <w:i/>
                <w:iCs/>
                <w:color w:val="000000"/>
                <w:sz w:val="20"/>
                <w:szCs w:val="20"/>
              </w:rPr>
              <w:t>Period Covered</w:t>
            </w:r>
          </w:p>
        </w:tc>
        <w:tc>
          <w:tcPr>
            <w:tcW w:w="1258" w:type="pct"/>
            <w:tcBorders>
              <w:top w:val="nil"/>
              <w:bottom w:val="single" w:sz="4" w:space="0" w:color="auto"/>
            </w:tcBorders>
            <w:shd w:val="clear" w:color="auto" w:fill="DEEAF6"/>
            <w:noWrap/>
            <w:hideMark/>
          </w:tcPr>
          <w:p w14:paraId="62195F91" w14:textId="77777777" w:rsidR="00E84312" w:rsidRPr="004D0272" w:rsidRDefault="00E84312" w:rsidP="00AF0889">
            <w:pPr>
              <w:spacing w:before="40" w:after="20"/>
              <w:jc w:val="center"/>
              <w:rPr>
                <w:rFonts w:eastAsia="Times New Roman"/>
                <w:b/>
                <w:i/>
                <w:color w:val="000000"/>
                <w:sz w:val="20"/>
                <w:szCs w:val="20"/>
              </w:rPr>
            </w:pPr>
            <w:r w:rsidRPr="004D0272">
              <w:rPr>
                <w:rFonts w:eastAsia="Times New Roman"/>
                <w:b/>
                <w:i/>
                <w:color w:val="000000"/>
                <w:sz w:val="20"/>
                <w:szCs w:val="20"/>
              </w:rPr>
              <w:t>Since inception on 10/4/2018</w:t>
            </w:r>
          </w:p>
        </w:tc>
        <w:tc>
          <w:tcPr>
            <w:tcW w:w="884" w:type="pct"/>
            <w:tcBorders>
              <w:top w:val="nil"/>
              <w:bottom w:val="single" w:sz="4" w:space="0" w:color="auto"/>
            </w:tcBorders>
            <w:shd w:val="clear" w:color="auto" w:fill="DEEAF6"/>
            <w:noWrap/>
            <w:hideMark/>
          </w:tcPr>
          <w:p w14:paraId="0274223C" w14:textId="77777777" w:rsidR="00E84312" w:rsidRPr="004D0272" w:rsidRDefault="00E84312" w:rsidP="00AF0889">
            <w:pPr>
              <w:spacing w:before="40" w:after="20"/>
              <w:jc w:val="center"/>
              <w:rPr>
                <w:rFonts w:eastAsia="Times New Roman"/>
                <w:b/>
                <w:i/>
                <w:color w:val="000000"/>
                <w:sz w:val="20"/>
                <w:szCs w:val="20"/>
              </w:rPr>
            </w:pPr>
            <w:r w:rsidRPr="004D0272">
              <w:rPr>
                <w:rFonts w:eastAsia="Times New Roman"/>
                <w:b/>
                <w:i/>
                <w:color w:val="000000"/>
                <w:sz w:val="20"/>
                <w:szCs w:val="20"/>
              </w:rPr>
              <w:t>Period to 2</w:t>
            </w:r>
            <w:r>
              <w:rPr>
                <w:rFonts w:eastAsia="Times New Roman"/>
                <w:b/>
                <w:i/>
                <w:color w:val="000000"/>
                <w:sz w:val="20"/>
                <w:szCs w:val="20"/>
              </w:rPr>
              <w:t>1</w:t>
            </w:r>
            <w:r w:rsidRPr="004D0272">
              <w:rPr>
                <w:rFonts w:eastAsia="Times New Roman"/>
                <w:b/>
                <w:i/>
                <w:color w:val="000000"/>
                <w:sz w:val="20"/>
                <w:szCs w:val="20"/>
              </w:rPr>
              <w:t>/</w:t>
            </w:r>
            <w:r>
              <w:rPr>
                <w:rFonts w:eastAsia="Times New Roman"/>
                <w:b/>
                <w:i/>
                <w:color w:val="000000"/>
                <w:sz w:val="20"/>
                <w:szCs w:val="20"/>
              </w:rPr>
              <w:t>6</w:t>
            </w:r>
            <w:r w:rsidRPr="004D0272">
              <w:rPr>
                <w:rFonts w:eastAsia="Times New Roman"/>
                <w:b/>
                <w:i/>
                <w:color w:val="000000"/>
                <w:sz w:val="20"/>
                <w:szCs w:val="20"/>
              </w:rPr>
              <w:t>/2019</w:t>
            </w:r>
          </w:p>
        </w:tc>
        <w:tc>
          <w:tcPr>
            <w:tcW w:w="979" w:type="pct"/>
            <w:vMerge/>
            <w:tcBorders>
              <w:top w:val="nil"/>
              <w:bottom w:val="single" w:sz="4" w:space="0" w:color="auto"/>
              <w:right w:val="single" w:sz="8" w:space="0" w:color="auto"/>
            </w:tcBorders>
            <w:shd w:val="clear" w:color="auto" w:fill="DEEAF6"/>
            <w:noWrap/>
            <w:hideMark/>
          </w:tcPr>
          <w:p w14:paraId="3C520222" w14:textId="77777777" w:rsidR="00E84312" w:rsidRPr="004D0272" w:rsidRDefault="00E84312" w:rsidP="00AF0889">
            <w:pPr>
              <w:spacing w:before="40" w:after="20"/>
              <w:jc w:val="center"/>
              <w:rPr>
                <w:rFonts w:eastAsia="Times New Roman"/>
                <w:color w:val="000000"/>
                <w:sz w:val="20"/>
                <w:szCs w:val="20"/>
              </w:rPr>
            </w:pPr>
          </w:p>
        </w:tc>
      </w:tr>
      <w:tr w:rsidR="00E84312" w:rsidRPr="004D0272" w14:paraId="15A21F6A" w14:textId="77777777" w:rsidTr="000E793A">
        <w:trPr>
          <w:trHeight w:val="312"/>
        </w:trPr>
        <w:tc>
          <w:tcPr>
            <w:tcW w:w="1879" w:type="pct"/>
            <w:tcBorders>
              <w:left w:val="single" w:sz="8" w:space="0" w:color="auto"/>
            </w:tcBorders>
            <w:noWrap/>
            <w:hideMark/>
          </w:tcPr>
          <w:p w14:paraId="7E3DB52C" w14:textId="77777777" w:rsidR="00E84312" w:rsidRPr="004D0272" w:rsidRDefault="00E84312" w:rsidP="00502FEE">
            <w:pPr>
              <w:spacing w:after="20"/>
              <w:rPr>
                <w:rFonts w:eastAsia="Times New Roman"/>
                <w:b/>
                <w:bCs/>
                <w:color w:val="000000"/>
                <w:sz w:val="20"/>
                <w:szCs w:val="20"/>
                <w:u w:val="single"/>
              </w:rPr>
            </w:pPr>
            <w:r w:rsidRPr="004D0272">
              <w:rPr>
                <w:rFonts w:eastAsia="Times New Roman"/>
                <w:b/>
                <w:bCs/>
                <w:color w:val="000000"/>
                <w:sz w:val="20"/>
                <w:szCs w:val="20"/>
                <w:u w:val="single"/>
              </w:rPr>
              <w:t xml:space="preserve">PORTFOLIO VALUES </w:t>
            </w:r>
          </w:p>
        </w:tc>
        <w:tc>
          <w:tcPr>
            <w:tcW w:w="1258" w:type="pct"/>
            <w:noWrap/>
            <w:hideMark/>
          </w:tcPr>
          <w:p w14:paraId="205C6387" w14:textId="77777777" w:rsidR="00E84312" w:rsidRPr="004D0272" w:rsidRDefault="00E84312" w:rsidP="00AF0889">
            <w:pPr>
              <w:spacing w:after="20"/>
              <w:jc w:val="center"/>
              <w:rPr>
                <w:rFonts w:eastAsia="Times New Roman"/>
                <w:color w:val="000000"/>
                <w:sz w:val="20"/>
                <w:szCs w:val="20"/>
              </w:rPr>
            </w:pPr>
          </w:p>
        </w:tc>
        <w:tc>
          <w:tcPr>
            <w:tcW w:w="884" w:type="pct"/>
            <w:noWrap/>
            <w:hideMark/>
          </w:tcPr>
          <w:p w14:paraId="13630657" w14:textId="77777777" w:rsidR="00E84312" w:rsidRPr="004D0272" w:rsidRDefault="00E84312" w:rsidP="00AF0889">
            <w:pPr>
              <w:spacing w:after="20"/>
              <w:jc w:val="center"/>
              <w:rPr>
                <w:rFonts w:eastAsia="Times New Roman"/>
                <w:color w:val="000000"/>
                <w:sz w:val="20"/>
                <w:szCs w:val="20"/>
              </w:rPr>
            </w:pPr>
          </w:p>
        </w:tc>
        <w:tc>
          <w:tcPr>
            <w:tcW w:w="979" w:type="pct"/>
            <w:tcBorders>
              <w:right w:val="single" w:sz="8" w:space="0" w:color="auto"/>
            </w:tcBorders>
            <w:noWrap/>
            <w:hideMark/>
          </w:tcPr>
          <w:p w14:paraId="58F6F858" w14:textId="77777777" w:rsidR="00E84312" w:rsidRPr="004D0272" w:rsidRDefault="00E84312" w:rsidP="00AF0889">
            <w:pPr>
              <w:spacing w:after="20"/>
              <w:jc w:val="center"/>
              <w:rPr>
                <w:rFonts w:eastAsia="Times New Roman"/>
                <w:color w:val="000000"/>
                <w:sz w:val="20"/>
                <w:szCs w:val="20"/>
              </w:rPr>
            </w:pPr>
          </w:p>
        </w:tc>
      </w:tr>
      <w:tr w:rsidR="00E84312" w:rsidRPr="004D0272" w14:paraId="7232F422" w14:textId="77777777" w:rsidTr="000E793A">
        <w:trPr>
          <w:trHeight w:val="312"/>
        </w:trPr>
        <w:tc>
          <w:tcPr>
            <w:tcW w:w="1879" w:type="pct"/>
            <w:tcBorders>
              <w:left w:val="single" w:sz="8" w:space="0" w:color="auto"/>
            </w:tcBorders>
            <w:noWrap/>
            <w:hideMark/>
          </w:tcPr>
          <w:p w14:paraId="079BD803" w14:textId="77777777" w:rsidR="00E84312" w:rsidRPr="004D0272" w:rsidRDefault="00E84312" w:rsidP="00AF0889">
            <w:pPr>
              <w:spacing w:before="40" w:after="20"/>
              <w:rPr>
                <w:rFonts w:eastAsia="Times New Roman"/>
                <w:color w:val="000000"/>
                <w:sz w:val="20"/>
                <w:szCs w:val="20"/>
              </w:rPr>
            </w:pPr>
            <w:r w:rsidRPr="004D0272">
              <w:rPr>
                <w:rFonts w:eastAsia="Times New Roman"/>
                <w:color w:val="000000"/>
                <w:sz w:val="20"/>
                <w:szCs w:val="20"/>
              </w:rPr>
              <w:t>Opening Portfolio Value in BT Panorama</w:t>
            </w:r>
          </w:p>
        </w:tc>
        <w:tc>
          <w:tcPr>
            <w:tcW w:w="1258" w:type="pct"/>
            <w:noWrap/>
            <w:hideMark/>
          </w:tcPr>
          <w:p w14:paraId="00BAAEE7" w14:textId="56668B16" w:rsidR="00E84312" w:rsidRPr="004D0272" w:rsidRDefault="00E84312" w:rsidP="00AF0889">
            <w:pPr>
              <w:spacing w:before="40" w:after="20"/>
              <w:jc w:val="center"/>
              <w:rPr>
                <w:rFonts w:eastAsia="Times New Roman"/>
                <w:color w:val="000000"/>
                <w:sz w:val="20"/>
                <w:szCs w:val="20"/>
              </w:rPr>
            </w:pPr>
            <w:r w:rsidRPr="004D0272">
              <w:rPr>
                <w:rFonts w:eastAsia="Times New Roman"/>
                <w:color w:val="000000"/>
                <w:sz w:val="20"/>
                <w:szCs w:val="20"/>
              </w:rPr>
              <w:t>$618,22</w:t>
            </w:r>
            <w:r w:rsidR="009B6972">
              <w:rPr>
                <w:rFonts w:eastAsia="Times New Roman"/>
                <w:color w:val="000000"/>
                <w:sz w:val="20"/>
                <w:szCs w:val="20"/>
              </w:rPr>
              <w:t>5</w:t>
            </w:r>
          </w:p>
        </w:tc>
        <w:tc>
          <w:tcPr>
            <w:tcW w:w="884" w:type="pct"/>
            <w:noWrap/>
          </w:tcPr>
          <w:p w14:paraId="14D49628" w14:textId="77777777" w:rsidR="00E84312" w:rsidRPr="004D0272" w:rsidRDefault="00E84312" w:rsidP="00AF0889">
            <w:pPr>
              <w:spacing w:before="40" w:after="20"/>
              <w:jc w:val="center"/>
              <w:rPr>
                <w:rFonts w:eastAsia="Times New Roman"/>
                <w:color w:val="000000"/>
                <w:sz w:val="20"/>
                <w:szCs w:val="20"/>
              </w:rPr>
            </w:pPr>
            <w:r w:rsidRPr="004D0272">
              <w:rPr>
                <w:rFonts w:eastAsia="Times New Roman"/>
                <w:color w:val="000000"/>
                <w:sz w:val="20"/>
                <w:szCs w:val="20"/>
              </w:rPr>
              <w:t>$60</w:t>
            </w:r>
            <w:r>
              <w:rPr>
                <w:rFonts w:eastAsia="Times New Roman"/>
                <w:color w:val="000000"/>
                <w:sz w:val="20"/>
                <w:szCs w:val="20"/>
              </w:rPr>
              <w:t>9</w:t>
            </w:r>
            <w:r w:rsidRPr="004D0272">
              <w:rPr>
                <w:rFonts w:eastAsia="Times New Roman"/>
                <w:color w:val="000000"/>
                <w:sz w:val="20"/>
                <w:szCs w:val="20"/>
              </w:rPr>
              <w:t>,</w:t>
            </w:r>
            <w:r>
              <w:rPr>
                <w:rFonts w:eastAsia="Times New Roman"/>
                <w:color w:val="000000"/>
                <w:sz w:val="20"/>
                <w:szCs w:val="20"/>
              </w:rPr>
              <w:t>898</w:t>
            </w:r>
          </w:p>
        </w:tc>
        <w:tc>
          <w:tcPr>
            <w:tcW w:w="979" w:type="pct"/>
            <w:tcBorders>
              <w:right w:val="single" w:sz="8" w:space="0" w:color="auto"/>
            </w:tcBorders>
            <w:noWrap/>
          </w:tcPr>
          <w:p w14:paraId="3A9145E3" w14:textId="77777777" w:rsidR="00E84312" w:rsidRPr="004D0272" w:rsidRDefault="00E84312" w:rsidP="00AF0889">
            <w:pPr>
              <w:spacing w:before="40" w:after="20"/>
              <w:jc w:val="center"/>
              <w:rPr>
                <w:rFonts w:eastAsia="Times New Roman"/>
                <w:color w:val="000000"/>
                <w:sz w:val="20"/>
                <w:szCs w:val="20"/>
              </w:rPr>
            </w:pPr>
          </w:p>
        </w:tc>
      </w:tr>
      <w:tr w:rsidR="00E84312" w:rsidRPr="004D0272" w14:paraId="2DBDF7BD" w14:textId="77777777" w:rsidTr="000E793A">
        <w:trPr>
          <w:trHeight w:val="312"/>
        </w:trPr>
        <w:tc>
          <w:tcPr>
            <w:tcW w:w="1879" w:type="pct"/>
            <w:tcBorders>
              <w:left w:val="single" w:sz="8" w:space="0" w:color="auto"/>
              <w:bottom w:val="single" w:sz="4" w:space="0" w:color="auto"/>
            </w:tcBorders>
            <w:noWrap/>
            <w:hideMark/>
          </w:tcPr>
          <w:p w14:paraId="27CCBCA1" w14:textId="3265ED9D" w:rsidR="00E84312" w:rsidRPr="004D0272" w:rsidRDefault="007C7A95" w:rsidP="007C779F">
            <w:pPr>
              <w:tabs>
                <w:tab w:val="left" w:pos="2715"/>
              </w:tabs>
              <w:spacing w:before="40" w:after="20"/>
              <w:rPr>
                <w:rFonts w:eastAsia="Times New Roman"/>
                <w:color w:val="000000"/>
                <w:sz w:val="20"/>
                <w:szCs w:val="20"/>
              </w:rPr>
            </w:pPr>
            <w:r>
              <w:rPr>
                <w:rFonts w:eastAsia="Times New Roman"/>
                <w:color w:val="000000"/>
                <w:sz w:val="20"/>
                <w:szCs w:val="20"/>
              </w:rPr>
              <w:t xml:space="preserve">  D</w:t>
            </w:r>
            <w:r w:rsidR="00E84312" w:rsidRPr="004D0272">
              <w:rPr>
                <w:rFonts w:eastAsia="Times New Roman"/>
                <w:color w:val="000000"/>
                <w:sz w:val="20"/>
                <w:szCs w:val="20"/>
              </w:rPr>
              <w:t xml:space="preserve">istribution </w:t>
            </w:r>
            <w:r w:rsidR="007C779F">
              <w:rPr>
                <w:rFonts w:eastAsia="Times New Roman"/>
                <w:color w:val="000000"/>
                <w:sz w:val="20"/>
                <w:szCs w:val="20"/>
              </w:rPr>
              <w:t>R</w:t>
            </w:r>
            <w:r w:rsidR="00E84312" w:rsidRPr="004D0272">
              <w:rPr>
                <w:rFonts w:eastAsia="Times New Roman"/>
                <w:color w:val="000000"/>
                <w:sz w:val="20"/>
                <w:szCs w:val="20"/>
              </w:rPr>
              <w:t xml:space="preserve">elated to </w:t>
            </w:r>
            <w:r w:rsidR="007C779F">
              <w:rPr>
                <w:rFonts w:eastAsia="Times New Roman"/>
                <w:color w:val="000000"/>
                <w:sz w:val="20"/>
                <w:szCs w:val="20"/>
              </w:rPr>
              <w:t>P</w:t>
            </w:r>
            <w:r w:rsidR="00E84312" w:rsidRPr="004D0272">
              <w:rPr>
                <w:rFonts w:eastAsia="Times New Roman"/>
                <w:color w:val="000000"/>
                <w:sz w:val="20"/>
                <w:szCs w:val="20"/>
              </w:rPr>
              <w:t xml:space="preserve">rior </w:t>
            </w:r>
            <w:r w:rsidR="007C779F">
              <w:rPr>
                <w:rFonts w:eastAsia="Times New Roman"/>
                <w:color w:val="000000"/>
                <w:sz w:val="20"/>
                <w:szCs w:val="20"/>
              </w:rPr>
              <w:t>P</w:t>
            </w:r>
            <w:r w:rsidR="00E84312" w:rsidRPr="004D0272">
              <w:rPr>
                <w:rFonts w:eastAsia="Times New Roman"/>
                <w:color w:val="000000"/>
                <w:sz w:val="20"/>
                <w:szCs w:val="20"/>
              </w:rPr>
              <w:t>eriod</w:t>
            </w:r>
          </w:p>
        </w:tc>
        <w:tc>
          <w:tcPr>
            <w:tcW w:w="1258" w:type="pct"/>
            <w:tcBorders>
              <w:bottom w:val="single" w:sz="4" w:space="0" w:color="auto"/>
            </w:tcBorders>
            <w:noWrap/>
            <w:hideMark/>
          </w:tcPr>
          <w:p w14:paraId="746D4520" w14:textId="77777777" w:rsidR="00E84312" w:rsidRPr="004D0272" w:rsidRDefault="00E84312" w:rsidP="00AF0889">
            <w:pPr>
              <w:spacing w:before="40" w:after="20"/>
              <w:jc w:val="center"/>
              <w:rPr>
                <w:rFonts w:eastAsia="Times New Roman"/>
                <w:color w:val="000000"/>
                <w:sz w:val="20"/>
                <w:szCs w:val="20"/>
              </w:rPr>
            </w:pPr>
            <w:r w:rsidRPr="004D0272">
              <w:rPr>
                <w:rFonts w:eastAsia="Times New Roman"/>
                <w:color w:val="000000"/>
                <w:sz w:val="20"/>
                <w:szCs w:val="20"/>
              </w:rPr>
              <w:t>-</w:t>
            </w:r>
          </w:p>
        </w:tc>
        <w:tc>
          <w:tcPr>
            <w:tcW w:w="884" w:type="pct"/>
            <w:tcBorders>
              <w:bottom w:val="single" w:sz="4" w:space="0" w:color="auto"/>
            </w:tcBorders>
            <w:noWrap/>
          </w:tcPr>
          <w:p w14:paraId="1F01D842" w14:textId="77777777" w:rsidR="00E84312" w:rsidRPr="004D0272" w:rsidRDefault="00E84312" w:rsidP="00AF0889">
            <w:pPr>
              <w:spacing w:before="40" w:after="20"/>
              <w:jc w:val="center"/>
              <w:rPr>
                <w:rFonts w:eastAsia="Times New Roman"/>
                <w:color w:val="000000"/>
                <w:sz w:val="20"/>
                <w:szCs w:val="20"/>
              </w:rPr>
            </w:pPr>
            <w:r w:rsidRPr="004D0272">
              <w:rPr>
                <w:rFonts w:eastAsia="Times New Roman"/>
                <w:color w:val="000000"/>
                <w:sz w:val="20"/>
                <w:szCs w:val="20"/>
              </w:rPr>
              <w:t>-$19,</w:t>
            </w:r>
            <w:r>
              <w:rPr>
                <w:rFonts w:eastAsia="Times New Roman"/>
                <w:color w:val="000000"/>
                <w:sz w:val="20"/>
                <w:szCs w:val="20"/>
              </w:rPr>
              <w:t>762</w:t>
            </w:r>
          </w:p>
        </w:tc>
        <w:tc>
          <w:tcPr>
            <w:tcW w:w="979" w:type="pct"/>
            <w:tcBorders>
              <w:bottom w:val="single" w:sz="4" w:space="0" w:color="auto"/>
              <w:right w:val="single" w:sz="8" w:space="0" w:color="auto"/>
            </w:tcBorders>
            <w:noWrap/>
          </w:tcPr>
          <w:p w14:paraId="24D22ABA" w14:textId="77777777" w:rsidR="00E84312" w:rsidRPr="004D0272" w:rsidRDefault="00E84312" w:rsidP="00AF0889">
            <w:pPr>
              <w:spacing w:before="40" w:after="20"/>
              <w:jc w:val="center"/>
              <w:rPr>
                <w:rFonts w:eastAsia="Times New Roman"/>
                <w:color w:val="000000"/>
                <w:sz w:val="20"/>
                <w:szCs w:val="20"/>
              </w:rPr>
            </w:pPr>
          </w:p>
        </w:tc>
      </w:tr>
      <w:tr w:rsidR="00E84312" w:rsidRPr="004D0272" w14:paraId="69AA02CB" w14:textId="77777777" w:rsidTr="000E793A">
        <w:trPr>
          <w:trHeight w:val="312"/>
        </w:trPr>
        <w:tc>
          <w:tcPr>
            <w:tcW w:w="1879" w:type="pct"/>
            <w:tcBorders>
              <w:top w:val="single" w:sz="4" w:space="0" w:color="auto"/>
              <w:left w:val="single" w:sz="8" w:space="0" w:color="auto"/>
              <w:bottom w:val="single" w:sz="4" w:space="0" w:color="auto"/>
            </w:tcBorders>
            <w:noWrap/>
            <w:hideMark/>
          </w:tcPr>
          <w:p w14:paraId="6BD5E327" w14:textId="77777777" w:rsidR="00E84312" w:rsidRPr="004D0272" w:rsidRDefault="00E84312" w:rsidP="00AF0889">
            <w:pPr>
              <w:spacing w:before="40" w:after="20"/>
              <w:rPr>
                <w:rFonts w:eastAsia="Times New Roman"/>
                <w:color w:val="000000"/>
                <w:sz w:val="20"/>
                <w:szCs w:val="20"/>
              </w:rPr>
            </w:pPr>
            <w:r w:rsidRPr="004D0272">
              <w:rPr>
                <w:rFonts w:eastAsia="Times New Roman"/>
                <w:color w:val="000000"/>
                <w:sz w:val="20"/>
                <w:szCs w:val="20"/>
              </w:rPr>
              <w:t xml:space="preserve">Adjusted Opening Portfolio Value </w:t>
            </w:r>
          </w:p>
        </w:tc>
        <w:tc>
          <w:tcPr>
            <w:tcW w:w="1258" w:type="pct"/>
            <w:tcBorders>
              <w:top w:val="single" w:sz="4" w:space="0" w:color="auto"/>
              <w:bottom w:val="single" w:sz="4" w:space="0" w:color="auto"/>
            </w:tcBorders>
            <w:noWrap/>
            <w:hideMark/>
          </w:tcPr>
          <w:p w14:paraId="077832AD" w14:textId="77777777" w:rsidR="00E84312" w:rsidRPr="004D0272" w:rsidRDefault="00E84312" w:rsidP="00AF0889">
            <w:pPr>
              <w:spacing w:before="40" w:after="20"/>
              <w:jc w:val="center"/>
              <w:rPr>
                <w:rFonts w:eastAsia="Times New Roman"/>
                <w:color w:val="000000"/>
                <w:sz w:val="20"/>
                <w:szCs w:val="20"/>
                <w:highlight w:val="yellow"/>
              </w:rPr>
            </w:pPr>
            <w:r w:rsidRPr="004D0272">
              <w:rPr>
                <w:rFonts w:eastAsia="Times New Roman"/>
                <w:color w:val="000000"/>
                <w:sz w:val="20"/>
                <w:szCs w:val="20"/>
              </w:rPr>
              <w:t>$618,225</w:t>
            </w:r>
          </w:p>
        </w:tc>
        <w:tc>
          <w:tcPr>
            <w:tcW w:w="884" w:type="pct"/>
            <w:tcBorders>
              <w:top w:val="single" w:sz="4" w:space="0" w:color="auto"/>
              <w:bottom w:val="single" w:sz="4" w:space="0" w:color="auto"/>
            </w:tcBorders>
            <w:noWrap/>
          </w:tcPr>
          <w:p w14:paraId="293CD2B8" w14:textId="77777777" w:rsidR="00E84312" w:rsidRPr="004D0272" w:rsidRDefault="00E84312" w:rsidP="00AF0889">
            <w:pPr>
              <w:spacing w:before="40" w:after="20"/>
              <w:jc w:val="center"/>
              <w:rPr>
                <w:rFonts w:eastAsia="Times New Roman"/>
                <w:color w:val="000000"/>
                <w:sz w:val="20"/>
                <w:szCs w:val="20"/>
              </w:rPr>
            </w:pPr>
            <w:r w:rsidRPr="004D0272">
              <w:rPr>
                <w:rFonts w:eastAsia="Times New Roman"/>
                <w:color w:val="000000"/>
                <w:sz w:val="20"/>
                <w:szCs w:val="20"/>
              </w:rPr>
              <w:t>$5</w:t>
            </w:r>
            <w:r>
              <w:rPr>
                <w:rFonts w:eastAsia="Times New Roman"/>
                <w:color w:val="000000"/>
                <w:sz w:val="20"/>
                <w:szCs w:val="20"/>
              </w:rPr>
              <w:t>90</w:t>
            </w:r>
            <w:r w:rsidRPr="004D0272">
              <w:rPr>
                <w:rFonts w:eastAsia="Times New Roman"/>
                <w:color w:val="000000"/>
                <w:sz w:val="20"/>
                <w:szCs w:val="20"/>
              </w:rPr>
              <w:t>,</w:t>
            </w:r>
            <w:r>
              <w:rPr>
                <w:rFonts w:eastAsia="Times New Roman"/>
                <w:color w:val="000000"/>
                <w:sz w:val="20"/>
                <w:szCs w:val="20"/>
              </w:rPr>
              <w:t>136</w:t>
            </w:r>
          </w:p>
        </w:tc>
        <w:tc>
          <w:tcPr>
            <w:tcW w:w="979" w:type="pct"/>
            <w:tcBorders>
              <w:top w:val="single" w:sz="4" w:space="0" w:color="auto"/>
              <w:bottom w:val="single" w:sz="4" w:space="0" w:color="auto"/>
              <w:right w:val="single" w:sz="8" w:space="0" w:color="auto"/>
            </w:tcBorders>
            <w:noWrap/>
          </w:tcPr>
          <w:p w14:paraId="1D6C9558" w14:textId="77777777" w:rsidR="00E84312" w:rsidRPr="004D0272" w:rsidRDefault="00E84312" w:rsidP="00AF0889">
            <w:pPr>
              <w:spacing w:before="40" w:after="20"/>
              <w:jc w:val="center"/>
              <w:rPr>
                <w:rFonts w:eastAsia="Times New Roman"/>
                <w:color w:val="000000"/>
                <w:sz w:val="20"/>
                <w:szCs w:val="20"/>
              </w:rPr>
            </w:pPr>
          </w:p>
        </w:tc>
      </w:tr>
      <w:tr w:rsidR="00E84312" w:rsidRPr="004D0272" w14:paraId="49B80AAD" w14:textId="77777777" w:rsidTr="000E793A">
        <w:trPr>
          <w:trHeight w:val="312"/>
        </w:trPr>
        <w:tc>
          <w:tcPr>
            <w:tcW w:w="1879" w:type="pct"/>
            <w:tcBorders>
              <w:top w:val="single" w:sz="4" w:space="0" w:color="auto"/>
              <w:left w:val="single" w:sz="8" w:space="0" w:color="auto"/>
              <w:bottom w:val="nil"/>
            </w:tcBorders>
            <w:noWrap/>
          </w:tcPr>
          <w:p w14:paraId="3A3A1DEF" w14:textId="77777777" w:rsidR="00E84312" w:rsidRPr="004D0272" w:rsidRDefault="00E84312" w:rsidP="00AF0889">
            <w:pPr>
              <w:spacing w:before="40" w:after="20"/>
              <w:rPr>
                <w:rFonts w:eastAsia="Times New Roman"/>
                <w:color w:val="000000"/>
                <w:sz w:val="20"/>
                <w:szCs w:val="20"/>
              </w:rPr>
            </w:pPr>
            <w:r w:rsidRPr="004D0272">
              <w:rPr>
                <w:rFonts w:eastAsia="Times New Roman"/>
                <w:color w:val="000000"/>
                <w:sz w:val="20"/>
                <w:szCs w:val="20"/>
              </w:rPr>
              <w:t>Closing Portfolio Value in BT Panorama</w:t>
            </w:r>
          </w:p>
        </w:tc>
        <w:tc>
          <w:tcPr>
            <w:tcW w:w="1258" w:type="pct"/>
            <w:tcBorders>
              <w:top w:val="single" w:sz="4" w:space="0" w:color="auto"/>
              <w:bottom w:val="nil"/>
            </w:tcBorders>
            <w:noWrap/>
            <w:hideMark/>
          </w:tcPr>
          <w:p w14:paraId="629B1AC9" w14:textId="77777777" w:rsidR="00E84312" w:rsidRPr="004D0272" w:rsidRDefault="00E84312" w:rsidP="00AF0889">
            <w:pPr>
              <w:spacing w:before="40" w:after="20"/>
              <w:jc w:val="center"/>
              <w:rPr>
                <w:rFonts w:eastAsia="Times New Roman"/>
                <w:color w:val="000000"/>
                <w:sz w:val="20"/>
                <w:szCs w:val="20"/>
              </w:rPr>
            </w:pPr>
            <w:r w:rsidRPr="004D0272">
              <w:rPr>
                <w:rFonts w:eastAsia="Times New Roman"/>
                <w:color w:val="000000"/>
                <w:sz w:val="20"/>
                <w:szCs w:val="20"/>
              </w:rPr>
              <w:t>$608,599</w:t>
            </w:r>
          </w:p>
        </w:tc>
        <w:tc>
          <w:tcPr>
            <w:tcW w:w="884" w:type="pct"/>
            <w:tcBorders>
              <w:top w:val="single" w:sz="4" w:space="0" w:color="auto"/>
              <w:bottom w:val="nil"/>
            </w:tcBorders>
            <w:noWrap/>
          </w:tcPr>
          <w:p w14:paraId="735F7D5D" w14:textId="77777777" w:rsidR="00E84312" w:rsidRPr="004D0272" w:rsidRDefault="00E84312" w:rsidP="00AF0889">
            <w:pPr>
              <w:spacing w:before="40" w:after="20"/>
              <w:jc w:val="center"/>
              <w:rPr>
                <w:rFonts w:eastAsia="Times New Roman"/>
                <w:color w:val="000000"/>
                <w:sz w:val="20"/>
                <w:szCs w:val="20"/>
              </w:rPr>
            </w:pPr>
            <w:r w:rsidRPr="004D0272">
              <w:rPr>
                <w:rFonts w:eastAsia="Times New Roman"/>
                <w:color w:val="000000"/>
                <w:sz w:val="20"/>
                <w:szCs w:val="20"/>
              </w:rPr>
              <w:t>$6</w:t>
            </w:r>
            <w:r>
              <w:rPr>
                <w:rFonts w:eastAsia="Times New Roman"/>
                <w:color w:val="000000"/>
                <w:sz w:val="20"/>
                <w:szCs w:val="20"/>
              </w:rPr>
              <w:t>91</w:t>
            </w:r>
            <w:r w:rsidRPr="004D0272">
              <w:rPr>
                <w:rFonts w:eastAsia="Times New Roman"/>
                <w:color w:val="000000"/>
                <w:sz w:val="20"/>
                <w:szCs w:val="20"/>
              </w:rPr>
              <w:t>,</w:t>
            </w:r>
            <w:r>
              <w:rPr>
                <w:rFonts w:eastAsia="Times New Roman"/>
                <w:color w:val="000000"/>
                <w:sz w:val="20"/>
                <w:szCs w:val="20"/>
              </w:rPr>
              <w:t>029</w:t>
            </w:r>
          </w:p>
        </w:tc>
        <w:tc>
          <w:tcPr>
            <w:tcW w:w="979" w:type="pct"/>
            <w:tcBorders>
              <w:top w:val="single" w:sz="4" w:space="0" w:color="auto"/>
              <w:bottom w:val="nil"/>
              <w:right w:val="single" w:sz="8" w:space="0" w:color="auto"/>
            </w:tcBorders>
            <w:noWrap/>
          </w:tcPr>
          <w:p w14:paraId="31594BA7" w14:textId="77777777" w:rsidR="00E84312" w:rsidRPr="004D0272" w:rsidRDefault="00E84312" w:rsidP="00AF0889">
            <w:pPr>
              <w:spacing w:before="40" w:after="20"/>
              <w:jc w:val="center"/>
              <w:rPr>
                <w:rFonts w:eastAsia="Times New Roman"/>
                <w:color w:val="000000"/>
                <w:sz w:val="20"/>
                <w:szCs w:val="20"/>
              </w:rPr>
            </w:pPr>
          </w:p>
        </w:tc>
      </w:tr>
      <w:tr w:rsidR="00E84312" w:rsidRPr="004D0272" w14:paraId="2149B01C" w14:textId="77777777" w:rsidTr="000E793A">
        <w:trPr>
          <w:trHeight w:val="312"/>
        </w:trPr>
        <w:tc>
          <w:tcPr>
            <w:tcW w:w="1879" w:type="pct"/>
            <w:tcBorders>
              <w:top w:val="nil"/>
              <w:left w:val="single" w:sz="8" w:space="0" w:color="auto"/>
              <w:bottom w:val="nil"/>
            </w:tcBorders>
            <w:noWrap/>
          </w:tcPr>
          <w:p w14:paraId="347E73DA" w14:textId="6DE58E9F" w:rsidR="00E84312" w:rsidRPr="004D0272" w:rsidRDefault="007C7A95" w:rsidP="007C7A95">
            <w:pPr>
              <w:spacing w:before="40" w:after="20"/>
              <w:rPr>
                <w:rFonts w:eastAsia="Times New Roman"/>
                <w:color w:val="000000"/>
                <w:sz w:val="20"/>
                <w:szCs w:val="20"/>
              </w:rPr>
            </w:pPr>
            <w:r>
              <w:rPr>
                <w:rFonts w:eastAsia="Times New Roman"/>
                <w:color w:val="000000"/>
                <w:sz w:val="20"/>
                <w:szCs w:val="20"/>
              </w:rPr>
              <w:t xml:space="preserve">  </w:t>
            </w:r>
            <w:r w:rsidR="00E84312" w:rsidRPr="004D0272">
              <w:rPr>
                <w:rFonts w:eastAsia="Times New Roman"/>
                <w:color w:val="000000"/>
                <w:sz w:val="20"/>
                <w:szCs w:val="20"/>
              </w:rPr>
              <w:t>Franking Credits Accrued</w:t>
            </w:r>
          </w:p>
        </w:tc>
        <w:tc>
          <w:tcPr>
            <w:tcW w:w="1258" w:type="pct"/>
            <w:tcBorders>
              <w:top w:val="nil"/>
              <w:bottom w:val="nil"/>
            </w:tcBorders>
            <w:noWrap/>
          </w:tcPr>
          <w:p w14:paraId="722F4656" w14:textId="77777777" w:rsidR="00E84312" w:rsidRPr="004D0272" w:rsidRDefault="00E84312" w:rsidP="00AF0889">
            <w:pPr>
              <w:spacing w:before="40" w:after="20"/>
              <w:jc w:val="center"/>
              <w:rPr>
                <w:rFonts w:eastAsia="Times New Roman"/>
                <w:color w:val="000000"/>
                <w:sz w:val="20"/>
                <w:szCs w:val="20"/>
              </w:rPr>
            </w:pPr>
            <w:r w:rsidRPr="004D0272">
              <w:rPr>
                <w:rFonts w:eastAsia="Times New Roman"/>
                <w:color w:val="000000"/>
                <w:sz w:val="20"/>
                <w:szCs w:val="20"/>
              </w:rPr>
              <w:t>$1,300</w:t>
            </w:r>
          </w:p>
        </w:tc>
        <w:tc>
          <w:tcPr>
            <w:tcW w:w="884" w:type="pct"/>
            <w:tcBorders>
              <w:top w:val="nil"/>
              <w:bottom w:val="nil"/>
            </w:tcBorders>
            <w:noWrap/>
          </w:tcPr>
          <w:p w14:paraId="1AAA50C6" w14:textId="77777777" w:rsidR="00E84312" w:rsidRPr="004D0272" w:rsidRDefault="00E84312" w:rsidP="00AF0889">
            <w:pPr>
              <w:spacing w:before="40" w:after="20"/>
              <w:jc w:val="center"/>
              <w:rPr>
                <w:rFonts w:eastAsia="Times New Roman"/>
                <w:color w:val="000000"/>
                <w:sz w:val="20"/>
                <w:szCs w:val="20"/>
              </w:rPr>
            </w:pPr>
            <w:r w:rsidRPr="004D0272">
              <w:rPr>
                <w:rFonts w:eastAsia="Times New Roman"/>
                <w:color w:val="000000"/>
                <w:sz w:val="20"/>
                <w:szCs w:val="20"/>
              </w:rPr>
              <w:t>$</w:t>
            </w:r>
            <w:r>
              <w:rPr>
                <w:rFonts w:eastAsia="Times New Roman"/>
                <w:color w:val="000000"/>
                <w:sz w:val="20"/>
                <w:szCs w:val="20"/>
              </w:rPr>
              <w:t>1,981</w:t>
            </w:r>
          </w:p>
        </w:tc>
        <w:tc>
          <w:tcPr>
            <w:tcW w:w="979" w:type="pct"/>
            <w:tcBorders>
              <w:top w:val="nil"/>
              <w:bottom w:val="nil"/>
              <w:right w:val="single" w:sz="8" w:space="0" w:color="auto"/>
            </w:tcBorders>
            <w:noWrap/>
          </w:tcPr>
          <w:p w14:paraId="12E97567" w14:textId="77777777" w:rsidR="00E84312" w:rsidRPr="004D0272" w:rsidRDefault="00E84312" w:rsidP="00AF0889">
            <w:pPr>
              <w:spacing w:before="40" w:after="20"/>
              <w:jc w:val="center"/>
              <w:rPr>
                <w:rFonts w:eastAsia="Times New Roman"/>
                <w:color w:val="000000"/>
                <w:sz w:val="20"/>
                <w:szCs w:val="20"/>
              </w:rPr>
            </w:pPr>
          </w:p>
        </w:tc>
      </w:tr>
      <w:tr w:rsidR="00E84312" w:rsidRPr="004D0272" w14:paraId="66A775E8" w14:textId="77777777" w:rsidTr="000E793A">
        <w:trPr>
          <w:trHeight w:val="312"/>
        </w:trPr>
        <w:tc>
          <w:tcPr>
            <w:tcW w:w="1879" w:type="pct"/>
            <w:tcBorders>
              <w:top w:val="single" w:sz="4" w:space="0" w:color="auto"/>
              <w:left w:val="single" w:sz="8" w:space="0" w:color="auto"/>
              <w:bottom w:val="double" w:sz="4" w:space="0" w:color="auto"/>
            </w:tcBorders>
            <w:noWrap/>
          </w:tcPr>
          <w:p w14:paraId="22F5E4C9" w14:textId="77777777" w:rsidR="00E84312" w:rsidRPr="004D0272" w:rsidRDefault="00E84312" w:rsidP="00AF0889">
            <w:pPr>
              <w:spacing w:before="40" w:after="20"/>
              <w:rPr>
                <w:rFonts w:eastAsia="Times New Roman"/>
                <w:b/>
                <w:color w:val="000000"/>
                <w:sz w:val="20"/>
                <w:szCs w:val="20"/>
              </w:rPr>
            </w:pPr>
            <w:r w:rsidRPr="004D0272">
              <w:rPr>
                <w:rFonts w:eastAsia="Times New Roman"/>
                <w:b/>
                <w:color w:val="000000"/>
                <w:sz w:val="20"/>
                <w:szCs w:val="20"/>
              </w:rPr>
              <w:t xml:space="preserve">Total Portfolio Value </w:t>
            </w:r>
          </w:p>
        </w:tc>
        <w:tc>
          <w:tcPr>
            <w:tcW w:w="1258" w:type="pct"/>
            <w:tcBorders>
              <w:top w:val="single" w:sz="4" w:space="0" w:color="auto"/>
              <w:bottom w:val="double" w:sz="4" w:space="0" w:color="auto"/>
            </w:tcBorders>
            <w:noWrap/>
          </w:tcPr>
          <w:p w14:paraId="4E56B8DA" w14:textId="77777777" w:rsidR="00E84312" w:rsidRPr="004D0272" w:rsidRDefault="00E84312" w:rsidP="00AF0889">
            <w:pPr>
              <w:spacing w:before="40" w:after="20"/>
              <w:jc w:val="center"/>
              <w:rPr>
                <w:rFonts w:eastAsia="Times New Roman"/>
                <w:b/>
                <w:color w:val="000000"/>
                <w:sz w:val="20"/>
                <w:szCs w:val="20"/>
              </w:rPr>
            </w:pPr>
            <w:r w:rsidRPr="004D0272">
              <w:rPr>
                <w:rFonts w:eastAsia="Times New Roman"/>
                <w:b/>
                <w:color w:val="000000"/>
                <w:sz w:val="20"/>
                <w:szCs w:val="20"/>
              </w:rPr>
              <w:t>$609,898</w:t>
            </w:r>
          </w:p>
        </w:tc>
        <w:tc>
          <w:tcPr>
            <w:tcW w:w="884" w:type="pct"/>
            <w:tcBorders>
              <w:top w:val="single" w:sz="4" w:space="0" w:color="auto"/>
              <w:bottom w:val="double" w:sz="4" w:space="0" w:color="auto"/>
            </w:tcBorders>
            <w:noWrap/>
          </w:tcPr>
          <w:p w14:paraId="6FFE681F" w14:textId="77777777" w:rsidR="00E84312" w:rsidRPr="004D0272" w:rsidRDefault="00E84312" w:rsidP="00AF0889">
            <w:pPr>
              <w:spacing w:before="40" w:after="20"/>
              <w:jc w:val="center"/>
              <w:rPr>
                <w:rFonts w:eastAsia="Times New Roman"/>
                <w:b/>
                <w:color w:val="000000"/>
                <w:sz w:val="20"/>
                <w:szCs w:val="20"/>
              </w:rPr>
            </w:pPr>
            <w:r w:rsidRPr="004D0272">
              <w:rPr>
                <w:rFonts w:eastAsia="Times New Roman"/>
                <w:b/>
                <w:color w:val="000000"/>
                <w:sz w:val="20"/>
                <w:szCs w:val="20"/>
              </w:rPr>
              <w:t>$6</w:t>
            </w:r>
            <w:r>
              <w:rPr>
                <w:rFonts w:eastAsia="Times New Roman"/>
                <w:b/>
                <w:color w:val="000000"/>
                <w:sz w:val="20"/>
                <w:szCs w:val="20"/>
              </w:rPr>
              <w:t>93</w:t>
            </w:r>
            <w:r w:rsidRPr="004D0272">
              <w:rPr>
                <w:rFonts w:eastAsia="Times New Roman"/>
                <w:b/>
                <w:color w:val="000000"/>
                <w:sz w:val="20"/>
                <w:szCs w:val="20"/>
              </w:rPr>
              <w:t>,</w:t>
            </w:r>
            <w:r>
              <w:rPr>
                <w:rFonts w:eastAsia="Times New Roman"/>
                <w:b/>
                <w:color w:val="000000"/>
                <w:sz w:val="20"/>
                <w:szCs w:val="20"/>
              </w:rPr>
              <w:t>010</w:t>
            </w:r>
          </w:p>
        </w:tc>
        <w:tc>
          <w:tcPr>
            <w:tcW w:w="979" w:type="pct"/>
            <w:tcBorders>
              <w:top w:val="single" w:sz="4" w:space="0" w:color="auto"/>
              <w:bottom w:val="double" w:sz="4" w:space="0" w:color="auto"/>
              <w:right w:val="single" w:sz="8" w:space="0" w:color="auto"/>
            </w:tcBorders>
            <w:noWrap/>
          </w:tcPr>
          <w:p w14:paraId="0DED60CE" w14:textId="77777777" w:rsidR="00E84312" w:rsidRPr="004D0272" w:rsidRDefault="00E84312" w:rsidP="00AF0889">
            <w:pPr>
              <w:spacing w:before="40" w:after="20"/>
              <w:jc w:val="center"/>
              <w:rPr>
                <w:rFonts w:eastAsia="Times New Roman"/>
                <w:color w:val="000000"/>
                <w:sz w:val="20"/>
                <w:szCs w:val="20"/>
              </w:rPr>
            </w:pPr>
          </w:p>
        </w:tc>
      </w:tr>
      <w:tr w:rsidR="00E84312" w:rsidRPr="004D0272" w14:paraId="73E01493" w14:textId="77777777" w:rsidTr="000E793A">
        <w:trPr>
          <w:trHeight w:val="312"/>
        </w:trPr>
        <w:tc>
          <w:tcPr>
            <w:tcW w:w="1879" w:type="pct"/>
            <w:tcBorders>
              <w:top w:val="double" w:sz="4" w:space="0" w:color="auto"/>
              <w:left w:val="single" w:sz="8" w:space="0" w:color="auto"/>
              <w:bottom w:val="nil"/>
            </w:tcBorders>
            <w:noWrap/>
          </w:tcPr>
          <w:p w14:paraId="41633287" w14:textId="77777777" w:rsidR="00E84312" w:rsidRPr="004D0272" w:rsidRDefault="00E84312" w:rsidP="00502FEE">
            <w:pPr>
              <w:spacing w:after="20"/>
              <w:rPr>
                <w:rFonts w:eastAsia="Times New Roman"/>
                <w:b/>
                <w:color w:val="000000"/>
                <w:sz w:val="20"/>
                <w:szCs w:val="20"/>
                <w:u w:val="single"/>
              </w:rPr>
            </w:pPr>
            <w:r w:rsidRPr="004D0272">
              <w:rPr>
                <w:rFonts w:eastAsia="Times New Roman"/>
                <w:b/>
                <w:color w:val="000000"/>
                <w:sz w:val="20"/>
                <w:szCs w:val="20"/>
                <w:u w:val="single"/>
              </w:rPr>
              <w:t>RETURNS</w:t>
            </w:r>
          </w:p>
        </w:tc>
        <w:tc>
          <w:tcPr>
            <w:tcW w:w="1258" w:type="pct"/>
            <w:tcBorders>
              <w:top w:val="double" w:sz="4" w:space="0" w:color="auto"/>
              <w:bottom w:val="nil"/>
            </w:tcBorders>
            <w:noWrap/>
          </w:tcPr>
          <w:p w14:paraId="15963871" w14:textId="77777777" w:rsidR="00E84312" w:rsidRPr="004D0272" w:rsidRDefault="00E84312" w:rsidP="00AF0889">
            <w:pPr>
              <w:spacing w:before="40" w:after="20"/>
              <w:jc w:val="center"/>
              <w:rPr>
                <w:rFonts w:eastAsia="Times New Roman"/>
                <w:color w:val="000000"/>
                <w:sz w:val="20"/>
                <w:szCs w:val="20"/>
              </w:rPr>
            </w:pPr>
          </w:p>
        </w:tc>
        <w:tc>
          <w:tcPr>
            <w:tcW w:w="884" w:type="pct"/>
            <w:tcBorders>
              <w:top w:val="double" w:sz="4" w:space="0" w:color="auto"/>
              <w:bottom w:val="nil"/>
            </w:tcBorders>
            <w:noWrap/>
          </w:tcPr>
          <w:p w14:paraId="3F0000E5" w14:textId="77777777" w:rsidR="00E84312" w:rsidRPr="004D0272" w:rsidRDefault="00E84312" w:rsidP="00AF0889">
            <w:pPr>
              <w:spacing w:before="40" w:after="20"/>
              <w:jc w:val="center"/>
              <w:rPr>
                <w:rFonts w:eastAsia="Times New Roman"/>
                <w:color w:val="000000"/>
                <w:sz w:val="20"/>
                <w:szCs w:val="20"/>
              </w:rPr>
            </w:pPr>
          </w:p>
        </w:tc>
        <w:tc>
          <w:tcPr>
            <w:tcW w:w="979" w:type="pct"/>
            <w:tcBorders>
              <w:top w:val="double" w:sz="4" w:space="0" w:color="auto"/>
              <w:bottom w:val="nil"/>
              <w:right w:val="single" w:sz="8" w:space="0" w:color="auto"/>
            </w:tcBorders>
            <w:noWrap/>
          </w:tcPr>
          <w:p w14:paraId="7E2F33B8" w14:textId="77777777" w:rsidR="00E84312" w:rsidRPr="004D0272" w:rsidRDefault="00E84312" w:rsidP="00AF0889">
            <w:pPr>
              <w:spacing w:before="40" w:after="20"/>
              <w:jc w:val="center"/>
              <w:rPr>
                <w:rFonts w:eastAsia="Times New Roman"/>
                <w:color w:val="000000"/>
                <w:sz w:val="20"/>
                <w:szCs w:val="20"/>
              </w:rPr>
            </w:pPr>
          </w:p>
        </w:tc>
      </w:tr>
      <w:tr w:rsidR="00E84312" w:rsidRPr="004D0272" w14:paraId="50CB16A5" w14:textId="77777777" w:rsidTr="000E793A">
        <w:trPr>
          <w:trHeight w:val="312"/>
        </w:trPr>
        <w:tc>
          <w:tcPr>
            <w:tcW w:w="1879" w:type="pct"/>
            <w:tcBorders>
              <w:top w:val="nil"/>
              <w:left w:val="single" w:sz="8" w:space="0" w:color="auto"/>
              <w:bottom w:val="nil"/>
            </w:tcBorders>
            <w:noWrap/>
            <w:hideMark/>
          </w:tcPr>
          <w:p w14:paraId="7682399E" w14:textId="77777777" w:rsidR="00E84312" w:rsidRPr="004D0272" w:rsidRDefault="00E84312" w:rsidP="00AF0889">
            <w:pPr>
              <w:spacing w:before="40" w:after="20"/>
              <w:rPr>
                <w:rFonts w:eastAsia="Times New Roman"/>
                <w:b/>
                <w:color w:val="000000"/>
                <w:sz w:val="20"/>
                <w:szCs w:val="20"/>
              </w:rPr>
            </w:pPr>
            <w:r w:rsidRPr="004D0272">
              <w:rPr>
                <w:rFonts w:eastAsia="Times New Roman"/>
                <w:b/>
                <w:color w:val="000000"/>
                <w:sz w:val="20"/>
                <w:szCs w:val="20"/>
              </w:rPr>
              <w:t>Total Portfolio Return</w:t>
            </w:r>
          </w:p>
        </w:tc>
        <w:tc>
          <w:tcPr>
            <w:tcW w:w="1258" w:type="pct"/>
            <w:tcBorders>
              <w:top w:val="nil"/>
              <w:bottom w:val="nil"/>
            </w:tcBorders>
            <w:noWrap/>
            <w:hideMark/>
          </w:tcPr>
          <w:p w14:paraId="7CE96A17" w14:textId="77777777" w:rsidR="00E84312" w:rsidRPr="004D0272" w:rsidRDefault="00E84312" w:rsidP="00AF0889">
            <w:pPr>
              <w:spacing w:before="40" w:after="20"/>
              <w:jc w:val="center"/>
              <w:rPr>
                <w:rFonts w:eastAsia="Times New Roman"/>
                <w:b/>
                <w:color w:val="000000"/>
                <w:sz w:val="20"/>
                <w:szCs w:val="20"/>
              </w:rPr>
            </w:pPr>
            <w:r w:rsidRPr="004D0272">
              <w:rPr>
                <w:rFonts w:eastAsia="Times New Roman"/>
                <w:b/>
                <w:color w:val="000000"/>
                <w:sz w:val="20"/>
                <w:szCs w:val="20"/>
              </w:rPr>
              <w:t>-1.35%</w:t>
            </w:r>
          </w:p>
        </w:tc>
        <w:tc>
          <w:tcPr>
            <w:tcW w:w="884" w:type="pct"/>
            <w:tcBorders>
              <w:top w:val="nil"/>
              <w:bottom w:val="nil"/>
            </w:tcBorders>
            <w:noWrap/>
            <w:hideMark/>
          </w:tcPr>
          <w:p w14:paraId="2197F2C3" w14:textId="77777777" w:rsidR="00E84312" w:rsidRPr="004D0272" w:rsidRDefault="00E84312" w:rsidP="00AF0889">
            <w:pPr>
              <w:spacing w:before="40" w:after="20"/>
              <w:jc w:val="center"/>
              <w:rPr>
                <w:rFonts w:eastAsia="Times New Roman"/>
                <w:b/>
                <w:color w:val="000000"/>
                <w:sz w:val="20"/>
                <w:szCs w:val="20"/>
              </w:rPr>
            </w:pPr>
            <w:r w:rsidRPr="004D0272">
              <w:rPr>
                <w:rFonts w:eastAsia="Times New Roman"/>
                <w:b/>
                <w:color w:val="000000"/>
                <w:sz w:val="20"/>
                <w:szCs w:val="20"/>
              </w:rPr>
              <w:t>1</w:t>
            </w:r>
            <w:r>
              <w:rPr>
                <w:rFonts w:eastAsia="Times New Roman"/>
                <w:b/>
                <w:color w:val="000000"/>
                <w:sz w:val="20"/>
                <w:szCs w:val="20"/>
              </w:rPr>
              <w:t>7</w:t>
            </w:r>
            <w:r w:rsidRPr="004D0272">
              <w:rPr>
                <w:rFonts w:eastAsia="Times New Roman"/>
                <w:b/>
                <w:color w:val="000000"/>
                <w:sz w:val="20"/>
                <w:szCs w:val="20"/>
              </w:rPr>
              <w:t>.</w:t>
            </w:r>
            <w:r>
              <w:rPr>
                <w:rFonts w:eastAsia="Times New Roman"/>
                <w:b/>
                <w:color w:val="000000"/>
                <w:sz w:val="20"/>
                <w:szCs w:val="20"/>
              </w:rPr>
              <w:t>43</w:t>
            </w:r>
            <w:r w:rsidRPr="004D0272">
              <w:rPr>
                <w:rFonts w:eastAsia="Times New Roman"/>
                <w:b/>
                <w:color w:val="000000"/>
                <w:sz w:val="20"/>
                <w:szCs w:val="20"/>
              </w:rPr>
              <w:t>%</w:t>
            </w:r>
          </w:p>
        </w:tc>
        <w:tc>
          <w:tcPr>
            <w:tcW w:w="979" w:type="pct"/>
            <w:tcBorders>
              <w:top w:val="nil"/>
              <w:bottom w:val="nil"/>
              <w:right w:val="single" w:sz="8" w:space="0" w:color="auto"/>
            </w:tcBorders>
            <w:noWrap/>
            <w:hideMark/>
          </w:tcPr>
          <w:p w14:paraId="5D48E6CC" w14:textId="77777777" w:rsidR="00E84312" w:rsidRPr="004D0272" w:rsidRDefault="00E84312" w:rsidP="00AF0889">
            <w:pPr>
              <w:spacing w:before="40" w:after="20"/>
              <w:jc w:val="center"/>
              <w:rPr>
                <w:rFonts w:eastAsia="Times New Roman"/>
                <w:b/>
                <w:color w:val="000000"/>
                <w:sz w:val="20"/>
                <w:szCs w:val="20"/>
              </w:rPr>
            </w:pPr>
            <w:r w:rsidRPr="004D0272">
              <w:rPr>
                <w:rFonts w:eastAsia="Times New Roman"/>
                <w:b/>
                <w:color w:val="000000"/>
                <w:sz w:val="20"/>
                <w:szCs w:val="20"/>
              </w:rPr>
              <w:t>1</w:t>
            </w:r>
            <w:r>
              <w:rPr>
                <w:rFonts w:eastAsia="Times New Roman"/>
                <w:b/>
                <w:color w:val="000000"/>
                <w:sz w:val="20"/>
                <w:szCs w:val="20"/>
              </w:rPr>
              <w:t>5</w:t>
            </w:r>
            <w:r w:rsidRPr="004D0272">
              <w:rPr>
                <w:rFonts w:eastAsia="Times New Roman"/>
                <w:b/>
                <w:color w:val="000000"/>
                <w:sz w:val="20"/>
                <w:szCs w:val="20"/>
              </w:rPr>
              <w:t>.</w:t>
            </w:r>
            <w:r>
              <w:rPr>
                <w:rFonts w:eastAsia="Times New Roman"/>
                <w:b/>
                <w:color w:val="000000"/>
                <w:sz w:val="20"/>
                <w:szCs w:val="20"/>
              </w:rPr>
              <w:t>85</w:t>
            </w:r>
            <w:r w:rsidRPr="004D0272">
              <w:rPr>
                <w:rFonts w:eastAsia="Times New Roman"/>
                <w:b/>
                <w:color w:val="000000"/>
                <w:sz w:val="20"/>
                <w:szCs w:val="20"/>
              </w:rPr>
              <w:t>%</w:t>
            </w:r>
          </w:p>
        </w:tc>
      </w:tr>
      <w:tr w:rsidR="00E84312" w:rsidRPr="004D0272" w14:paraId="1FFBE823" w14:textId="77777777" w:rsidTr="000E793A">
        <w:trPr>
          <w:trHeight w:val="312"/>
        </w:trPr>
        <w:tc>
          <w:tcPr>
            <w:tcW w:w="1879" w:type="pct"/>
            <w:tcBorders>
              <w:top w:val="nil"/>
              <w:left w:val="single" w:sz="8" w:space="0" w:color="auto"/>
              <w:bottom w:val="nil"/>
            </w:tcBorders>
            <w:noWrap/>
          </w:tcPr>
          <w:p w14:paraId="1A309F6C" w14:textId="1A9D59EF" w:rsidR="00E84312" w:rsidRPr="004D0272" w:rsidRDefault="00E84312" w:rsidP="00AF0889">
            <w:pPr>
              <w:spacing w:before="40" w:after="20"/>
              <w:rPr>
                <w:rFonts w:eastAsia="Times New Roman"/>
                <w:color w:val="000000"/>
                <w:sz w:val="20"/>
                <w:szCs w:val="20"/>
              </w:rPr>
            </w:pPr>
            <w:r w:rsidRPr="004D0272">
              <w:rPr>
                <w:rFonts w:eastAsia="Times New Roman"/>
                <w:color w:val="000000"/>
                <w:sz w:val="20"/>
                <w:szCs w:val="20"/>
              </w:rPr>
              <w:t>Target Return (CPI + 4.5%)</w:t>
            </w:r>
          </w:p>
        </w:tc>
        <w:tc>
          <w:tcPr>
            <w:tcW w:w="1258" w:type="pct"/>
            <w:tcBorders>
              <w:top w:val="nil"/>
              <w:bottom w:val="nil"/>
            </w:tcBorders>
            <w:noWrap/>
          </w:tcPr>
          <w:p w14:paraId="56609FCA" w14:textId="77777777" w:rsidR="00E84312" w:rsidRPr="004D0272" w:rsidRDefault="00E84312" w:rsidP="00AF0889">
            <w:pPr>
              <w:spacing w:before="40" w:after="20"/>
              <w:jc w:val="center"/>
              <w:rPr>
                <w:rFonts w:eastAsia="Times New Roman"/>
                <w:color w:val="000000"/>
                <w:sz w:val="20"/>
                <w:szCs w:val="20"/>
              </w:rPr>
            </w:pPr>
            <w:r w:rsidRPr="004D0272">
              <w:rPr>
                <w:rFonts w:eastAsia="Times New Roman"/>
                <w:color w:val="000000"/>
                <w:sz w:val="20"/>
                <w:szCs w:val="20"/>
              </w:rPr>
              <w:t>4.56%</w:t>
            </w:r>
          </w:p>
        </w:tc>
        <w:tc>
          <w:tcPr>
            <w:tcW w:w="884" w:type="pct"/>
            <w:tcBorders>
              <w:top w:val="nil"/>
              <w:bottom w:val="nil"/>
            </w:tcBorders>
            <w:noWrap/>
          </w:tcPr>
          <w:p w14:paraId="53DEF301" w14:textId="77777777" w:rsidR="00E84312" w:rsidRPr="004D0272" w:rsidRDefault="00E84312" w:rsidP="00AF0889">
            <w:pPr>
              <w:spacing w:before="40" w:after="20"/>
              <w:jc w:val="center"/>
              <w:rPr>
                <w:rFonts w:eastAsia="Times New Roman"/>
                <w:color w:val="000000"/>
                <w:sz w:val="20"/>
                <w:szCs w:val="20"/>
              </w:rPr>
            </w:pPr>
            <w:r>
              <w:rPr>
                <w:rFonts w:eastAsia="Times New Roman"/>
                <w:color w:val="000000"/>
                <w:sz w:val="20"/>
                <w:szCs w:val="20"/>
              </w:rPr>
              <w:t>2.20</w:t>
            </w:r>
            <w:r w:rsidRPr="004D0272">
              <w:rPr>
                <w:rFonts w:eastAsia="Times New Roman"/>
                <w:color w:val="000000"/>
                <w:sz w:val="20"/>
                <w:szCs w:val="20"/>
              </w:rPr>
              <w:t>%</w:t>
            </w:r>
          </w:p>
        </w:tc>
        <w:tc>
          <w:tcPr>
            <w:tcW w:w="979" w:type="pct"/>
            <w:tcBorders>
              <w:top w:val="nil"/>
              <w:bottom w:val="nil"/>
              <w:right w:val="single" w:sz="8" w:space="0" w:color="auto"/>
            </w:tcBorders>
            <w:noWrap/>
          </w:tcPr>
          <w:p w14:paraId="2B1D5969" w14:textId="77777777" w:rsidR="00E84312" w:rsidRPr="004D0272" w:rsidRDefault="00E84312" w:rsidP="00AF0889">
            <w:pPr>
              <w:spacing w:before="40" w:after="20"/>
              <w:jc w:val="center"/>
              <w:rPr>
                <w:rFonts w:eastAsia="Times New Roman"/>
                <w:color w:val="000000"/>
                <w:sz w:val="20"/>
                <w:szCs w:val="20"/>
              </w:rPr>
            </w:pPr>
            <w:r w:rsidRPr="004D0272">
              <w:rPr>
                <w:rFonts w:eastAsia="Times New Roman"/>
                <w:color w:val="000000"/>
                <w:sz w:val="20"/>
                <w:szCs w:val="20"/>
              </w:rPr>
              <w:t>6.</w:t>
            </w:r>
            <w:r>
              <w:rPr>
                <w:rFonts w:eastAsia="Times New Roman"/>
                <w:color w:val="000000"/>
                <w:sz w:val="20"/>
                <w:szCs w:val="20"/>
              </w:rPr>
              <w:t>86</w:t>
            </w:r>
            <w:r w:rsidRPr="004D0272">
              <w:rPr>
                <w:rFonts w:eastAsia="Times New Roman"/>
                <w:color w:val="000000"/>
                <w:sz w:val="20"/>
                <w:szCs w:val="20"/>
              </w:rPr>
              <w:t>%</w:t>
            </w:r>
          </w:p>
        </w:tc>
      </w:tr>
      <w:tr w:rsidR="00E84312" w:rsidRPr="004D0272" w14:paraId="6E3FA1DB" w14:textId="77777777" w:rsidTr="000E793A">
        <w:trPr>
          <w:trHeight w:val="312"/>
        </w:trPr>
        <w:tc>
          <w:tcPr>
            <w:tcW w:w="1879" w:type="pct"/>
            <w:tcBorders>
              <w:top w:val="nil"/>
              <w:left w:val="single" w:sz="8" w:space="0" w:color="auto"/>
              <w:bottom w:val="nil"/>
            </w:tcBorders>
            <w:noWrap/>
            <w:hideMark/>
          </w:tcPr>
          <w:p w14:paraId="1E055C23" w14:textId="77777777" w:rsidR="00E84312" w:rsidRPr="004D0272" w:rsidRDefault="00E84312" w:rsidP="00AF0889">
            <w:pPr>
              <w:spacing w:before="40" w:after="20"/>
              <w:rPr>
                <w:rFonts w:eastAsia="Times New Roman"/>
                <w:b/>
                <w:bCs/>
                <w:i/>
                <w:color w:val="000000"/>
                <w:sz w:val="20"/>
                <w:szCs w:val="20"/>
              </w:rPr>
            </w:pPr>
            <w:r w:rsidRPr="004D0272">
              <w:rPr>
                <w:rFonts w:eastAsia="Times New Roman"/>
                <w:b/>
                <w:bCs/>
                <w:i/>
                <w:color w:val="000000"/>
                <w:sz w:val="20"/>
                <w:szCs w:val="20"/>
              </w:rPr>
              <w:t>SMF Return vs. Target</w:t>
            </w:r>
          </w:p>
        </w:tc>
        <w:tc>
          <w:tcPr>
            <w:tcW w:w="1258" w:type="pct"/>
            <w:tcBorders>
              <w:top w:val="nil"/>
              <w:bottom w:val="nil"/>
            </w:tcBorders>
            <w:noWrap/>
            <w:hideMark/>
          </w:tcPr>
          <w:p w14:paraId="4EAC60E3" w14:textId="77777777" w:rsidR="00E84312" w:rsidRPr="004D0272" w:rsidRDefault="00E84312" w:rsidP="00AF0889">
            <w:pPr>
              <w:spacing w:before="40" w:after="20"/>
              <w:jc w:val="center"/>
              <w:rPr>
                <w:rFonts w:eastAsia="Times New Roman"/>
                <w:b/>
                <w:i/>
                <w:color w:val="000000"/>
                <w:sz w:val="20"/>
                <w:szCs w:val="20"/>
              </w:rPr>
            </w:pPr>
            <w:r w:rsidRPr="004D0272">
              <w:rPr>
                <w:rFonts w:eastAsia="Times New Roman"/>
                <w:b/>
                <w:i/>
                <w:color w:val="000000"/>
                <w:sz w:val="20"/>
                <w:szCs w:val="20"/>
              </w:rPr>
              <w:t>-5.91%</w:t>
            </w:r>
          </w:p>
        </w:tc>
        <w:tc>
          <w:tcPr>
            <w:tcW w:w="884" w:type="pct"/>
            <w:tcBorders>
              <w:top w:val="nil"/>
              <w:bottom w:val="nil"/>
            </w:tcBorders>
            <w:noWrap/>
            <w:hideMark/>
          </w:tcPr>
          <w:p w14:paraId="460DCAD1" w14:textId="77777777" w:rsidR="00E84312" w:rsidRPr="004D0272" w:rsidRDefault="00E84312" w:rsidP="00AF0889">
            <w:pPr>
              <w:spacing w:before="40" w:after="20"/>
              <w:jc w:val="center"/>
              <w:rPr>
                <w:rFonts w:eastAsia="Times New Roman"/>
                <w:b/>
                <w:i/>
                <w:color w:val="000000"/>
                <w:sz w:val="20"/>
                <w:szCs w:val="20"/>
              </w:rPr>
            </w:pPr>
            <w:r w:rsidRPr="004D0272">
              <w:rPr>
                <w:rFonts w:eastAsia="Times New Roman"/>
                <w:b/>
                <w:i/>
                <w:color w:val="000000"/>
                <w:sz w:val="20"/>
                <w:szCs w:val="20"/>
              </w:rPr>
              <w:t>1</w:t>
            </w:r>
            <w:r>
              <w:rPr>
                <w:rFonts w:eastAsia="Times New Roman"/>
                <w:b/>
                <w:i/>
                <w:color w:val="000000"/>
                <w:sz w:val="20"/>
                <w:szCs w:val="20"/>
              </w:rPr>
              <w:t>5.23</w:t>
            </w:r>
            <w:r w:rsidRPr="004D0272">
              <w:rPr>
                <w:rFonts w:eastAsia="Times New Roman"/>
                <w:b/>
                <w:i/>
                <w:color w:val="000000"/>
                <w:sz w:val="20"/>
                <w:szCs w:val="20"/>
              </w:rPr>
              <w:t>%</w:t>
            </w:r>
          </w:p>
        </w:tc>
        <w:tc>
          <w:tcPr>
            <w:tcW w:w="979" w:type="pct"/>
            <w:tcBorders>
              <w:top w:val="nil"/>
              <w:bottom w:val="nil"/>
              <w:right w:val="single" w:sz="8" w:space="0" w:color="auto"/>
            </w:tcBorders>
            <w:noWrap/>
            <w:hideMark/>
          </w:tcPr>
          <w:p w14:paraId="1A2A926A" w14:textId="77777777" w:rsidR="00E84312" w:rsidRPr="004D0272" w:rsidRDefault="00E84312" w:rsidP="00AF0889">
            <w:pPr>
              <w:spacing w:before="40" w:after="20"/>
              <w:jc w:val="center"/>
              <w:rPr>
                <w:rFonts w:eastAsia="Times New Roman"/>
                <w:b/>
                <w:i/>
                <w:color w:val="000000"/>
                <w:sz w:val="20"/>
                <w:szCs w:val="20"/>
              </w:rPr>
            </w:pPr>
            <w:r>
              <w:rPr>
                <w:rFonts w:eastAsia="Times New Roman"/>
                <w:b/>
                <w:i/>
                <w:color w:val="000000"/>
                <w:sz w:val="20"/>
                <w:szCs w:val="20"/>
              </w:rPr>
              <w:t>8.43</w:t>
            </w:r>
            <w:r w:rsidRPr="004D0272">
              <w:rPr>
                <w:rFonts w:eastAsia="Times New Roman"/>
                <w:b/>
                <w:i/>
                <w:color w:val="000000"/>
                <w:sz w:val="20"/>
                <w:szCs w:val="20"/>
              </w:rPr>
              <w:t>%</w:t>
            </w:r>
          </w:p>
        </w:tc>
      </w:tr>
      <w:tr w:rsidR="00E84312" w:rsidRPr="004D0272" w14:paraId="7656B9E7" w14:textId="77777777" w:rsidTr="000E793A">
        <w:trPr>
          <w:trHeight w:val="312"/>
        </w:trPr>
        <w:tc>
          <w:tcPr>
            <w:tcW w:w="1879" w:type="pct"/>
            <w:tcBorders>
              <w:top w:val="nil"/>
              <w:left w:val="single" w:sz="8" w:space="0" w:color="auto"/>
              <w:bottom w:val="nil"/>
            </w:tcBorders>
            <w:noWrap/>
          </w:tcPr>
          <w:p w14:paraId="1A3134FD" w14:textId="77777777" w:rsidR="00E84312" w:rsidRPr="004D0272" w:rsidRDefault="00E84312" w:rsidP="00AF0889">
            <w:pPr>
              <w:spacing w:before="40" w:after="20"/>
              <w:rPr>
                <w:rFonts w:eastAsia="Times New Roman"/>
                <w:bCs/>
                <w:color w:val="000000"/>
                <w:sz w:val="20"/>
                <w:szCs w:val="20"/>
              </w:rPr>
            </w:pPr>
            <w:r w:rsidRPr="004D0272">
              <w:rPr>
                <w:rFonts w:eastAsia="Times New Roman"/>
                <w:bCs/>
                <w:color w:val="000000"/>
                <w:sz w:val="20"/>
                <w:szCs w:val="20"/>
              </w:rPr>
              <w:t>Reference Portfolio Return</w:t>
            </w:r>
          </w:p>
        </w:tc>
        <w:tc>
          <w:tcPr>
            <w:tcW w:w="1258" w:type="pct"/>
            <w:tcBorders>
              <w:top w:val="nil"/>
              <w:bottom w:val="nil"/>
            </w:tcBorders>
            <w:noWrap/>
          </w:tcPr>
          <w:p w14:paraId="6CCA8D13" w14:textId="77777777" w:rsidR="00E84312" w:rsidRPr="004D0272" w:rsidRDefault="00E84312" w:rsidP="00AF0889">
            <w:pPr>
              <w:spacing w:before="40" w:after="20"/>
              <w:jc w:val="center"/>
              <w:rPr>
                <w:rFonts w:eastAsia="Times New Roman"/>
                <w:color w:val="000000"/>
                <w:sz w:val="20"/>
                <w:szCs w:val="20"/>
              </w:rPr>
            </w:pPr>
            <w:r w:rsidRPr="004D0272">
              <w:rPr>
                <w:rFonts w:eastAsia="Times New Roman"/>
                <w:color w:val="000000"/>
                <w:sz w:val="20"/>
                <w:szCs w:val="20"/>
              </w:rPr>
              <w:t>-0.24%</w:t>
            </w:r>
          </w:p>
        </w:tc>
        <w:tc>
          <w:tcPr>
            <w:tcW w:w="884" w:type="pct"/>
            <w:tcBorders>
              <w:top w:val="nil"/>
              <w:bottom w:val="nil"/>
            </w:tcBorders>
            <w:noWrap/>
          </w:tcPr>
          <w:p w14:paraId="3192F077" w14:textId="77777777" w:rsidR="00E84312" w:rsidRPr="004D0272" w:rsidRDefault="00E84312" w:rsidP="00AF0889">
            <w:pPr>
              <w:spacing w:before="40" w:after="20"/>
              <w:jc w:val="center"/>
              <w:rPr>
                <w:rFonts w:eastAsia="Times New Roman"/>
                <w:color w:val="000000"/>
                <w:sz w:val="20"/>
                <w:szCs w:val="20"/>
              </w:rPr>
            </w:pPr>
            <w:r w:rsidRPr="004D0272">
              <w:rPr>
                <w:rFonts w:eastAsia="Times New Roman"/>
                <w:color w:val="000000"/>
                <w:sz w:val="20"/>
                <w:szCs w:val="20"/>
              </w:rPr>
              <w:t>1</w:t>
            </w:r>
            <w:r>
              <w:rPr>
                <w:rFonts w:eastAsia="Times New Roman"/>
                <w:color w:val="000000"/>
                <w:sz w:val="20"/>
                <w:szCs w:val="20"/>
              </w:rPr>
              <w:t>6</w:t>
            </w:r>
            <w:r w:rsidRPr="004D0272">
              <w:rPr>
                <w:rFonts w:eastAsia="Times New Roman"/>
                <w:color w:val="000000"/>
                <w:sz w:val="20"/>
                <w:szCs w:val="20"/>
              </w:rPr>
              <w:t>.</w:t>
            </w:r>
            <w:r>
              <w:rPr>
                <w:rFonts w:eastAsia="Times New Roman"/>
                <w:color w:val="000000"/>
                <w:sz w:val="20"/>
                <w:szCs w:val="20"/>
              </w:rPr>
              <w:t>60</w:t>
            </w:r>
            <w:r w:rsidRPr="004D0272">
              <w:rPr>
                <w:rFonts w:eastAsia="Times New Roman"/>
                <w:color w:val="000000"/>
                <w:sz w:val="20"/>
                <w:szCs w:val="20"/>
              </w:rPr>
              <w:t>%</w:t>
            </w:r>
          </w:p>
        </w:tc>
        <w:tc>
          <w:tcPr>
            <w:tcW w:w="979" w:type="pct"/>
            <w:tcBorders>
              <w:top w:val="nil"/>
              <w:bottom w:val="nil"/>
              <w:right w:val="single" w:sz="8" w:space="0" w:color="auto"/>
            </w:tcBorders>
            <w:noWrap/>
          </w:tcPr>
          <w:p w14:paraId="6D1FC1B2" w14:textId="77777777" w:rsidR="00E84312" w:rsidRPr="004D0272" w:rsidRDefault="00E84312" w:rsidP="00AF0889">
            <w:pPr>
              <w:spacing w:before="40" w:after="20"/>
              <w:jc w:val="center"/>
              <w:rPr>
                <w:rFonts w:eastAsia="Times New Roman"/>
                <w:color w:val="000000"/>
                <w:sz w:val="20"/>
                <w:szCs w:val="20"/>
              </w:rPr>
            </w:pPr>
            <w:r w:rsidRPr="004D0272">
              <w:rPr>
                <w:rFonts w:eastAsia="Times New Roman"/>
                <w:color w:val="000000"/>
                <w:sz w:val="20"/>
                <w:szCs w:val="20"/>
              </w:rPr>
              <w:t>1</w:t>
            </w:r>
            <w:r>
              <w:rPr>
                <w:rFonts w:eastAsia="Times New Roman"/>
                <w:color w:val="000000"/>
                <w:sz w:val="20"/>
                <w:szCs w:val="20"/>
              </w:rPr>
              <w:t>6</w:t>
            </w:r>
            <w:r w:rsidRPr="004D0272">
              <w:rPr>
                <w:rFonts w:eastAsia="Times New Roman"/>
                <w:color w:val="000000"/>
                <w:sz w:val="20"/>
                <w:szCs w:val="20"/>
              </w:rPr>
              <w:t>.</w:t>
            </w:r>
            <w:r>
              <w:rPr>
                <w:rFonts w:eastAsia="Times New Roman"/>
                <w:color w:val="000000"/>
                <w:sz w:val="20"/>
                <w:szCs w:val="20"/>
              </w:rPr>
              <w:t>32</w:t>
            </w:r>
            <w:r w:rsidRPr="004D0272">
              <w:rPr>
                <w:rFonts w:eastAsia="Times New Roman"/>
                <w:color w:val="000000"/>
                <w:sz w:val="20"/>
                <w:szCs w:val="20"/>
              </w:rPr>
              <w:t>%</w:t>
            </w:r>
          </w:p>
        </w:tc>
      </w:tr>
      <w:tr w:rsidR="00E84312" w:rsidRPr="004D0272" w14:paraId="7C969D49" w14:textId="77777777" w:rsidTr="000E793A">
        <w:trPr>
          <w:trHeight w:val="312"/>
        </w:trPr>
        <w:tc>
          <w:tcPr>
            <w:tcW w:w="1879" w:type="pct"/>
            <w:tcBorders>
              <w:top w:val="nil"/>
              <w:left w:val="single" w:sz="8" w:space="0" w:color="auto"/>
              <w:bottom w:val="single" w:sz="8" w:space="0" w:color="auto"/>
            </w:tcBorders>
            <w:noWrap/>
          </w:tcPr>
          <w:p w14:paraId="7826D703" w14:textId="77777777" w:rsidR="00E84312" w:rsidRPr="004D0272" w:rsidRDefault="00E84312" w:rsidP="00AF0889">
            <w:pPr>
              <w:spacing w:before="40" w:after="20"/>
              <w:rPr>
                <w:rFonts w:eastAsia="Times New Roman"/>
                <w:b/>
                <w:bCs/>
                <w:i/>
                <w:color w:val="000000"/>
                <w:sz w:val="20"/>
                <w:szCs w:val="20"/>
              </w:rPr>
            </w:pPr>
            <w:r w:rsidRPr="004D0272">
              <w:rPr>
                <w:rFonts w:eastAsia="Times New Roman"/>
                <w:b/>
                <w:bCs/>
                <w:i/>
                <w:color w:val="000000"/>
                <w:sz w:val="20"/>
                <w:szCs w:val="20"/>
              </w:rPr>
              <w:t>SMF Return vs. Reference Portfolio</w:t>
            </w:r>
          </w:p>
        </w:tc>
        <w:tc>
          <w:tcPr>
            <w:tcW w:w="1258" w:type="pct"/>
            <w:tcBorders>
              <w:top w:val="nil"/>
              <w:bottom w:val="single" w:sz="8" w:space="0" w:color="auto"/>
            </w:tcBorders>
            <w:noWrap/>
          </w:tcPr>
          <w:p w14:paraId="0513974A" w14:textId="77777777" w:rsidR="00E84312" w:rsidRPr="004D0272" w:rsidRDefault="00E84312" w:rsidP="00AF0889">
            <w:pPr>
              <w:spacing w:before="40" w:after="20"/>
              <w:jc w:val="center"/>
              <w:rPr>
                <w:rFonts w:eastAsia="Times New Roman"/>
                <w:b/>
                <w:i/>
                <w:color w:val="000000"/>
                <w:sz w:val="20"/>
                <w:szCs w:val="20"/>
              </w:rPr>
            </w:pPr>
            <w:r w:rsidRPr="004D0272">
              <w:rPr>
                <w:rFonts w:eastAsia="Times New Roman"/>
                <w:b/>
                <w:i/>
                <w:color w:val="000000"/>
                <w:sz w:val="20"/>
                <w:szCs w:val="20"/>
              </w:rPr>
              <w:t>-1.11%</w:t>
            </w:r>
          </w:p>
        </w:tc>
        <w:tc>
          <w:tcPr>
            <w:tcW w:w="884" w:type="pct"/>
            <w:tcBorders>
              <w:top w:val="nil"/>
              <w:bottom w:val="single" w:sz="8" w:space="0" w:color="auto"/>
            </w:tcBorders>
            <w:noWrap/>
          </w:tcPr>
          <w:p w14:paraId="5B9F9579" w14:textId="77777777" w:rsidR="00E84312" w:rsidRPr="004D0272" w:rsidRDefault="00E84312" w:rsidP="00AF0889">
            <w:pPr>
              <w:spacing w:before="40" w:after="20"/>
              <w:jc w:val="center"/>
              <w:rPr>
                <w:rFonts w:eastAsia="Times New Roman"/>
                <w:b/>
                <w:i/>
                <w:color w:val="000000"/>
                <w:sz w:val="20"/>
                <w:szCs w:val="20"/>
              </w:rPr>
            </w:pPr>
            <w:r w:rsidRPr="004D0272">
              <w:rPr>
                <w:rFonts w:eastAsia="Times New Roman"/>
                <w:b/>
                <w:i/>
                <w:color w:val="000000"/>
                <w:sz w:val="20"/>
                <w:szCs w:val="20"/>
              </w:rPr>
              <w:t>0.</w:t>
            </w:r>
            <w:r>
              <w:rPr>
                <w:rFonts w:eastAsia="Times New Roman"/>
                <w:b/>
                <w:i/>
                <w:color w:val="000000"/>
                <w:sz w:val="20"/>
                <w:szCs w:val="20"/>
              </w:rPr>
              <w:t>83</w:t>
            </w:r>
            <w:r w:rsidRPr="004D0272">
              <w:rPr>
                <w:rFonts w:eastAsia="Times New Roman"/>
                <w:b/>
                <w:i/>
                <w:color w:val="000000"/>
                <w:sz w:val="20"/>
                <w:szCs w:val="20"/>
              </w:rPr>
              <w:t>%</w:t>
            </w:r>
          </w:p>
        </w:tc>
        <w:tc>
          <w:tcPr>
            <w:tcW w:w="979" w:type="pct"/>
            <w:tcBorders>
              <w:top w:val="nil"/>
              <w:bottom w:val="single" w:sz="8" w:space="0" w:color="auto"/>
              <w:right w:val="single" w:sz="8" w:space="0" w:color="auto"/>
            </w:tcBorders>
            <w:noWrap/>
          </w:tcPr>
          <w:p w14:paraId="14362784" w14:textId="77777777" w:rsidR="00E84312" w:rsidRPr="004D0272" w:rsidRDefault="00E84312" w:rsidP="00AF0889">
            <w:pPr>
              <w:spacing w:before="40" w:after="20"/>
              <w:jc w:val="center"/>
              <w:rPr>
                <w:rFonts w:eastAsia="Times New Roman"/>
                <w:b/>
                <w:i/>
                <w:color w:val="000000"/>
                <w:sz w:val="20"/>
                <w:szCs w:val="20"/>
              </w:rPr>
            </w:pPr>
            <w:r w:rsidRPr="004D0272">
              <w:rPr>
                <w:rFonts w:eastAsia="Times New Roman"/>
                <w:b/>
                <w:i/>
                <w:color w:val="000000"/>
                <w:sz w:val="20"/>
                <w:szCs w:val="20"/>
              </w:rPr>
              <w:t>-</w:t>
            </w:r>
            <w:r>
              <w:rPr>
                <w:rFonts w:eastAsia="Times New Roman"/>
                <w:b/>
                <w:i/>
                <w:color w:val="000000"/>
                <w:sz w:val="20"/>
                <w:szCs w:val="20"/>
              </w:rPr>
              <w:t>0.47</w:t>
            </w:r>
            <w:r w:rsidRPr="004D0272">
              <w:rPr>
                <w:rFonts w:eastAsia="Times New Roman"/>
                <w:b/>
                <w:i/>
                <w:color w:val="000000"/>
                <w:sz w:val="20"/>
                <w:szCs w:val="20"/>
              </w:rPr>
              <w:t>%</w:t>
            </w:r>
          </w:p>
        </w:tc>
      </w:tr>
    </w:tbl>
    <w:p w14:paraId="69E8E28E" w14:textId="218FE1B2" w:rsidR="00E84312" w:rsidRDefault="00E84312">
      <w:pPr>
        <w:widowControl/>
        <w:spacing w:before="0" w:after="160" w:line="259" w:lineRule="auto"/>
        <w:jc w:val="left"/>
        <w:rPr>
          <w:b/>
          <w:bCs/>
          <w:iCs/>
          <w:color w:val="5B9BD5" w:themeColor="accent1"/>
          <w:szCs w:val="28"/>
        </w:rPr>
      </w:pPr>
    </w:p>
    <w:p w14:paraId="69D763BE" w14:textId="2DC30E35" w:rsidR="00182448" w:rsidRPr="00AB1473" w:rsidRDefault="00182448" w:rsidP="00AB1473">
      <w:pPr>
        <w:pStyle w:val="Heading1"/>
        <w:rPr>
          <w:sz w:val="24"/>
        </w:rPr>
      </w:pPr>
      <w:bookmarkStart w:id="24" w:name="_Toc13642411"/>
      <w:r w:rsidRPr="00182448">
        <w:rPr>
          <w:sz w:val="24"/>
        </w:rPr>
        <w:t>Attribution Analysis</w:t>
      </w:r>
      <w:bookmarkEnd w:id="24"/>
    </w:p>
    <w:p w14:paraId="6861B2C9" w14:textId="7510A880" w:rsidR="00182448" w:rsidRDefault="00182448" w:rsidP="00AB1473">
      <w:pPr>
        <w:pStyle w:val="TableFigure"/>
        <w:widowControl/>
        <w:spacing w:before="180" w:after="180"/>
        <w:rPr>
          <w:b w:val="0"/>
          <w:color w:val="000000"/>
          <w:sz w:val="20"/>
          <w:szCs w:val="20"/>
          <w:bdr w:val="none" w:sz="0" w:space="0" w:color="auto" w:frame="1"/>
          <w:shd w:val="clear" w:color="auto" w:fill="FFFFFF"/>
        </w:rPr>
      </w:pPr>
      <w:r w:rsidRPr="00182448">
        <w:rPr>
          <w:b w:val="0"/>
          <w:color w:val="000000"/>
          <w:sz w:val="20"/>
          <w:szCs w:val="20"/>
          <w:bdr w:val="none" w:sz="0" w:space="0" w:color="auto" w:frame="1"/>
          <w:shd w:val="clear" w:color="auto" w:fill="FFFFFF"/>
        </w:rPr>
        <w:t>In order to better understand the key drivers of performance</w:t>
      </w:r>
      <w:r w:rsidR="007C7A95">
        <w:rPr>
          <w:b w:val="0"/>
          <w:color w:val="000000"/>
          <w:sz w:val="20"/>
          <w:szCs w:val="20"/>
          <w:bdr w:val="none" w:sz="0" w:space="0" w:color="auto" w:frame="1"/>
          <w:shd w:val="clear" w:color="auto" w:fill="FFFFFF"/>
        </w:rPr>
        <w:t xml:space="preserve"> versus the reference portfolio</w:t>
      </w:r>
      <w:r w:rsidRPr="00182448">
        <w:rPr>
          <w:b w:val="0"/>
          <w:color w:val="000000"/>
          <w:sz w:val="20"/>
          <w:szCs w:val="20"/>
          <w:bdr w:val="none" w:sz="0" w:space="0" w:color="auto" w:frame="1"/>
          <w:shd w:val="clear" w:color="auto" w:fill="FFFFFF"/>
        </w:rPr>
        <w:t xml:space="preserve">, the R&amp;C team has conducted </w:t>
      </w:r>
      <w:r w:rsidR="007C7A95">
        <w:rPr>
          <w:b w:val="0"/>
          <w:color w:val="000000"/>
          <w:sz w:val="20"/>
          <w:szCs w:val="20"/>
          <w:bdr w:val="none" w:sz="0" w:space="0" w:color="auto" w:frame="1"/>
          <w:shd w:val="clear" w:color="auto" w:fill="FFFFFF"/>
        </w:rPr>
        <w:t>the</w:t>
      </w:r>
      <w:r w:rsidRPr="00182448">
        <w:rPr>
          <w:b w:val="0"/>
          <w:color w:val="000000"/>
          <w:sz w:val="20"/>
          <w:szCs w:val="20"/>
          <w:bdr w:val="none" w:sz="0" w:space="0" w:color="auto" w:frame="1"/>
          <w:shd w:val="clear" w:color="auto" w:fill="FFFFFF"/>
        </w:rPr>
        <w:t xml:space="preserve"> performance attribution analysis displayed in Figure 4</w:t>
      </w:r>
      <w:r w:rsidR="007C7A95">
        <w:rPr>
          <w:b w:val="0"/>
          <w:color w:val="000000"/>
          <w:sz w:val="20"/>
          <w:szCs w:val="20"/>
          <w:bdr w:val="none" w:sz="0" w:space="0" w:color="auto" w:frame="1"/>
          <w:shd w:val="clear" w:color="auto" w:fill="FFFFFF"/>
        </w:rPr>
        <w:t xml:space="preserve"> (see over)</w:t>
      </w:r>
      <w:r w:rsidRPr="00182448">
        <w:rPr>
          <w:b w:val="0"/>
          <w:color w:val="000000"/>
          <w:sz w:val="20"/>
          <w:szCs w:val="20"/>
          <w:bdr w:val="none" w:sz="0" w:space="0" w:color="auto" w:frame="1"/>
          <w:shd w:val="clear" w:color="auto" w:fill="FFFFFF"/>
        </w:rPr>
        <w:t xml:space="preserve">. This analysis decomposes performance relative to the reference portfolio into contributions from asset allocation, security selection and other effects. The second section of Figure </w:t>
      </w:r>
      <w:r w:rsidR="00365D89">
        <w:rPr>
          <w:b w:val="0"/>
          <w:color w:val="000000"/>
          <w:sz w:val="20"/>
          <w:szCs w:val="20"/>
          <w:bdr w:val="none" w:sz="0" w:space="0" w:color="auto" w:frame="1"/>
          <w:shd w:val="clear" w:color="auto" w:fill="FFFFFF"/>
        </w:rPr>
        <w:t xml:space="preserve">4 </w:t>
      </w:r>
      <w:r w:rsidRPr="00182448">
        <w:rPr>
          <w:b w:val="0"/>
          <w:color w:val="000000"/>
          <w:sz w:val="20"/>
          <w:szCs w:val="20"/>
          <w:bdr w:val="none" w:sz="0" w:space="0" w:color="auto" w:frame="1"/>
          <w:shd w:val="clear" w:color="auto" w:fill="FFFFFF"/>
        </w:rPr>
        <w:t xml:space="preserve">displays the contributions of each stock held in the AAE portfolio relative to the benchmark S&amp;P/ASX200 ETF. </w:t>
      </w:r>
      <w:r w:rsidR="007C7A95">
        <w:rPr>
          <w:b w:val="0"/>
          <w:color w:val="000000"/>
          <w:sz w:val="20"/>
          <w:szCs w:val="20"/>
          <w:bdr w:val="none" w:sz="0" w:space="0" w:color="auto" w:frame="1"/>
          <w:shd w:val="clear" w:color="auto" w:fill="FFFFFF"/>
        </w:rPr>
        <w:t xml:space="preserve">Since inception, </w:t>
      </w:r>
      <w:r w:rsidRPr="00182448">
        <w:rPr>
          <w:b w:val="0"/>
          <w:color w:val="000000"/>
          <w:sz w:val="20"/>
          <w:szCs w:val="20"/>
          <w:bdr w:val="none" w:sz="0" w:space="0" w:color="auto" w:frame="1"/>
          <w:shd w:val="clear" w:color="auto" w:fill="FFFFFF"/>
        </w:rPr>
        <w:t xml:space="preserve">positive contributions </w:t>
      </w:r>
      <w:r w:rsidR="007C7A95">
        <w:rPr>
          <w:b w:val="0"/>
          <w:color w:val="000000"/>
          <w:sz w:val="20"/>
          <w:szCs w:val="20"/>
          <w:bdr w:val="none" w:sz="0" w:space="0" w:color="auto" w:frame="1"/>
          <w:shd w:val="clear" w:color="auto" w:fill="FFFFFF"/>
        </w:rPr>
        <w:t>have been</w:t>
      </w:r>
      <w:r w:rsidRPr="00182448">
        <w:rPr>
          <w:b w:val="0"/>
          <w:color w:val="000000"/>
          <w:sz w:val="20"/>
          <w:szCs w:val="20"/>
          <w:bdr w:val="none" w:sz="0" w:space="0" w:color="auto" w:frame="1"/>
          <w:shd w:val="clear" w:color="auto" w:fill="FFFFFF"/>
        </w:rPr>
        <w:t xml:space="preserve"> made by Telstra (+2.14%) and Rio Tinto (+0.58%). Inghams </w:t>
      </w:r>
      <w:r w:rsidR="007C7A95">
        <w:rPr>
          <w:b w:val="0"/>
          <w:color w:val="000000"/>
          <w:sz w:val="20"/>
          <w:szCs w:val="20"/>
          <w:bdr w:val="none" w:sz="0" w:space="0" w:color="auto" w:frame="1"/>
          <w:shd w:val="clear" w:color="auto" w:fill="FFFFFF"/>
        </w:rPr>
        <w:t xml:space="preserve">Group </w:t>
      </w:r>
      <w:r w:rsidRPr="00182448">
        <w:rPr>
          <w:b w:val="0"/>
          <w:color w:val="000000"/>
          <w:sz w:val="20"/>
          <w:szCs w:val="20"/>
          <w:bdr w:val="none" w:sz="0" w:space="0" w:color="auto" w:frame="1"/>
          <w:shd w:val="clear" w:color="auto" w:fill="FFFFFF"/>
        </w:rPr>
        <w:t>(-0.72%) and Westpac (-0.2</w:t>
      </w:r>
      <w:r w:rsidR="00365D89">
        <w:rPr>
          <w:b w:val="0"/>
          <w:color w:val="000000"/>
          <w:sz w:val="20"/>
          <w:szCs w:val="20"/>
          <w:bdr w:val="none" w:sz="0" w:space="0" w:color="auto" w:frame="1"/>
          <w:shd w:val="clear" w:color="auto" w:fill="FFFFFF"/>
        </w:rPr>
        <w:t>7</w:t>
      </w:r>
      <w:r w:rsidRPr="00182448">
        <w:rPr>
          <w:b w:val="0"/>
          <w:color w:val="000000"/>
          <w:sz w:val="20"/>
          <w:szCs w:val="20"/>
          <w:bdr w:val="none" w:sz="0" w:space="0" w:color="auto" w:frame="1"/>
          <w:shd w:val="clear" w:color="auto" w:fill="FFFFFF"/>
        </w:rPr>
        <w:t xml:space="preserve">%) provided mildly negative contributions, with Bingo delivering a more significant negative performance with a -2.38% contribution. While Bingo’s negative contribution is disappointing, it should be noted that this is an improvement since our previous report when the negative contribution was -4.43%.  The calculations include any franking credits received, with the SMF returns and AAE contributions having benefitted from holding stocks that pay relatively high fully franked dividends (notably Rio Tinto, Telstra and in future Westpac). </w:t>
      </w:r>
    </w:p>
    <w:p w14:paraId="3E2B53EA" w14:textId="26B0D899" w:rsidR="008F740B" w:rsidRDefault="00182448" w:rsidP="00AB1473">
      <w:pPr>
        <w:pStyle w:val="TableFigure"/>
        <w:widowControl/>
        <w:spacing w:before="180" w:after="180"/>
        <w:rPr>
          <w:b w:val="0"/>
          <w:color w:val="000000"/>
          <w:sz w:val="20"/>
          <w:szCs w:val="20"/>
          <w:bdr w:val="none" w:sz="0" w:space="0" w:color="auto" w:frame="1"/>
          <w:shd w:val="clear" w:color="auto" w:fill="FFFFFF"/>
        </w:rPr>
      </w:pPr>
      <w:r w:rsidRPr="00182448">
        <w:rPr>
          <w:b w:val="0"/>
          <w:color w:val="000000"/>
          <w:sz w:val="20"/>
          <w:szCs w:val="20"/>
          <w:bdr w:val="none" w:sz="0" w:space="0" w:color="auto" w:frame="1"/>
          <w:shd w:val="clear" w:color="auto" w:fill="FFFFFF"/>
        </w:rPr>
        <w:t>The last section of Figure 4 details the various contributions from the cash portfolio relative to the benchmark cash ETF. This section reveals</w:t>
      </w:r>
      <w:r w:rsidR="009E3D56">
        <w:rPr>
          <w:b w:val="0"/>
          <w:color w:val="000000"/>
          <w:sz w:val="20"/>
          <w:szCs w:val="20"/>
          <w:bdr w:val="none" w:sz="0" w:space="0" w:color="auto" w:frame="1"/>
          <w:shd w:val="clear" w:color="auto" w:fill="FFFFFF"/>
        </w:rPr>
        <w:t xml:space="preserve"> that</w:t>
      </w:r>
      <w:r w:rsidRPr="00182448">
        <w:rPr>
          <w:b w:val="0"/>
          <w:color w:val="000000"/>
          <w:sz w:val="20"/>
          <w:szCs w:val="20"/>
          <w:bdr w:val="none" w:sz="0" w:space="0" w:color="auto" w:frame="1"/>
          <w:shd w:val="clear" w:color="auto" w:fill="FFFFFF"/>
        </w:rPr>
        <w:t xml:space="preserve"> a relatively small negative contribution arose from the cash portfolio </w:t>
      </w:r>
      <w:r w:rsidR="00365D89">
        <w:rPr>
          <w:b w:val="0"/>
          <w:color w:val="000000"/>
          <w:sz w:val="20"/>
          <w:szCs w:val="20"/>
          <w:bdr w:val="none" w:sz="0" w:space="0" w:color="auto" w:frame="1"/>
          <w:shd w:val="clear" w:color="auto" w:fill="FFFFFF"/>
        </w:rPr>
        <w:t>a</w:t>
      </w:r>
      <w:r w:rsidRPr="00182448">
        <w:rPr>
          <w:b w:val="0"/>
          <w:color w:val="000000"/>
          <w:sz w:val="20"/>
          <w:szCs w:val="20"/>
          <w:bdr w:val="none" w:sz="0" w:space="0" w:color="auto" w:frame="1"/>
          <w:shd w:val="clear" w:color="auto" w:fill="FFFFFF"/>
        </w:rPr>
        <w:t xml:space="preserve">s a result of holding liquidity within the BT Cash Management Trust, which offers a lower return than that achieved by the benchmark </w:t>
      </w:r>
      <w:r w:rsidRPr="00182448">
        <w:rPr>
          <w:b w:val="0"/>
          <w:color w:val="000000"/>
          <w:sz w:val="20"/>
          <w:szCs w:val="20"/>
          <w:bdr w:val="none" w:sz="0" w:space="0" w:color="auto" w:frame="1"/>
          <w:shd w:val="clear" w:color="auto" w:fill="FFFFFF"/>
        </w:rPr>
        <w:lastRenderedPageBreak/>
        <w:t>Betashares ETF. This applies to only a small portion of the total portfolio, with the overall cash contributions amounting to -0.</w:t>
      </w:r>
      <w:r w:rsidR="007C7A95">
        <w:rPr>
          <w:b w:val="0"/>
          <w:color w:val="000000"/>
          <w:sz w:val="20"/>
          <w:szCs w:val="20"/>
          <w:bdr w:val="none" w:sz="0" w:space="0" w:color="auto" w:frame="1"/>
          <w:shd w:val="clear" w:color="auto" w:fill="FFFFFF"/>
        </w:rPr>
        <w:t>03</w:t>
      </w:r>
      <w:r w:rsidRPr="00182448">
        <w:rPr>
          <w:b w:val="0"/>
          <w:color w:val="000000"/>
          <w:sz w:val="20"/>
          <w:szCs w:val="20"/>
          <w:bdr w:val="none" w:sz="0" w:space="0" w:color="auto" w:frame="1"/>
          <w:shd w:val="clear" w:color="auto" w:fill="FFFFFF"/>
        </w:rPr>
        <w:t>%</w:t>
      </w:r>
      <w:r w:rsidR="007C7A95">
        <w:rPr>
          <w:b w:val="0"/>
          <w:color w:val="000000"/>
          <w:sz w:val="20"/>
          <w:szCs w:val="20"/>
          <w:bdr w:val="none" w:sz="0" w:space="0" w:color="auto" w:frame="1"/>
          <w:shd w:val="clear" w:color="auto" w:fill="FFFFFF"/>
        </w:rPr>
        <w:t xml:space="preserve"> at the total portfolio level since inception</w:t>
      </w:r>
      <w:r w:rsidRPr="00182448">
        <w:rPr>
          <w:b w:val="0"/>
          <w:color w:val="000000"/>
          <w:sz w:val="20"/>
          <w:szCs w:val="20"/>
          <w:bdr w:val="none" w:sz="0" w:space="0" w:color="auto" w:frame="1"/>
          <w:shd w:val="clear" w:color="auto" w:fill="FFFFFF"/>
        </w:rPr>
        <w:t xml:space="preserve">. </w:t>
      </w:r>
    </w:p>
    <w:p w14:paraId="1E2248C4" w14:textId="47427F69" w:rsidR="00182448" w:rsidRPr="00182448" w:rsidRDefault="00182448" w:rsidP="00AB1473">
      <w:pPr>
        <w:pStyle w:val="TableFigure"/>
        <w:widowControl/>
        <w:spacing w:before="180" w:after="180"/>
        <w:rPr>
          <w:b w:val="0"/>
          <w:color w:val="000000"/>
          <w:sz w:val="20"/>
          <w:szCs w:val="20"/>
          <w:bdr w:val="none" w:sz="0" w:space="0" w:color="auto" w:frame="1"/>
          <w:shd w:val="clear" w:color="auto" w:fill="FFFFFF"/>
        </w:rPr>
      </w:pPr>
      <w:r w:rsidRPr="00182448">
        <w:rPr>
          <w:b w:val="0"/>
          <w:color w:val="000000"/>
          <w:sz w:val="20"/>
          <w:szCs w:val="20"/>
          <w:bdr w:val="none" w:sz="0" w:space="0" w:color="auto" w:frame="1"/>
          <w:shd w:val="clear" w:color="auto" w:fill="FFFFFF"/>
        </w:rPr>
        <w:t>As active asset allocation decisions are yet to be made, currently the targeted asset weights remain mostly in line with the reference portfolio weights. As such, the asset allocation contribution of -0.0</w:t>
      </w:r>
      <w:r w:rsidR="00365D89">
        <w:rPr>
          <w:b w:val="0"/>
          <w:color w:val="000000"/>
          <w:sz w:val="20"/>
          <w:szCs w:val="20"/>
          <w:bdr w:val="none" w:sz="0" w:space="0" w:color="auto" w:frame="1"/>
          <w:shd w:val="clear" w:color="auto" w:fill="FFFFFF"/>
        </w:rPr>
        <w:t>7%</w:t>
      </w:r>
      <w:r w:rsidRPr="00182448">
        <w:rPr>
          <w:b w:val="0"/>
          <w:color w:val="000000"/>
          <w:sz w:val="20"/>
          <w:szCs w:val="20"/>
          <w:bdr w:val="none" w:sz="0" w:space="0" w:color="auto" w:frame="1"/>
          <w:shd w:val="clear" w:color="auto" w:fill="FFFFFF"/>
        </w:rPr>
        <w:t xml:space="preserve"> is reflective of the interaction between market movements and the impact of the Fund’s distribution in early 2019, instead of active strategic decisions made by the Fund. Therefore, in this analysis specific asset contributions have been excluded. </w:t>
      </w:r>
      <w:r w:rsidR="00FB58A9">
        <w:rPr>
          <w:b w:val="0"/>
          <w:color w:val="000000"/>
          <w:sz w:val="20"/>
          <w:szCs w:val="20"/>
          <w:bdr w:val="none" w:sz="0" w:space="0" w:color="auto" w:frame="1"/>
          <w:shd w:val="clear" w:color="auto" w:fill="FFFFFF"/>
        </w:rPr>
        <w:t xml:space="preserve">Looking towards the future, </w:t>
      </w:r>
      <w:r w:rsidRPr="00182448">
        <w:rPr>
          <w:b w:val="0"/>
          <w:color w:val="000000"/>
          <w:sz w:val="20"/>
          <w:szCs w:val="20"/>
          <w:bdr w:val="none" w:sz="0" w:space="0" w:color="auto" w:frame="1"/>
          <w:shd w:val="clear" w:color="auto" w:fill="FFFFFF"/>
        </w:rPr>
        <w:t xml:space="preserve">the expected completion of the AA IP </w:t>
      </w:r>
      <w:r w:rsidR="008F740B">
        <w:rPr>
          <w:b w:val="0"/>
          <w:color w:val="000000"/>
          <w:sz w:val="20"/>
          <w:szCs w:val="20"/>
          <w:bdr w:val="none" w:sz="0" w:space="0" w:color="auto" w:frame="1"/>
          <w:shd w:val="clear" w:color="auto" w:fill="FFFFFF"/>
        </w:rPr>
        <w:t>may support more</w:t>
      </w:r>
      <w:r w:rsidRPr="00182448">
        <w:rPr>
          <w:b w:val="0"/>
          <w:color w:val="000000"/>
          <w:sz w:val="20"/>
          <w:szCs w:val="20"/>
          <w:bdr w:val="none" w:sz="0" w:space="0" w:color="auto" w:frame="1"/>
          <w:shd w:val="clear" w:color="auto" w:fill="FFFFFF"/>
        </w:rPr>
        <w:t xml:space="preserve"> deliberate changes to </w:t>
      </w:r>
      <w:r w:rsidR="008F740B">
        <w:rPr>
          <w:b w:val="0"/>
          <w:color w:val="000000"/>
          <w:sz w:val="20"/>
          <w:szCs w:val="20"/>
          <w:bdr w:val="none" w:sz="0" w:space="0" w:color="auto" w:frame="1"/>
          <w:shd w:val="clear" w:color="auto" w:fill="FFFFFF"/>
        </w:rPr>
        <w:t xml:space="preserve">the </w:t>
      </w:r>
      <w:r w:rsidRPr="00182448">
        <w:rPr>
          <w:b w:val="0"/>
          <w:color w:val="000000"/>
          <w:sz w:val="20"/>
          <w:szCs w:val="20"/>
          <w:bdr w:val="none" w:sz="0" w:space="0" w:color="auto" w:frame="1"/>
          <w:shd w:val="clear" w:color="auto" w:fill="FFFFFF"/>
        </w:rPr>
        <w:t xml:space="preserve">asset allocation in </w:t>
      </w:r>
      <w:r w:rsidR="00FB58A9">
        <w:rPr>
          <w:b w:val="0"/>
          <w:color w:val="000000"/>
          <w:sz w:val="20"/>
          <w:szCs w:val="20"/>
          <w:bdr w:val="none" w:sz="0" w:space="0" w:color="auto" w:frame="1"/>
          <w:shd w:val="clear" w:color="auto" w:fill="FFFFFF"/>
        </w:rPr>
        <w:t>coming</w:t>
      </w:r>
      <w:r w:rsidRPr="00182448">
        <w:rPr>
          <w:b w:val="0"/>
          <w:color w:val="000000"/>
          <w:sz w:val="20"/>
          <w:szCs w:val="20"/>
          <w:bdr w:val="none" w:sz="0" w:space="0" w:color="auto" w:frame="1"/>
          <w:shd w:val="clear" w:color="auto" w:fill="FFFFFF"/>
        </w:rPr>
        <w:t xml:space="preserve"> semesters</w:t>
      </w:r>
      <w:r w:rsidR="008F740B">
        <w:rPr>
          <w:b w:val="0"/>
          <w:color w:val="000000"/>
          <w:sz w:val="20"/>
          <w:szCs w:val="20"/>
          <w:bdr w:val="none" w:sz="0" w:space="0" w:color="auto" w:frame="1"/>
          <w:shd w:val="clear" w:color="auto" w:fill="FFFFFF"/>
        </w:rPr>
        <w:t>, in which event we will commence reporting asset allocation contributions in detail</w:t>
      </w:r>
      <w:r w:rsidRPr="00182448">
        <w:rPr>
          <w:b w:val="0"/>
          <w:color w:val="000000"/>
          <w:sz w:val="20"/>
          <w:szCs w:val="20"/>
          <w:bdr w:val="none" w:sz="0" w:space="0" w:color="auto" w:frame="1"/>
          <w:shd w:val="clear" w:color="auto" w:fill="FFFFFF"/>
        </w:rPr>
        <w:t xml:space="preserve">.  </w:t>
      </w:r>
    </w:p>
    <w:p w14:paraId="3999246F" w14:textId="53074784" w:rsidR="00182448" w:rsidRPr="00AB1473" w:rsidRDefault="00182448" w:rsidP="00DA692E">
      <w:pPr>
        <w:spacing w:before="180" w:after="60"/>
        <w:rPr>
          <w:b/>
          <w:sz w:val="22"/>
          <w:szCs w:val="22"/>
        </w:rPr>
      </w:pPr>
      <w:r w:rsidRPr="00AB1473">
        <w:rPr>
          <w:b/>
          <w:sz w:val="22"/>
          <w:szCs w:val="22"/>
        </w:rPr>
        <w:t>Figure 4: Performance Attribution: 10 April 2018 to 21 June 2019</w:t>
      </w:r>
    </w:p>
    <w:tbl>
      <w:tblPr>
        <w:tblStyle w:val="TableGrid"/>
        <w:tblW w:w="4984" w:type="pct"/>
        <w:tblBorders>
          <w:insideH w:val="none" w:sz="0" w:space="0" w:color="auto"/>
          <w:insideV w:val="none" w:sz="0" w:space="0" w:color="auto"/>
        </w:tblBorders>
        <w:tblLayout w:type="fixed"/>
        <w:tblLook w:val="04A0" w:firstRow="1" w:lastRow="0" w:firstColumn="1" w:lastColumn="0" w:noHBand="0" w:noVBand="1"/>
      </w:tblPr>
      <w:tblGrid>
        <w:gridCol w:w="3949"/>
        <w:gridCol w:w="2052"/>
        <w:gridCol w:w="1712"/>
        <w:gridCol w:w="1838"/>
      </w:tblGrid>
      <w:tr w:rsidR="00AB1473" w:rsidRPr="004D0272" w14:paraId="172D4164" w14:textId="77777777" w:rsidTr="00502FEE">
        <w:trPr>
          <w:trHeight w:val="315"/>
        </w:trPr>
        <w:tc>
          <w:tcPr>
            <w:tcW w:w="2068" w:type="pct"/>
            <w:tcBorders>
              <w:top w:val="single" w:sz="6" w:space="0" w:color="auto"/>
              <w:left w:val="single" w:sz="8" w:space="0" w:color="auto"/>
              <w:bottom w:val="nil"/>
            </w:tcBorders>
            <w:shd w:val="clear" w:color="auto" w:fill="DEEAF6" w:themeFill="accent1" w:themeFillTint="33"/>
            <w:noWrap/>
          </w:tcPr>
          <w:p w14:paraId="6889CF4F" w14:textId="77777777" w:rsidR="00AB1473" w:rsidRPr="004D0272" w:rsidRDefault="00AB1473" w:rsidP="00AF0889">
            <w:pPr>
              <w:spacing w:before="40" w:after="20"/>
              <w:rPr>
                <w:rFonts w:eastAsia="Times New Roman"/>
                <w:b/>
                <w:bCs/>
                <w:i/>
                <w:iCs/>
                <w:color w:val="000000"/>
                <w:sz w:val="20"/>
                <w:szCs w:val="20"/>
              </w:rPr>
            </w:pPr>
          </w:p>
        </w:tc>
        <w:tc>
          <w:tcPr>
            <w:tcW w:w="1969" w:type="pct"/>
            <w:gridSpan w:val="2"/>
            <w:tcBorders>
              <w:top w:val="single" w:sz="6" w:space="0" w:color="auto"/>
              <w:bottom w:val="nil"/>
            </w:tcBorders>
            <w:shd w:val="clear" w:color="auto" w:fill="DEEAF6" w:themeFill="accent1" w:themeFillTint="33"/>
            <w:noWrap/>
          </w:tcPr>
          <w:p w14:paraId="623F9FC8" w14:textId="502A3B8F" w:rsidR="00AB1473" w:rsidRPr="004D0272" w:rsidRDefault="00AB1473" w:rsidP="00502FEE">
            <w:pPr>
              <w:spacing w:before="40" w:after="40"/>
              <w:jc w:val="center"/>
              <w:rPr>
                <w:rFonts w:eastAsia="Times New Roman"/>
                <w:color w:val="000000"/>
                <w:sz w:val="20"/>
                <w:szCs w:val="20"/>
              </w:rPr>
            </w:pPr>
            <w:r w:rsidRPr="004D0272">
              <w:rPr>
                <w:rFonts w:eastAsia="Times New Roman"/>
                <w:b/>
                <w:bCs/>
                <w:color w:val="000000"/>
                <w:sz w:val="20"/>
                <w:szCs w:val="20"/>
              </w:rPr>
              <w:t>Contributions to Performance vs. Reference Portfolio by Sub-Period</w:t>
            </w:r>
          </w:p>
        </w:tc>
        <w:tc>
          <w:tcPr>
            <w:tcW w:w="963" w:type="pct"/>
            <w:tcBorders>
              <w:top w:val="single" w:sz="6" w:space="0" w:color="auto"/>
              <w:bottom w:val="nil"/>
              <w:right w:val="single" w:sz="8" w:space="0" w:color="auto"/>
            </w:tcBorders>
            <w:shd w:val="clear" w:color="auto" w:fill="DEEAF6" w:themeFill="accent1" w:themeFillTint="33"/>
            <w:noWrap/>
          </w:tcPr>
          <w:p w14:paraId="3DE1B6C4" w14:textId="34CCB85F" w:rsidR="00AB1473" w:rsidRPr="004D0272" w:rsidRDefault="00AB1473" w:rsidP="00502FEE">
            <w:pPr>
              <w:spacing w:before="40" w:after="40"/>
              <w:jc w:val="center"/>
              <w:rPr>
                <w:rFonts w:eastAsia="Times New Roman"/>
                <w:color w:val="000000"/>
                <w:sz w:val="20"/>
                <w:szCs w:val="20"/>
              </w:rPr>
            </w:pPr>
            <w:r w:rsidRPr="00AB1473">
              <w:rPr>
                <w:rFonts w:eastAsia="Times New Roman"/>
                <w:b/>
                <w:bCs/>
                <w:color w:val="000000"/>
                <w:sz w:val="20"/>
                <w:szCs w:val="20"/>
              </w:rPr>
              <w:t>Cumulative Return</w:t>
            </w:r>
          </w:p>
        </w:tc>
      </w:tr>
      <w:tr w:rsidR="00182448" w:rsidRPr="004D0272" w14:paraId="41A81FB2" w14:textId="77777777" w:rsidTr="00502FEE">
        <w:trPr>
          <w:trHeight w:val="315"/>
        </w:trPr>
        <w:tc>
          <w:tcPr>
            <w:tcW w:w="2068" w:type="pct"/>
            <w:tcBorders>
              <w:top w:val="nil"/>
              <w:left w:val="single" w:sz="8" w:space="0" w:color="auto"/>
            </w:tcBorders>
            <w:noWrap/>
            <w:hideMark/>
          </w:tcPr>
          <w:p w14:paraId="4F45304F" w14:textId="77777777" w:rsidR="00182448" w:rsidRPr="004D0272" w:rsidRDefault="00182448" w:rsidP="00AF0889">
            <w:pPr>
              <w:spacing w:before="40" w:after="20"/>
              <w:rPr>
                <w:rFonts w:eastAsia="Times New Roman"/>
                <w:b/>
                <w:bCs/>
                <w:i/>
                <w:iCs/>
                <w:color w:val="000000"/>
                <w:sz w:val="20"/>
                <w:szCs w:val="20"/>
              </w:rPr>
            </w:pPr>
            <w:r w:rsidRPr="004D0272">
              <w:rPr>
                <w:rFonts w:eastAsia="Times New Roman"/>
                <w:b/>
                <w:bCs/>
                <w:i/>
                <w:iCs/>
                <w:color w:val="000000"/>
                <w:sz w:val="20"/>
                <w:szCs w:val="20"/>
              </w:rPr>
              <w:t>Period Start</w:t>
            </w:r>
          </w:p>
        </w:tc>
        <w:tc>
          <w:tcPr>
            <w:tcW w:w="1074" w:type="pct"/>
            <w:tcBorders>
              <w:top w:val="nil"/>
            </w:tcBorders>
            <w:noWrap/>
            <w:hideMark/>
          </w:tcPr>
          <w:p w14:paraId="2C5B1B25" w14:textId="77777777" w:rsidR="00182448" w:rsidRPr="004D0272" w:rsidRDefault="00182448" w:rsidP="00AF0889">
            <w:pPr>
              <w:spacing w:before="40" w:after="20"/>
              <w:jc w:val="center"/>
              <w:rPr>
                <w:rFonts w:eastAsia="Times New Roman"/>
                <w:color w:val="000000"/>
                <w:sz w:val="20"/>
                <w:szCs w:val="20"/>
              </w:rPr>
            </w:pPr>
            <w:r w:rsidRPr="004D0272">
              <w:rPr>
                <w:rFonts w:eastAsia="Times New Roman"/>
                <w:color w:val="000000"/>
                <w:sz w:val="20"/>
                <w:szCs w:val="20"/>
              </w:rPr>
              <w:t>10/4/18</w:t>
            </w:r>
          </w:p>
        </w:tc>
        <w:tc>
          <w:tcPr>
            <w:tcW w:w="896" w:type="pct"/>
            <w:tcBorders>
              <w:top w:val="nil"/>
            </w:tcBorders>
            <w:noWrap/>
            <w:hideMark/>
          </w:tcPr>
          <w:p w14:paraId="3E2D291E" w14:textId="42D5E15C" w:rsidR="00182448" w:rsidRPr="004D0272" w:rsidRDefault="0089523B" w:rsidP="00AF0889">
            <w:pPr>
              <w:spacing w:before="40" w:after="20"/>
              <w:jc w:val="center"/>
              <w:rPr>
                <w:rFonts w:eastAsia="Times New Roman"/>
                <w:color w:val="000000"/>
                <w:sz w:val="20"/>
                <w:szCs w:val="20"/>
              </w:rPr>
            </w:pPr>
            <w:r>
              <w:rPr>
                <w:rFonts w:eastAsia="Times New Roman"/>
                <w:color w:val="000000"/>
                <w:sz w:val="20"/>
                <w:szCs w:val="20"/>
              </w:rPr>
              <w:t>3</w:t>
            </w:r>
            <w:r w:rsidR="00182448" w:rsidRPr="004D0272">
              <w:rPr>
                <w:rFonts w:eastAsia="Times New Roman"/>
                <w:color w:val="000000"/>
                <w:sz w:val="20"/>
                <w:szCs w:val="20"/>
              </w:rPr>
              <w:t>1/1</w:t>
            </w:r>
            <w:r>
              <w:rPr>
                <w:rFonts w:eastAsia="Times New Roman"/>
                <w:color w:val="000000"/>
                <w:sz w:val="20"/>
                <w:szCs w:val="20"/>
              </w:rPr>
              <w:t>2</w:t>
            </w:r>
            <w:r w:rsidR="00182448" w:rsidRPr="004D0272">
              <w:rPr>
                <w:rFonts w:eastAsia="Times New Roman"/>
                <w:color w:val="000000"/>
                <w:sz w:val="20"/>
                <w:szCs w:val="20"/>
              </w:rPr>
              <w:t>/1</w:t>
            </w:r>
            <w:r>
              <w:rPr>
                <w:rFonts w:eastAsia="Times New Roman"/>
                <w:color w:val="000000"/>
                <w:sz w:val="20"/>
                <w:szCs w:val="20"/>
              </w:rPr>
              <w:t>8</w:t>
            </w:r>
          </w:p>
        </w:tc>
        <w:tc>
          <w:tcPr>
            <w:tcW w:w="963" w:type="pct"/>
            <w:tcBorders>
              <w:top w:val="nil"/>
              <w:right w:val="single" w:sz="8" w:space="0" w:color="auto"/>
            </w:tcBorders>
            <w:noWrap/>
            <w:hideMark/>
          </w:tcPr>
          <w:p w14:paraId="658F3318" w14:textId="77777777" w:rsidR="00182448" w:rsidRPr="004D0272" w:rsidRDefault="00182448" w:rsidP="00AF0889">
            <w:pPr>
              <w:spacing w:before="40" w:after="20"/>
              <w:jc w:val="center"/>
              <w:rPr>
                <w:rFonts w:eastAsia="Times New Roman"/>
                <w:color w:val="000000"/>
                <w:sz w:val="20"/>
                <w:szCs w:val="20"/>
              </w:rPr>
            </w:pPr>
            <w:r w:rsidRPr="004D0272">
              <w:rPr>
                <w:rFonts w:eastAsia="Times New Roman"/>
                <w:color w:val="000000"/>
                <w:sz w:val="20"/>
                <w:szCs w:val="20"/>
              </w:rPr>
              <w:t>10/4/18</w:t>
            </w:r>
          </w:p>
        </w:tc>
      </w:tr>
      <w:tr w:rsidR="00182448" w:rsidRPr="004D0272" w14:paraId="62A809C5" w14:textId="77777777" w:rsidTr="00502FEE">
        <w:trPr>
          <w:trHeight w:val="315"/>
        </w:trPr>
        <w:tc>
          <w:tcPr>
            <w:tcW w:w="2068" w:type="pct"/>
            <w:tcBorders>
              <w:left w:val="single" w:sz="8" w:space="0" w:color="auto"/>
            </w:tcBorders>
            <w:noWrap/>
            <w:hideMark/>
          </w:tcPr>
          <w:p w14:paraId="69D4D2CB" w14:textId="77777777" w:rsidR="00182448" w:rsidRPr="004D0272" w:rsidRDefault="00182448" w:rsidP="00AF0889">
            <w:pPr>
              <w:spacing w:before="40" w:after="20"/>
              <w:rPr>
                <w:rFonts w:eastAsia="Times New Roman"/>
                <w:b/>
                <w:bCs/>
                <w:i/>
                <w:iCs/>
                <w:color w:val="000000"/>
                <w:sz w:val="20"/>
                <w:szCs w:val="20"/>
              </w:rPr>
            </w:pPr>
            <w:r w:rsidRPr="004D0272">
              <w:rPr>
                <w:rFonts w:eastAsia="Times New Roman"/>
                <w:b/>
                <w:bCs/>
                <w:i/>
                <w:iCs/>
                <w:color w:val="000000"/>
                <w:sz w:val="20"/>
                <w:szCs w:val="20"/>
              </w:rPr>
              <w:t>Period End</w:t>
            </w:r>
          </w:p>
        </w:tc>
        <w:tc>
          <w:tcPr>
            <w:tcW w:w="1074" w:type="pct"/>
            <w:noWrap/>
            <w:hideMark/>
          </w:tcPr>
          <w:p w14:paraId="24A79B80" w14:textId="77777777" w:rsidR="00182448" w:rsidRPr="004D0272" w:rsidRDefault="00182448" w:rsidP="00AF0889">
            <w:pPr>
              <w:spacing w:before="40" w:after="20"/>
              <w:jc w:val="center"/>
              <w:rPr>
                <w:rFonts w:eastAsia="Times New Roman"/>
                <w:color w:val="000000"/>
                <w:sz w:val="20"/>
                <w:szCs w:val="20"/>
              </w:rPr>
            </w:pPr>
            <w:r w:rsidRPr="004D0272">
              <w:rPr>
                <w:rFonts w:eastAsia="Times New Roman"/>
                <w:color w:val="000000"/>
                <w:sz w:val="20"/>
                <w:szCs w:val="20"/>
              </w:rPr>
              <w:t>31/12/18</w:t>
            </w:r>
          </w:p>
        </w:tc>
        <w:tc>
          <w:tcPr>
            <w:tcW w:w="896" w:type="pct"/>
            <w:noWrap/>
            <w:hideMark/>
          </w:tcPr>
          <w:p w14:paraId="4D054A9A" w14:textId="77777777" w:rsidR="00182448" w:rsidRPr="004D0272" w:rsidRDefault="00182448" w:rsidP="00AF0889">
            <w:pPr>
              <w:spacing w:before="40" w:after="20"/>
              <w:jc w:val="center"/>
              <w:rPr>
                <w:rFonts w:eastAsia="Times New Roman"/>
                <w:color w:val="000000"/>
                <w:sz w:val="20"/>
                <w:szCs w:val="20"/>
              </w:rPr>
            </w:pPr>
            <w:r w:rsidRPr="004D0272">
              <w:rPr>
                <w:rFonts w:eastAsia="Times New Roman"/>
                <w:color w:val="000000"/>
                <w:sz w:val="20"/>
                <w:szCs w:val="20"/>
              </w:rPr>
              <w:t>2</w:t>
            </w:r>
            <w:r>
              <w:rPr>
                <w:rFonts w:eastAsia="Times New Roman"/>
                <w:color w:val="000000"/>
                <w:sz w:val="20"/>
                <w:szCs w:val="20"/>
              </w:rPr>
              <w:t>1</w:t>
            </w:r>
            <w:r w:rsidRPr="004D0272">
              <w:rPr>
                <w:rFonts w:eastAsia="Times New Roman"/>
                <w:color w:val="000000"/>
                <w:sz w:val="20"/>
                <w:szCs w:val="20"/>
              </w:rPr>
              <w:t>/</w:t>
            </w:r>
            <w:r>
              <w:rPr>
                <w:rFonts w:eastAsia="Times New Roman"/>
                <w:color w:val="000000"/>
                <w:sz w:val="20"/>
                <w:szCs w:val="20"/>
              </w:rPr>
              <w:t>6</w:t>
            </w:r>
            <w:r w:rsidRPr="004D0272">
              <w:rPr>
                <w:rFonts w:eastAsia="Times New Roman"/>
                <w:color w:val="000000"/>
                <w:sz w:val="20"/>
                <w:szCs w:val="20"/>
              </w:rPr>
              <w:t>/19</w:t>
            </w:r>
          </w:p>
        </w:tc>
        <w:tc>
          <w:tcPr>
            <w:tcW w:w="963" w:type="pct"/>
            <w:tcBorders>
              <w:right w:val="single" w:sz="8" w:space="0" w:color="auto"/>
            </w:tcBorders>
            <w:noWrap/>
            <w:hideMark/>
          </w:tcPr>
          <w:p w14:paraId="5F0BCC43" w14:textId="77777777" w:rsidR="00182448" w:rsidRPr="004D0272" w:rsidRDefault="00182448" w:rsidP="00AF0889">
            <w:pPr>
              <w:spacing w:before="40" w:after="20"/>
              <w:jc w:val="center"/>
              <w:rPr>
                <w:rFonts w:eastAsia="Times New Roman"/>
                <w:color w:val="000000"/>
                <w:sz w:val="20"/>
                <w:szCs w:val="20"/>
              </w:rPr>
            </w:pPr>
            <w:r w:rsidRPr="004D0272">
              <w:rPr>
                <w:rFonts w:eastAsia="Times New Roman"/>
                <w:color w:val="000000"/>
                <w:sz w:val="20"/>
                <w:szCs w:val="20"/>
              </w:rPr>
              <w:t>2</w:t>
            </w:r>
            <w:r>
              <w:rPr>
                <w:rFonts w:eastAsia="Times New Roman"/>
                <w:color w:val="000000"/>
                <w:sz w:val="20"/>
                <w:szCs w:val="20"/>
              </w:rPr>
              <w:t>1</w:t>
            </w:r>
            <w:r w:rsidRPr="004D0272">
              <w:rPr>
                <w:rFonts w:eastAsia="Times New Roman"/>
                <w:color w:val="000000"/>
                <w:sz w:val="20"/>
                <w:szCs w:val="20"/>
              </w:rPr>
              <w:t>/</w:t>
            </w:r>
            <w:r>
              <w:rPr>
                <w:rFonts w:eastAsia="Times New Roman"/>
                <w:color w:val="000000"/>
                <w:sz w:val="20"/>
                <w:szCs w:val="20"/>
              </w:rPr>
              <w:t>6</w:t>
            </w:r>
            <w:r w:rsidRPr="004D0272">
              <w:rPr>
                <w:rFonts w:eastAsia="Times New Roman"/>
                <w:color w:val="000000"/>
                <w:sz w:val="20"/>
                <w:szCs w:val="20"/>
              </w:rPr>
              <w:t>/19</w:t>
            </w:r>
          </w:p>
        </w:tc>
      </w:tr>
      <w:tr w:rsidR="00182448" w:rsidRPr="004D0272" w14:paraId="136B5BB1" w14:textId="77777777" w:rsidTr="00502FEE">
        <w:trPr>
          <w:trHeight w:val="50"/>
        </w:trPr>
        <w:tc>
          <w:tcPr>
            <w:tcW w:w="2068" w:type="pct"/>
            <w:tcBorders>
              <w:left w:val="single" w:sz="8" w:space="0" w:color="auto"/>
            </w:tcBorders>
            <w:noWrap/>
            <w:hideMark/>
          </w:tcPr>
          <w:p w14:paraId="638BA5D4" w14:textId="77777777" w:rsidR="00182448" w:rsidRPr="004D0272" w:rsidRDefault="00182448" w:rsidP="00AB1473">
            <w:pPr>
              <w:spacing w:before="60" w:after="60"/>
              <w:rPr>
                <w:rFonts w:eastAsia="Times New Roman"/>
                <w:color w:val="000000"/>
                <w:sz w:val="12"/>
                <w:szCs w:val="12"/>
              </w:rPr>
            </w:pPr>
            <w:r w:rsidRPr="004D0272">
              <w:rPr>
                <w:rFonts w:eastAsia="Times New Roman"/>
                <w:color w:val="000000"/>
                <w:sz w:val="12"/>
                <w:szCs w:val="12"/>
              </w:rPr>
              <w:t> </w:t>
            </w:r>
          </w:p>
        </w:tc>
        <w:tc>
          <w:tcPr>
            <w:tcW w:w="1074" w:type="pct"/>
            <w:noWrap/>
            <w:hideMark/>
          </w:tcPr>
          <w:p w14:paraId="7F6598FE" w14:textId="77777777" w:rsidR="00182448" w:rsidRPr="004D0272" w:rsidRDefault="00182448" w:rsidP="00AB1473">
            <w:pPr>
              <w:spacing w:before="60" w:after="60"/>
              <w:rPr>
                <w:rFonts w:eastAsia="Times New Roman"/>
                <w:color w:val="000000"/>
                <w:sz w:val="12"/>
                <w:szCs w:val="12"/>
              </w:rPr>
            </w:pPr>
          </w:p>
        </w:tc>
        <w:tc>
          <w:tcPr>
            <w:tcW w:w="896" w:type="pct"/>
            <w:noWrap/>
            <w:hideMark/>
          </w:tcPr>
          <w:p w14:paraId="77AB4673" w14:textId="77777777" w:rsidR="00182448" w:rsidRPr="004D0272" w:rsidRDefault="00182448" w:rsidP="00AB1473">
            <w:pPr>
              <w:spacing w:before="60" w:after="60"/>
              <w:rPr>
                <w:rFonts w:eastAsia="Times New Roman"/>
                <w:color w:val="000000"/>
                <w:sz w:val="12"/>
                <w:szCs w:val="12"/>
              </w:rPr>
            </w:pPr>
          </w:p>
        </w:tc>
        <w:tc>
          <w:tcPr>
            <w:tcW w:w="963" w:type="pct"/>
            <w:tcBorders>
              <w:right w:val="single" w:sz="8" w:space="0" w:color="auto"/>
            </w:tcBorders>
            <w:noWrap/>
            <w:hideMark/>
          </w:tcPr>
          <w:p w14:paraId="00BAA57D" w14:textId="77777777" w:rsidR="00182448" w:rsidRPr="004D0272" w:rsidRDefault="00182448" w:rsidP="00AB1473">
            <w:pPr>
              <w:spacing w:before="60" w:after="60"/>
              <w:rPr>
                <w:rFonts w:eastAsia="Times New Roman"/>
                <w:color w:val="000000"/>
                <w:sz w:val="12"/>
                <w:szCs w:val="12"/>
              </w:rPr>
            </w:pPr>
          </w:p>
        </w:tc>
      </w:tr>
      <w:tr w:rsidR="00182448" w:rsidRPr="004D0272" w14:paraId="655BE285" w14:textId="77777777" w:rsidTr="00502FEE">
        <w:trPr>
          <w:trHeight w:val="315"/>
        </w:trPr>
        <w:tc>
          <w:tcPr>
            <w:tcW w:w="2068" w:type="pct"/>
            <w:tcBorders>
              <w:left w:val="single" w:sz="8" w:space="0" w:color="auto"/>
            </w:tcBorders>
            <w:noWrap/>
            <w:hideMark/>
          </w:tcPr>
          <w:p w14:paraId="18A96062" w14:textId="77777777" w:rsidR="00182448" w:rsidRPr="004D0272" w:rsidRDefault="00182448" w:rsidP="00AF0889">
            <w:pPr>
              <w:spacing w:before="40" w:after="20"/>
              <w:rPr>
                <w:rFonts w:eastAsia="Times New Roman"/>
                <w:b/>
                <w:bCs/>
                <w:color w:val="000000"/>
                <w:sz w:val="20"/>
                <w:szCs w:val="20"/>
              </w:rPr>
            </w:pPr>
            <w:r w:rsidRPr="004D0272">
              <w:rPr>
                <w:rFonts w:eastAsia="Times New Roman"/>
                <w:b/>
                <w:bCs/>
                <w:color w:val="000000"/>
                <w:sz w:val="20"/>
                <w:szCs w:val="20"/>
              </w:rPr>
              <w:t>SMF Portfolio vs. Reference Portfolio</w:t>
            </w:r>
          </w:p>
        </w:tc>
        <w:tc>
          <w:tcPr>
            <w:tcW w:w="1074" w:type="pct"/>
            <w:noWrap/>
            <w:hideMark/>
          </w:tcPr>
          <w:p w14:paraId="34E34EBB" w14:textId="77777777" w:rsidR="00182448" w:rsidRPr="004D0272" w:rsidRDefault="00182448" w:rsidP="00AF0889">
            <w:pPr>
              <w:spacing w:before="40" w:after="20"/>
              <w:jc w:val="center"/>
              <w:rPr>
                <w:rFonts w:eastAsia="Times New Roman"/>
                <w:color w:val="000000"/>
                <w:sz w:val="20"/>
                <w:szCs w:val="20"/>
              </w:rPr>
            </w:pPr>
          </w:p>
        </w:tc>
        <w:tc>
          <w:tcPr>
            <w:tcW w:w="896" w:type="pct"/>
            <w:noWrap/>
            <w:hideMark/>
          </w:tcPr>
          <w:p w14:paraId="0F5023D5" w14:textId="77777777" w:rsidR="00182448" w:rsidRPr="004D0272" w:rsidRDefault="00182448" w:rsidP="00AF0889">
            <w:pPr>
              <w:spacing w:before="40" w:after="20"/>
              <w:jc w:val="center"/>
              <w:rPr>
                <w:rFonts w:eastAsia="Times New Roman"/>
                <w:color w:val="000000"/>
                <w:sz w:val="20"/>
                <w:szCs w:val="20"/>
              </w:rPr>
            </w:pPr>
          </w:p>
        </w:tc>
        <w:tc>
          <w:tcPr>
            <w:tcW w:w="963" w:type="pct"/>
            <w:tcBorders>
              <w:right w:val="single" w:sz="8" w:space="0" w:color="auto"/>
            </w:tcBorders>
            <w:noWrap/>
            <w:hideMark/>
          </w:tcPr>
          <w:p w14:paraId="107B4D94" w14:textId="77777777" w:rsidR="00182448" w:rsidRPr="004D0272" w:rsidRDefault="00182448" w:rsidP="00AF0889">
            <w:pPr>
              <w:spacing w:before="40" w:after="20"/>
              <w:jc w:val="center"/>
              <w:rPr>
                <w:rFonts w:eastAsia="Times New Roman"/>
                <w:color w:val="000000"/>
                <w:sz w:val="20"/>
                <w:szCs w:val="20"/>
              </w:rPr>
            </w:pPr>
          </w:p>
        </w:tc>
      </w:tr>
      <w:tr w:rsidR="00182448" w:rsidRPr="004D0272" w14:paraId="3D9891AB" w14:textId="77777777" w:rsidTr="00502FEE">
        <w:trPr>
          <w:trHeight w:val="315"/>
        </w:trPr>
        <w:tc>
          <w:tcPr>
            <w:tcW w:w="2068" w:type="pct"/>
            <w:tcBorders>
              <w:left w:val="single" w:sz="8" w:space="0" w:color="auto"/>
            </w:tcBorders>
            <w:noWrap/>
            <w:hideMark/>
          </w:tcPr>
          <w:p w14:paraId="110DEFE8" w14:textId="77777777" w:rsidR="00182448" w:rsidRPr="004D0272" w:rsidRDefault="00182448" w:rsidP="00AF0889">
            <w:pPr>
              <w:spacing w:before="40" w:after="20"/>
              <w:rPr>
                <w:rFonts w:eastAsia="Times New Roman"/>
                <w:color w:val="000000"/>
                <w:sz w:val="20"/>
                <w:szCs w:val="20"/>
              </w:rPr>
            </w:pPr>
            <w:r w:rsidRPr="004D0272">
              <w:rPr>
                <w:rFonts w:eastAsia="Times New Roman"/>
                <w:color w:val="000000"/>
                <w:sz w:val="20"/>
                <w:szCs w:val="20"/>
              </w:rPr>
              <w:t>Asset Allocation</w:t>
            </w:r>
          </w:p>
        </w:tc>
        <w:tc>
          <w:tcPr>
            <w:tcW w:w="1074" w:type="pct"/>
            <w:noWrap/>
            <w:hideMark/>
          </w:tcPr>
          <w:p w14:paraId="5EB96282" w14:textId="77777777" w:rsidR="00182448" w:rsidRPr="004D0272" w:rsidRDefault="00182448" w:rsidP="00AF0889">
            <w:pPr>
              <w:spacing w:before="40" w:after="20"/>
              <w:jc w:val="center"/>
              <w:rPr>
                <w:rFonts w:eastAsia="Times New Roman"/>
                <w:color w:val="000000"/>
                <w:sz w:val="20"/>
                <w:szCs w:val="20"/>
              </w:rPr>
            </w:pPr>
            <w:r w:rsidRPr="004D0272">
              <w:rPr>
                <w:rFonts w:eastAsia="Times New Roman"/>
                <w:color w:val="000000"/>
                <w:sz w:val="20"/>
                <w:szCs w:val="20"/>
              </w:rPr>
              <w:t>0.01%</w:t>
            </w:r>
          </w:p>
        </w:tc>
        <w:tc>
          <w:tcPr>
            <w:tcW w:w="896" w:type="pct"/>
            <w:noWrap/>
            <w:hideMark/>
          </w:tcPr>
          <w:p w14:paraId="0904FD28" w14:textId="77777777" w:rsidR="00182448" w:rsidRPr="004D0272" w:rsidRDefault="00182448" w:rsidP="00AF0889">
            <w:pPr>
              <w:spacing w:before="40" w:after="20"/>
              <w:jc w:val="center"/>
              <w:rPr>
                <w:rFonts w:eastAsia="Times New Roman"/>
                <w:color w:val="000000"/>
                <w:sz w:val="20"/>
                <w:szCs w:val="20"/>
              </w:rPr>
            </w:pPr>
            <w:r w:rsidRPr="004D0272">
              <w:rPr>
                <w:rFonts w:eastAsia="Times New Roman"/>
                <w:color w:val="000000"/>
                <w:sz w:val="20"/>
                <w:szCs w:val="20"/>
              </w:rPr>
              <w:t>-0.</w:t>
            </w:r>
            <w:r>
              <w:rPr>
                <w:rFonts w:eastAsia="Times New Roman"/>
                <w:color w:val="000000"/>
                <w:sz w:val="20"/>
                <w:szCs w:val="20"/>
              </w:rPr>
              <w:t>08</w:t>
            </w:r>
            <w:r w:rsidRPr="004D0272">
              <w:rPr>
                <w:rFonts w:eastAsia="Times New Roman"/>
                <w:color w:val="000000"/>
                <w:sz w:val="20"/>
                <w:szCs w:val="20"/>
              </w:rPr>
              <w:t>%</w:t>
            </w:r>
          </w:p>
        </w:tc>
        <w:tc>
          <w:tcPr>
            <w:tcW w:w="963" w:type="pct"/>
            <w:tcBorders>
              <w:right w:val="single" w:sz="8" w:space="0" w:color="auto"/>
            </w:tcBorders>
            <w:noWrap/>
            <w:hideMark/>
          </w:tcPr>
          <w:p w14:paraId="1F709889" w14:textId="77777777" w:rsidR="00182448" w:rsidRPr="004D0272" w:rsidRDefault="00182448" w:rsidP="00AF0889">
            <w:pPr>
              <w:spacing w:before="40" w:after="20"/>
              <w:jc w:val="center"/>
              <w:rPr>
                <w:rFonts w:eastAsia="Times New Roman"/>
                <w:color w:val="000000"/>
                <w:sz w:val="20"/>
                <w:szCs w:val="20"/>
              </w:rPr>
            </w:pPr>
            <w:r w:rsidRPr="004D0272">
              <w:rPr>
                <w:rFonts w:eastAsia="Times New Roman"/>
                <w:color w:val="000000"/>
                <w:sz w:val="20"/>
                <w:szCs w:val="20"/>
              </w:rPr>
              <w:t>-0.</w:t>
            </w:r>
            <w:r>
              <w:rPr>
                <w:rFonts w:eastAsia="Times New Roman"/>
                <w:color w:val="000000"/>
                <w:sz w:val="20"/>
                <w:szCs w:val="20"/>
              </w:rPr>
              <w:t>07</w:t>
            </w:r>
            <w:r w:rsidRPr="004D0272">
              <w:rPr>
                <w:rFonts w:eastAsia="Times New Roman"/>
                <w:color w:val="000000"/>
                <w:sz w:val="20"/>
                <w:szCs w:val="20"/>
              </w:rPr>
              <w:t>%</w:t>
            </w:r>
          </w:p>
        </w:tc>
      </w:tr>
      <w:tr w:rsidR="00182448" w:rsidRPr="004D0272" w14:paraId="7E210657" w14:textId="77777777" w:rsidTr="00502FEE">
        <w:trPr>
          <w:trHeight w:val="315"/>
        </w:trPr>
        <w:tc>
          <w:tcPr>
            <w:tcW w:w="2068" w:type="pct"/>
            <w:tcBorders>
              <w:left w:val="single" w:sz="8" w:space="0" w:color="auto"/>
            </w:tcBorders>
            <w:noWrap/>
            <w:hideMark/>
          </w:tcPr>
          <w:p w14:paraId="2119150E" w14:textId="77777777" w:rsidR="00182448" w:rsidRPr="004D0272" w:rsidRDefault="00182448" w:rsidP="00AF0889">
            <w:pPr>
              <w:spacing w:before="40" w:after="20"/>
              <w:rPr>
                <w:rFonts w:eastAsia="Times New Roman"/>
                <w:color w:val="000000"/>
                <w:sz w:val="20"/>
                <w:szCs w:val="20"/>
              </w:rPr>
            </w:pPr>
            <w:r w:rsidRPr="004D0272">
              <w:rPr>
                <w:rFonts w:eastAsia="Times New Roman"/>
                <w:color w:val="000000"/>
                <w:sz w:val="20"/>
                <w:szCs w:val="20"/>
              </w:rPr>
              <w:t xml:space="preserve">Security Selection - AAE Portfolio </w:t>
            </w:r>
          </w:p>
        </w:tc>
        <w:tc>
          <w:tcPr>
            <w:tcW w:w="1074" w:type="pct"/>
            <w:noWrap/>
            <w:hideMark/>
          </w:tcPr>
          <w:p w14:paraId="5A497BF2" w14:textId="77777777" w:rsidR="00182448" w:rsidRPr="004D0272" w:rsidRDefault="00182448" w:rsidP="00AF0889">
            <w:pPr>
              <w:spacing w:before="40" w:after="20"/>
              <w:jc w:val="center"/>
              <w:rPr>
                <w:rFonts w:eastAsia="Times New Roman"/>
                <w:color w:val="000000"/>
                <w:sz w:val="20"/>
                <w:szCs w:val="20"/>
              </w:rPr>
            </w:pPr>
            <w:r w:rsidRPr="004D0272">
              <w:rPr>
                <w:rFonts w:eastAsia="Times New Roman"/>
                <w:color w:val="000000"/>
                <w:sz w:val="20"/>
                <w:szCs w:val="20"/>
              </w:rPr>
              <w:t>-1.00%</w:t>
            </w:r>
          </w:p>
        </w:tc>
        <w:tc>
          <w:tcPr>
            <w:tcW w:w="896" w:type="pct"/>
            <w:noWrap/>
            <w:hideMark/>
          </w:tcPr>
          <w:p w14:paraId="5024E627" w14:textId="77777777" w:rsidR="00182448" w:rsidRPr="004D0272" w:rsidRDefault="00182448" w:rsidP="00AF0889">
            <w:pPr>
              <w:spacing w:before="40" w:after="20"/>
              <w:jc w:val="center"/>
              <w:rPr>
                <w:rFonts w:eastAsia="Times New Roman"/>
                <w:color w:val="000000"/>
                <w:sz w:val="20"/>
                <w:szCs w:val="20"/>
              </w:rPr>
            </w:pPr>
            <w:r w:rsidRPr="004D0272">
              <w:rPr>
                <w:rFonts w:eastAsia="Times New Roman"/>
                <w:color w:val="000000"/>
                <w:sz w:val="20"/>
                <w:szCs w:val="20"/>
              </w:rPr>
              <w:t>0.</w:t>
            </w:r>
            <w:r>
              <w:rPr>
                <w:rFonts w:eastAsia="Times New Roman"/>
                <w:color w:val="000000"/>
                <w:sz w:val="20"/>
                <w:szCs w:val="20"/>
              </w:rPr>
              <w:t>70</w:t>
            </w:r>
            <w:r w:rsidRPr="004D0272">
              <w:rPr>
                <w:rFonts w:eastAsia="Times New Roman"/>
                <w:color w:val="000000"/>
                <w:sz w:val="20"/>
                <w:szCs w:val="20"/>
              </w:rPr>
              <w:t>%</w:t>
            </w:r>
          </w:p>
        </w:tc>
        <w:tc>
          <w:tcPr>
            <w:tcW w:w="963" w:type="pct"/>
            <w:tcBorders>
              <w:right w:val="single" w:sz="8" w:space="0" w:color="auto"/>
            </w:tcBorders>
            <w:noWrap/>
            <w:hideMark/>
          </w:tcPr>
          <w:p w14:paraId="329E4DF2" w14:textId="77777777" w:rsidR="00182448" w:rsidRPr="004D0272" w:rsidRDefault="00182448" w:rsidP="00AF0889">
            <w:pPr>
              <w:spacing w:before="40" w:after="20"/>
              <w:jc w:val="center"/>
              <w:rPr>
                <w:rFonts w:eastAsia="Times New Roman"/>
                <w:color w:val="000000"/>
                <w:sz w:val="20"/>
                <w:szCs w:val="20"/>
              </w:rPr>
            </w:pPr>
            <w:r w:rsidRPr="004D0272">
              <w:rPr>
                <w:rFonts w:eastAsia="Times New Roman"/>
                <w:color w:val="000000"/>
                <w:sz w:val="20"/>
                <w:szCs w:val="20"/>
              </w:rPr>
              <w:t>-0.</w:t>
            </w:r>
            <w:r>
              <w:rPr>
                <w:rFonts w:eastAsia="Times New Roman"/>
                <w:color w:val="000000"/>
                <w:sz w:val="20"/>
                <w:szCs w:val="20"/>
              </w:rPr>
              <w:t>30</w:t>
            </w:r>
            <w:r w:rsidRPr="004D0272">
              <w:rPr>
                <w:rFonts w:eastAsia="Times New Roman"/>
                <w:color w:val="000000"/>
                <w:sz w:val="20"/>
                <w:szCs w:val="20"/>
              </w:rPr>
              <w:t>%</w:t>
            </w:r>
          </w:p>
        </w:tc>
      </w:tr>
      <w:tr w:rsidR="00182448" w:rsidRPr="004D0272" w14:paraId="7AB2D55F" w14:textId="77777777" w:rsidTr="00502FEE">
        <w:trPr>
          <w:trHeight w:val="315"/>
        </w:trPr>
        <w:tc>
          <w:tcPr>
            <w:tcW w:w="2068" w:type="pct"/>
            <w:tcBorders>
              <w:left w:val="single" w:sz="8" w:space="0" w:color="auto"/>
              <w:bottom w:val="single" w:sz="4" w:space="0" w:color="auto"/>
            </w:tcBorders>
            <w:noWrap/>
            <w:hideMark/>
          </w:tcPr>
          <w:p w14:paraId="53FD381B" w14:textId="77777777" w:rsidR="00182448" w:rsidRPr="004D0272" w:rsidRDefault="00182448" w:rsidP="00AF0889">
            <w:pPr>
              <w:spacing w:before="40" w:after="20"/>
              <w:rPr>
                <w:rFonts w:eastAsia="Times New Roman"/>
                <w:color w:val="000000"/>
                <w:sz w:val="20"/>
                <w:szCs w:val="20"/>
              </w:rPr>
            </w:pPr>
            <w:r w:rsidRPr="004D0272">
              <w:rPr>
                <w:rFonts w:eastAsia="Times New Roman"/>
                <w:color w:val="000000"/>
                <w:sz w:val="20"/>
                <w:szCs w:val="20"/>
              </w:rPr>
              <w:t>Security Selection - Cash Portfolio</w:t>
            </w:r>
          </w:p>
        </w:tc>
        <w:tc>
          <w:tcPr>
            <w:tcW w:w="1074" w:type="pct"/>
            <w:tcBorders>
              <w:bottom w:val="single" w:sz="4" w:space="0" w:color="auto"/>
            </w:tcBorders>
            <w:noWrap/>
            <w:hideMark/>
          </w:tcPr>
          <w:p w14:paraId="345E516E" w14:textId="77777777" w:rsidR="00182448" w:rsidRPr="004D0272" w:rsidRDefault="00182448" w:rsidP="00AF0889">
            <w:pPr>
              <w:spacing w:before="40" w:after="20"/>
              <w:jc w:val="center"/>
              <w:rPr>
                <w:rFonts w:eastAsia="Times New Roman"/>
                <w:color w:val="000000"/>
                <w:sz w:val="20"/>
                <w:szCs w:val="20"/>
              </w:rPr>
            </w:pPr>
            <w:r w:rsidRPr="004D0272">
              <w:rPr>
                <w:rFonts w:eastAsia="Times New Roman"/>
                <w:color w:val="000000"/>
                <w:sz w:val="20"/>
                <w:szCs w:val="20"/>
              </w:rPr>
              <w:t>-0.01%</w:t>
            </w:r>
          </w:p>
        </w:tc>
        <w:tc>
          <w:tcPr>
            <w:tcW w:w="896" w:type="pct"/>
            <w:tcBorders>
              <w:bottom w:val="single" w:sz="4" w:space="0" w:color="auto"/>
            </w:tcBorders>
            <w:noWrap/>
            <w:hideMark/>
          </w:tcPr>
          <w:p w14:paraId="2166B8D6" w14:textId="77777777" w:rsidR="00182448" w:rsidRPr="004D0272" w:rsidRDefault="00182448" w:rsidP="00AF0889">
            <w:pPr>
              <w:spacing w:before="40" w:after="20"/>
              <w:jc w:val="center"/>
              <w:rPr>
                <w:rFonts w:eastAsia="Times New Roman"/>
                <w:color w:val="000000"/>
                <w:sz w:val="20"/>
                <w:szCs w:val="20"/>
              </w:rPr>
            </w:pPr>
            <w:r w:rsidRPr="004D0272">
              <w:rPr>
                <w:rFonts w:eastAsia="Times New Roman"/>
                <w:color w:val="000000"/>
                <w:sz w:val="20"/>
                <w:szCs w:val="20"/>
              </w:rPr>
              <w:t>-0.01%</w:t>
            </w:r>
          </w:p>
        </w:tc>
        <w:tc>
          <w:tcPr>
            <w:tcW w:w="963" w:type="pct"/>
            <w:tcBorders>
              <w:bottom w:val="single" w:sz="4" w:space="0" w:color="auto"/>
              <w:right w:val="single" w:sz="8" w:space="0" w:color="auto"/>
            </w:tcBorders>
            <w:noWrap/>
            <w:hideMark/>
          </w:tcPr>
          <w:p w14:paraId="7CCDB557" w14:textId="77777777" w:rsidR="00182448" w:rsidRPr="004D0272" w:rsidRDefault="00182448" w:rsidP="00AF0889">
            <w:pPr>
              <w:spacing w:before="40" w:after="20"/>
              <w:jc w:val="center"/>
              <w:rPr>
                <w:rFonts w:eastAsia="Times New Roman"/>
                <w:color w:val="000000"/>
                <w:sz w:val="20"/>
                <w:szCs w:val="20"/>
              </w:rPr>
            </w:pPr>
            <w:r w:rsidRPr="004D0272">
              <w:rPr>
                <w:rFonts w:eastAsia="Times New Roman"/>
                <w:color w:val="000000"/>
                <w:sz w:val="20"/>
                <w:szCs w:val="20"/>
              </w:rPr>
              <w:t>-0.0</w:t>
            </w:r>
            <w:r>
              <w:rPr>
                <w:rFonts w:eastAsia="Times New Roman"/>
                <w:color w:val="000000"/>
                <w:sz w:val="20"/>
                <w:szCs w:val="20"/>
              </w:rPr>
              <w:t>3</w:t>
            </w:r>
            <w:r w:rsidRPr="004D0272">
              <w:rPr>
                <w:rFonts w:eastAsia="Times New Roman"/>
                <w:color w:val="000000"/>
                <w:sz w:val="20"/>
                <w:szCs w:val="20"/>
              </w:rPr>
              <w:t>%</w:t>
            </w:r>
          </w:p>
        </w:tc>
      </w:tr>
      <w:tr w:rsidR="00182448" w:rsidRPr="004D0272" w14:paraId="0D22E4A8" w14:textId="77777777" w:rsidTr="00502FEE">
        <w:trPr>
          <w:trHeight w:val="315"/>
        </w:trPr>
        <w:tc>
          <w:tcPr>
            <w:tcW w:w="2068" w:type="pct"/>
            <w:tcBorders>
              <w:top w:val="single" w:sz="4" w:space="0" w:color="auto"/>
              <w:left w:val="single" w:sz="8" w:space="0" w:color="auto"/>
              <w:bottom w:val="single" w:sz="4" w:space="0" w:color="auto"/>
            </w:tcBorders>
            <w:noWrap/>
            <w:hideMark/>
          </w:tcPr>
          <w:p w14:paraId="39B086A3" w14:textId="77777777" w:rsidR="00182448" w:rsidRPr="004D0272" w:rsidRDefault="00182448" w:rsidP="00AF0889">
            <w:pPr>
              <w:spacing w:before="40" w:after="20"/>
              <w:rPr>
                <w:rFonts w:eastAsia="Times New Roman"/>
                <w:color w:val="000000"/>
                <w:sz w:val="20"/>
                <w:szCs w:val="20"/>
              </w:rPr>
            </w:pPr>
            <w:r w:rsidRPr="004D0272">
              <w:rPr>
                <w:rFonts w:eastAsia="Times New Roman"/>
                <w:color w:val="000000"/>
                <w:sz w:val="20"/>
                <w:szCs w:val="20"/>
              </w:rPr>
              <w:t>Contribution from Positions Held</w:t>
            </w:r>
          </w:p>
        </w:tc>
        <w:tc>
          <w:tcPr>
            <w:tcW w:w="1074" w:type="pct"/>
            <w:tcBorders>
              <w:top w:val="single" w:sz="4" w:space="0" w:color="auto"/>
              <w:bottom w:val="single" w:sz="4" w:space="0" w:color="auto"/>
            </w:tcBorders>
            <w:noWrap/>
            <w:hideMark/>
          </w:tcPr>
          <w:p w14:paraId="4429EF0F" w14:textId="77777777" w:rsidR="00182448" w:rsidRPr="004D0272" w:rsidRDefault="00182448" w:rsidP="00AF0889">
            <w:pPr>
              <w:spacing w:before="40" w:after="20"/>
              <w:jc w:val="center"/>
              <w:rPr>
                <w:rFonts w:eastAsia="Times New Roman"/>
                <w:color w:val="000000"/>
                <w:sz w:val="20"/>
                <w:szCs w:val="20"/>
              </w:rPr>
            </w:pPr>
            <w:r w:rsidRPr="004D0272">
              <w:rPr>
                <w:rFonts w:eastAsia="Times New Roman"/>
                <w:color w:val="000000"/>
                <w:sz w:val="20"/>
                <w:szCs w:val="20"/>
              </w:rPr>
              <w:t>-1.00%</w:t>
            </w:r>
          </w:p>
        </w:tc>
        <w:tc>
          <w:tcPr>
            <w:tcW w:w="896" w:type="pct"/>
            <w:tcBorders>
              <w:top w:val="single" w:sz="4" w:space="0" w:color="auto"/>
              <w:bottom w:val="single" w:sz="4" w:space="0" w:color="auto"/>
            </w:tcBorders>
            <w:noWrap/>
            <w:hideMark/>
          </w:tcPr>
          <w:p w14:paraId="17C4F61B" w14:textId="77777777" w:rsidR="00182448" w:rsidRPr="004D0272" w:rsidRDefault="00182448" w:rsidP="00AF0889">
            <w:pPr>
              <w:spacing w:before="40" w:after="20"/>
              <w:jc w:val="center"/>
              <w:rPr>
                <w:rFonts w:eastAsia="Times New Roman"/>
                <w:color w:val="000000"/>
                <w:sz w:val="20"/>
                <w:szCs w:val="20"/>
              </w:rPr>
            </w:pPr>
            <w:r w:rsidRPr="004D0272">
              <w:rPr>
                <w:rFonts w:eastAsia="Times New Roman"/>
                <w:color w:val="000000"/>
                <w:sz w:val="20"/>
                <w:szCs w:val="20"/>
              </w:rPr>
              <w:t>0.</w:t>
            </w:r>
            <w:r>
              <w:rPr>
                <w:rFonts w:eastAsia="Times New Roman"/>
                <w:color w:val="000000"/>
                <w:sz w:val="20"/>
                <w:szCs w:val="20"/>
              </w:rPr>
              <w:t>61</w:t>
            </w:r>
            <w:r w:rsidRPr="004D0272">
              <w:rPr>
                <w:rFonts w:eastAsia="Times New Roman"/>
                <w:color w:val="000000"/>
                <w:sz w:val="20"/>
                <w:szCs w:val="20"/>
              </w:rPr>
              <w:t>%</w:t>
            </w:r>
          </w:p>
        </w:tc>
        <w:tc>
          <w:tcPr>
            <w:tcW w:w="963" w:type="pct"/>
            <w:tcBorders>
              <w:top w:val="single" w:sz="4" w:space="0" w:color="auto"/>
              <w:bottom w:val="single" w:sz="4" w:space="0" w:color="auto"/>
              <w:right w:val="single" w:sz="8" w:space="0" w:color="auto"/>
            </w:tcBorders>
            <w:noWrap/>
            <w:hideMark/>
          </w:tcPr>
          <w:p w14:paraId="7A22339C" w14:textId="77777777" w:rsidR="00182448" w:rsidRPr="004D0272" w:rsidRDefault="00182448" w:rsidP="00AF0889">
            <w:pPr>
              <w:spacing w:before="40" w:after="20"/>
              <w:jc w:val="center"/>
              <w:rPr>
                <w:rFonts w:eastAsia="Times New Roman"/>
                <w:color w:val="000000"/>
                <w:sz w:val="20"/>
                <w:szCs w:val="20"/>
              </w:rPr>
            </w:pPr>
            <w:r w:rsidRPr="004D0272">
              <w:rPr>
                <w:rFonts w:eastAsia="Times New Roman"/>
                <w:color w:val="000000"/>
                <w:sz w:val="20"/>
                <w:szCs w:val="20"/>
              </w:rPr>
              <w:t>-0.</w:t>
            </w:r>
            <w:r>
              <w:rPr>
                <w:rFonts w:eastAsia="Times New Roman"/>
                <w:color w:val="000000"/>
                <w:sz w:val="20"/>
                <w:szCs w:val="20"/>
              </w:rPr>
              <w:t>39</w:t>
            </w:r>
            <w:r w:rsidRPr="004D0272">
              <w:rPr>
                <w:rFonts w:eastAsia="Times New Roman"/>
                <w:color w:val="000000"/>
                <w:sz w:val="20"/>
                <w:szCs w:val="20"/>
              </w:rPr>
              <w:t>%</w:t>
            </w:r>
          </w:p>
        </w:tc>
      </w:tr>
      <w:tr w:rsidR="00182448" w:rsidRPr="004D0272" w14:paraId="7A07E266" w14:textId="77777777" w:rsidTr="00502FEE">
        <w:trPr>
          <w:trHeight w:val="315"/>
        </w:trPr>
        <w:tc>
          <w:tcPr>
            <w:tcW w:w="2068" w:type="pct"/>
            <w:tcBorders>
              <w:top w:val="single" w:sz="4" w:space="0" w:color="auto"/>
              <w:left w:val="single" w:sz="8" w:space="0" w:color="auto"/>
              <w:bottom w:val="single" w:sz="4" w:space="0" w:color="auto"/>
            </w:tcBorders>
            <w:noWrap/>
            <w:hideMark/>
          </w:tcPr>
          <w:p w14:paraId="0EAAB39C" w14:textId="77777777" w:rsidR="00182448" w:rsidRPr="004D0272" w:rsidRDefault="00182448" w:rsidP="00AF0889">
            <w:pPr>
              <w:spacing w:before="40" w:after="20"/>
              <w:rPr>
                <w:rFonts w:eastAsia="Times New Roman"/>
                <w:color w:val="000000"/>
                <w:sz w:val="20"/>
                <w:szCs w:val="20"/>
              </w:rPr>
            </w:pPr>
            <w:r w:rsidRPr="004D0272">
              <w:rPr>
                <w:rFonts w:eastAsia="Times New Roman"/>
                <w:color w:val="000000"/>
                <w:sz w:val="20"/>
                <w:szCs w:val="20"/>
              </w:rPr>
              <w:t>Interaction, aggregation, trading effects</w:t>
            </w:r>
          </w:p>
        </w:tc>
        <w:tc>
          <w:tcPr>
            <w:tcW w:w="1074" w:type="pct"/>
            <w:tcBorders>
              <w:top w:val="single" w:sz="4" w:space="0" w:color="auto"/>
              <w:bottom w:val="single" w:sz="4" w:space="0" w:color="auto"/>
            </w:tcBorders>
            <w:noWrap/>
            <w:hideMark/>
          </w:tcPr>
          <w:p w14:paraId="45B93273" w14:textId="77777777" w:rsidR="00182448" w:rsidRPr="004D0272" w:rsidRDefault="00182448" w:rsidP="00AF0889">
            <w:pPr>
              <w:spacing w:before="40" w:after="20"/>
              <w:jc w:val="center"/>
              <w:rPr>
                <w:rFonts w:eastAsia="Times New Roman"/>
                <w:color w:val="000000"/>
                <w:sz w:val="20"/>
                <w:szCs w:val="20"/>
              </w:rPr>
            </w:pPr>
            <w:r w:rsidRPr="004D0272">
              <w:rPr>
                <w:rFonts w:eastAsia="Times New Roman"/>
                <w:color w:val="000000"/>
                <w:sz w:val="20"/>
                <w:szCs w:val="20"/>
              </w:rPr>
              <w:t>-0.11%</w:t>
            </w:r>
          </w:p>
        </w:tc>
        <w:tc>
          <w:tcPr>
            <w:tcW w:w="896" w:type="pct"/>
            <w:tcBorders>
              <w:top w:val="single" w:sz="4" w:space="0" w:color="auto"/>
              <w:bottom w:val="single" w:sz="4" w:space="0" w:color="auto"/>
            </w:tcBorders>
            <w:noWrap/>
            <w:hideMark/>
          </w:tcPr>
          <w:p w14:paraId="6CD14A41" w14:textId="77777777" w:rsidR="00182448" w:rsidRPr="004D0272" w:rsidRDefault="00182448" w:rsidP="00AF0889">
            <w:pPr>
              <w:spacing w:before="40" w:after="20"/>
              <w:jc w:val="center"/>
              <w:rPr>
                <w:rFonts w:eastAsia="Times New Roman"/>
                <w:color w:val="000000"/>
                <w:sz w:val="20"/>
                <w:szCs w:val="20"/>
              </w:rPr>
            </w:pPr>
            <w:r w:rsidRPr="004D0272">
              <w:rPr>
                <w:rFonts w:eastAsia="Times New Roman"/>
                <w:color w:val="000000"/>
                <w:sz w:val="20"/>
                <w:szCs w:val="20"/>
              </w:rPr>
              <w:t>0.</w:t>
            </w:r>
            <w:r>
              <w:rPr>
                <w:rFonts w:eastAsia="Times New Roman"/>
                <w:color w:val="000000"/>
                <w:sz w:val="20"/>
                <w:szCs w:val="20"/>
              </w:rPr>
              <w:t>28</w:t>
            </w:r>
            <w:r w:rsidRPr="004D0272">
              <w:rPr>
                <w:rFonts w:eastAsia="Times New Roman"/>
                <w:color w:val="000000"/>
                <w:sz w:val="20"/>
                <w:szCs w:val="20"/>
              </w:rPr>
              <w:t>%</w:t>
            </w:r>
          </w:p>
        </w:tc>
        <w:tc>
          <w:tcPr>
            <w:tcW w:w="963" w:type="pct"/>
            <w:tcBorders>
              <w:top w:val="single" w:sz="4" w:space="0" w:color="auto"/>
              <w:bottom w:val="single" w:sz="4" w:space="0" w:color="auto"/>
              <w:right w:val="single" w:sz="8" w:space="0" w:color="auto"/>
            </w:tcBorders>
            <w:noWrap/>
            <w:hideMark/>
          </w:tcPr>
          <w:p w14:paraId="341A8FB5" w14:textId="77777777" w:rsidR="00182448" w:rsidRPr="004D0272" w:rsidRDefault="00182448" w:rsidP="00AF0889">
            <w:pPr>
              <w:spacing w:before="40" w:after="20"/>
              <w:jc w:val="center"/>
              <w:rPr>
                <w:rFonts w:eastAsia="Times New Roman"/>
                <w:color w:val="000000"/>
                <w:sz w:val="20"/>
                <w:szCs w:val="20"/>
              </w:rPr>
            </w:pPr>
            <w:r w:rsidRPr="004D0272">
              <w:rPr>
                <w:rFonts w:eastAsia="Times New Roman"/>
                <w:color w:val="000000"/>
                <w:sz w:val="20"/>
                <w:szCs w:val="20"/>
              </w:rPr>
              <w:t>-</w:t>
            </w:r>
            <w:r>
              <w:rPr>
                <w:rFonts w:eastAsia="Times New Roman"/>
                <w:color w:val="000000"/>
                <w:sz w:val="20"/>
                <w:szCs w:val="20"/>
              </w:rPr>
              <w:t>0.08</w:t>
            </w:r>
            <w:r w:rsidRPr="004D0272">
              <w:rPr>
                <w:rFonts w:eastAsia="Times New Roman"/>
                <w:color w:val="000000"/>
                <w:sz w:val="20"/>
                <w:szCs w:val="20"/>
              </w:rPr>
              <w:t>%</w:t>
            </w:r>
          </w:p>
        </w:tc>
      </w:tr>
      <w:tr w:rsidR="00182448" w:rsidRPr="004D0272" w14:paraId="2006B2DB" w14:textId="77777777" w:rsidTr="00502FEE">
        <w:trPr>
          <w:trHeight w:val="315"/>
        </w:trPr>
        <w:tc>
          <w:tcPr>
            <w:tcW w:w="2068" w:type="pct"/>
            <w:tcBorders>
              <w:top w:val="single" w:sz="4" w:space="0" w:color="auto"/>
              <w:left w:val="single" w:sz="8" w:space="0" w:color="auto"/>
              <w:bottom w:val="single" w:sz="4" w:space="0" w:color="auto"/>
            </w:tcBorders>
            <w:noWrap/>
            <w:hideMark/>
          </w:tcPr>
          <w:p w14:paraId="1B85667B" w14:textId="77777777" w:rsidR="00182448" w:rsidRPr="004D0272" w:rsidRDefault="00182448" w:rsidP="00AF0889">
            <w:pPr>
              <w:spacing w:before="40" w:after="20"/>
              <w:rPr>
                <w:rFonts w:eastAsia="Times New Roman"/>
                <w:b/>
                <w:bCs/>
                <w:color w:val="000000"/>
                <w:sz w:val="20"/>
                <w:szCs w:val="20"/>
              </w:rPr>
            </w:pPr>
            <w:r w:rsidRPr="004D0272">
              <w:rPr>
                <w:rFonts w:eastAsia="Times New Roman"/>
                <w:b/>
                <w:bCs/>
                <w:color w:val="000000"/>
                <w:sz w:val="20"/>
                <w:szCs w:val="20"/>
              </w:rPr>
              <w:t>Total Relative Performance</w:t>
            </w:r>
          </w:p>
        </w:tc>
        <w:tc>
          <w:tcPr>
            <w:tcW w:w="1074" w:type="pct"/>
            <w:tcBorders>
              <w:top w:val="single" w:sz="4" w:space="0" w:color="auto"/>
              <w:bottom w:val="single" w:sz="4" w:space="0" w:color="auto"/>
            </w:tcBorders>
            <w:noWrap/>
            <w:hideMark/>
          </w:tcPr>
          <w:p w14:paraId="67B9473C" w14:textId="77777777" w:rsidR="00182448" w:rsidRPr="004D0272" w:rsidRDefault="00182448" w:rsidP="00AF0889">
            <w:pPr>
              <w:spacing w:before="40" w:after="20"/>
              <w:jc w:val="center"/>
              <w:rPr>
                <w:rFonts w:eastAsia="Times New Roman"/>
                <w:color w:val="000000"/>
                <w:sz w:val="20"/>
                <w:szCs w:val="20"/>
              </w:rPr>
            </w:pPr>
            <w:r w:rsidRPr="004D0272">
              <w:rPr>
                <w:rFonts w:eastAsia="Times New Roman"/>
                <w:color w:val="000000"/>
                <w:sz w:val="20"/>
                <w:szCs w:val="20"/>
              </w:rPr>
              <w:t>-1.11%</w:t>
            </w:r>
          </w:p>
        </w:tc>
        <w:tc>
          <w:tcPr>
            <w:tcW w:w="896" w:type="pct"/>
            <w:tcBorders>
              <w:top w:val="single" w:sz="4" w:space="0" w:color="auto"/>
              <w:bottom w:val="single" w:sz="4" w:space="0" w:color="auto"/>
            </w:tcBorders>
            <w:noWrap/>
            <w:hideMark/>
          </w:tcPr>
          <w:p w14:paraId="49EEBEBC" w14:textId="77777777" w:rsidR="00182448" w:rsidRPr="004D0272" w:rsidRDefault="00182448" w:rsidP="00AF0889">
            <w:pPr>
              <w:spacing w:before="40" w:after="20"/>
              <w:jc w:val="center"/>
              <w:rPr>
                <w:rFonts w:eastAsia="Times New Roman"/>
                <w:color w:val="000000"/>
                <w:sz w:val="20"/>
                <w:szCs w:val="20"/>
              </w:rPr>
            </w:pPr>
            <w:r w:rsidRPr="004D0272">
              <w:rPr>
                <w:rFonts w:eastAsia="Times New Roman"/>
                <w:color w:val="000000"/>
                <w:sz w:val="20"/>
                <w:szCs w:val="20"/>
              </w:rPr>
              <w:t>0.</w:t>
            </w:r>
            <w:r>
              <w:rPr>
                <w:rFonts w:eastAsia="Times New Roman"/>
                <w:color w:val="000000"/>
                <w:sz w:val="20"/>
                <w:szCs w:val="20"/>
              </w:rPr>
              <w:t>83</w:t>
            </w:r>
            <w:r w:rsidRPr="004D0272">
              <w:rPr>
                <w:rFonts w:eastAsia="Times New Roman"/>
                <w:color w:val="000000"/>
                <w:sz w:val="20"/>
                <w:szCs w:val="20"/>
              </w:rPr>
              <w:t>%</w:t>
            </w:r>
          </w:p>
        </w:tc>
        <w:tc>
          <w:tcPr>
            <w:tcW w:w="963" w:type="pct"/>
            <w:tcBorders>
              <w:top w:val="single" w:sz="4" w:space="0" w:color="auto"/>
              <w:bottom w:val="single" w:sz="4" w:space="0" w:color="auto"/>
              <w:right w:val="single" w:sz="8" w:space="0" w:color="auto"/>
            </w:tcBorders>
            <w:noWrap/>
            <w:hideMark/>
          </w:tcPr>
          <w:p w14:paraId="67180863" w14:textId="77777777" w:rsidR="00182448" w:rsidRPr="004D0272" w:rsidRDefault="00182448" w:rsidP="00AF0889">
            <w:pPr>
              <w:spacing w:before="40" w:after="20"/>
              <w:jc w:val="center"/>
              <w:rPr>
                <w:rFonts w:eastAsia="Times New Roman"/>
                <w:color w:val="000000"/>
                <w:sz w:val="20"/>
                <w:szCs w:val="20"/>
              </w:rPr>
            </w:pPr>
            <w:r w:rsidRPr="004D0272">
              <w:rPr>
                <w:rFonts w:eastAsia="Times New Roman"/>
                <w:color w:val="000000"/>
                <w:sz w:val="20"/>
                <w:szCs w:val="20"/>
              </w:rPr>
              <w:t>-</w:t>
            </w:r>
            <w:r>
              <w:rPr>
                <w:rFonts w:eastAsia="Times New Roman"/>
                <w:color w:val="000000"/>
                <w:sz w:val="20"/>
                <w:szCs w:val="20"/>
              </w:rPr>
              <w:t>0.47</w:t>
            </w:r>
            <w:r w:rsidRPr="004D0272">
              <w:rPr>
                <w:rFonts w:eastAsia="Times New Roman"/>
                <w:color w:val="000000"/>
                <w:sz w:val="20"/>
                <w:szCs w:val="20"/>
              </w:rPr>
              <w:t>%</w:t>
            </w:r>
          </w:p>
        </w:tc>
      </w:tr>
      <w:tr w:rsidR="00182448" w:rsidRPr="004D0272" w14:paraId="6F2A1FF0" w14:textId="77777777" w:rsidTr="00502FEE">
        <w:trPr>
          <w:trHeight w:val="135"/>
        </w:trPr>
        <w:tc>
          <w:tcPr>
            <w:tcW w:w="2068" w:type="pct"/>
            <w:tcBorders>
              <w:top w:val="single" w:sz="4" w:space="0" w:color="auto"/>
              <w:left w:val="single" w:sz="8" w:space="0" w:color="auto"/>
            </w:tcBorders>
            <w:noWrap/>
            <w:hideMark/>
          </w:tcPr>
          <w:p w14:paraId="3C083CD2" w14:textId="77777777" w:rsidR="00182448" w:rsidRPr="004D0272" w:rsidRDefault="00182448" w:rsidP="00AB1473">
            <w:pPr>
              <w:spacing w:before="60" w:after="60"/>
              <w:rPr>
                <w:rFonts w:eastAsia="Times New Roman"/>
                <w:color w:val="000000"/>
                <w:sz w:val="12"/>
                <w:szCs w:val="12"/>
              </w:rPr>
            </w:pPr>
            <w:r w:rsidRPr="004D0272">
              <w:rPr>
                <w:rFonts w:eastAsia="Times New Roman"/>
                <w:color w:val="000000"/>
                <w:sz w:val="12"/>
                <w:szCs w:val="12"/>
              </w:rPr>
              <w:t> </w:t>
            </w:r>
          </w:p>
        </w:tc>
        <w:tc>
          <w:tcPr>
            <w:tcW w:w="1074" w:type="pct"/>
            <w:tcBorders>
              <w:top w:val="single" w:sz="4" w:space="0" w:color="auto"/>
            </w:tcBorders>
            <w:noWrap/>
            <w:hideMark/>
          </w:tcPr>
          <w:p w14:paraId="23122626" w14:textId="77777777" w:rsidR="00182448" w:rsidRPr="004D0272" w:rsidRDefault="00182448" w:rsidP="00AB1473">
            <w:pPr>
              <w:spacing w:before="60" w:after="60"/>
              <w:rPr>
                <w:rFonts w:eastAsia="Times New Roman"/>
                <w:color w:val="000000"/>
                <w:sz w:val="12"/>
                <w:szCs w:val="12"/>
              </w:rPr>
            </w:pPr>
          </w:p>
        </w:tc>
        <w:tc>
          <w:tcPr>
            <w:tcW w:w="896" w:type="pct"/>
            <w:tcBorders>
              <w:top w:val="single" w:sz="4" w:space="0" w:color="auto"/>
            </w:tcBorders>
            <w:noWrap/>
            <w:hideMark/>
          </w:tcPr>
          <w:p w14:paraId="0A4E3BD3" w14:textId="77777777" w:rsidR="00182448" w:rsidRPr="004D0272" w:rsidRDefault="00182448" w:rsidP="00AB1473">
            <w:pPr>
              <w:spacing w:before="60" w:after="60"/>
              <w:rPr>
                <w:rFonts w:eastAsia="Times New Roman"/>
                <w:color w:val="000000"/>
                <w:sz w:val="12"/>
                <w:szCs w:val="12"/>
              </w:rPr>
            </w:pPr>
          </w:p>
        </w:tc>
        <w:tc>
          <w:tcPr>
            <w:tcW w:w="963" w:type="pct"/>
            <w:tcBorders>
              <w:top w:val="single" w:sz="4" w:space="0" w:color="auto"/>
              <w:right w:val="single" w:sz="8" w:space="0" w:color="auto"/>
            </w:tcBorders>
            <w:noWrap/>
            <w:hideMark/>
          </w:tcPr>
          <w:p w14:paraId="7659D415" w14:textId="77777777" w:rsidR="00182448" w:rsidRPr="004D0272" w:rsidRDefault="00182448" w:rsidP="00AB1473">
            <w:pPr>
              <w:spacing w:before="60" w:after="60"/>
              <w:rPr>
                <w:rFonts w:eastAsia="Times New Roman"/>
                <w:color w:val="000000"/>
                <w:sz w:val="12"/>
                <w:szCs w:val="12"/>
              </w:rPr>
            </w:pPr>
          </w:p>
        </w:tc>
      </w:tr>
      <w:tr w:rsidR="00182448" w:rsidRPr="004D0272" w14:paraId="7715C31D" w14:textId="77777777" w:rsidTr="00502FEE">
        <w:trPr>
          <w:trHeight w:val="315"/>
        </w:trPr>
        <w:tc>
          <w:tcPr>
            <w:tcW w:w="2068" w:type="pct"/>
            <w:tcBorders>
              <w:left w:val="single" w:sz="8" w:space="0" w:color="auto"/>
            </w:tcBorders>
            <w:noWrap/>
            <w:hideMark/>
          </w:tcPr>
          <w:p w14:paraId="3E183332" w14:textId="77777777" w:rsidR="00182448" w:rsidRPr="004D0272" w:rsidRDefault="00182448" w:rsidP="00AF0889">
            <w:pPr>
              <w:spacing w:before="40" w:after="20"/>
              <w:rPr>
                <w:rFonts w:eastAsia="Times New Roman"/>
                <w:b/>
                <w:bCs/>
                <w:color w:val="000000"/>
                <w:sz w:val="20"/>
                <w:szCs w:val="20"/>
              </w:rPr>
            </w:pPr>
            <w:r w:rsidRPr="004D0272">
              <w:rPr>
                <w:rFonts w:eastAsia="Times New Roman"/>
                <w:b/>
                <w:bCs/>
                <w:color w:val="000000"/>
                <w:sz w:val="20"/>
                <w:szCs w:val="20"/>
              </w:rPr>
              <w:t>AAE Portfolio vs. S&amp;P/ASX200 ETF</w:t>
            </w:r>
          </w:p>
        </w:tc>
        <w:tc>
          <w:tcPr>
            <w:tcW w:w="1074" w:type="pct"/>
            <w:noWrap/>
            <w:hideMark/>
          </w:tcPr>
          <w:p w14:paraId="4170EC7E" w14:textId="77777777" w:rsidR="00182448" w:rsidRPr="004D0272" w:rsidRDefault="00182448" w:rsidP="00AF0889">
            <w:pPr>
              <w:spacing w:before="40" w:after="20"/>
              <w:jc w:val="center"/>
              <w:rPr>
                <w:rFonts w:eastAsia="Times New Roman"/>
                <w:color w:val="000000"/>
                <w:sz w:val="20"/>
                <w:szCs w:val="20"/>
              </w:rPr>
            </w:pPr>
          </w:p>
        </w:tc>
        <w:tc>
          <w:tcPr>
            <w:tcW w:w="896" w:type="pct"/>
            <w:noWrap/>
            <w:hideMark/>
          </w:tcPr>
          <w:p w14:paraId="242D63C2" w14:textId="77777777" w:rsidR="00182448" w:rsidRPr="004D0272" w:rsidRDefault="00182448" w:rsidP="00AF0889">
            <w:pPr>
              <w:spacing w:before="40" w:after="20"/>
              <w:jc w:val="center"/>
              <w:rPr>
                <w:rFonts w:eastAsia="Times New Roman"/>
                <w:color w:val="000000"/>
                <w:sz w:val="20"/>
                <w:szCs w:val="20"/>
              </w:rPr>
            </w:pPr>
          </w:p>
        </w:tc>
        <w:tc>
          <w:tcPr>
            <w:tcW w:w="963" w:type="pct"/>
            <w:tcBorders>
              <w:right w:val="single" w:sz="8" w:space="0" w:color="auto"/>
            </w:tcBorders>
            <w:noWrap/>
            <w:hideMark/>
          </w:tcPr>
          <w:p w14:paraId="7C58D5FA" w14:textId="77777777" w:rsidR="00182448" w:rsidRPr="004D0272" w:rsidRDefault="00182448" w:rsidP="00AF0889">
            <w:pPr>
              <w:spacing w:before="40" w:after="20"/>
              <w:jc w:val="center"/>
              <w:rPr>
                <w:rFonts w:eastAsia="Times New Roman"/>
                <w:color w:val="000000"/>
                <w:sz w:val="20"/>
                <w:szCs w:val="20"/>
              </w:rPr>
            </w:pPr>
          </w:p>
        </w:tc>
      </w:tr>
      <w:tr w:rsidR="00182448" w:rsidRPr="004D0272" w14:paraId="1D26BFF1" w14:textId="77777777" w:rsidTr="00502FEE">
        <w:trPr>
          <w:trHeight w:val="315"/>
        </w:trPr>
        <w:tc>
          <w:tcPr>
            <w:tcW w:w="2068" w:type="pct"/>
            <w:tcBorders>
              <w:left w:val="single" w:sz="8" w:space="0" w:color="auto"/>
            </w:tcBorders>
            <w:noWrap/>
            <w:hideMark/>
          </w:tcPr>
          <w:p w14:paraId="18EB33F0" w14:textId="6D471405" w:rsidR="00182448" w:rsidRPr="004D0272" w:rsidRDefault="00182448" w:rsidP="00AF0889">
            <w:pPr>
              <w:spacing w:before="40" w:after="20"/>
              <w:rPr>
                <w:rFonts w:eastAsia="Times New Roman"/>
                <w:color w:val="000000"/>
                <w:sz w:val="20"/>
                <w:szCs w:val="20"/>
              </w:rPr>
            </w:pPr>
            <w:r w:rsidRPr="004D0272">
              <w:rPr>
                <w:rFonts w:eastAsia="Times New Roman"/>
                <w:color w:val="000000"/>
                <w:sz w:val="20"/>
                <w:szCs w:val="20"/>
              </w:rPr>
              <w:t>Bingo Industries Limited</w:t>
            </w:r>
          </w:p>
        </w:tc>
        <w:tc>
          <w:tcPr>
            <w:tcW w:w="1074" w:type="pct"/>
            <w:noWrap/>
            <w:hideMark/>
          </w:tcPr>
          <w:p w14:paraId="1234302B" w14:textId="77777777" w:rsidR="00182448" w:rsidRPr="004D0272" w:rsidRDefault="00182448" w:rsidP="00AF0889">
            <w:pPr>
              <w:spacing w:before="40" w:after="20"/>
              <w:jc w:val="center"/>
              <w:rPr>
                <w:rFonts w:eastAsia="Times New Roman"/>
                <w:color w:val="000000"/>
                <w:sz w:val="20"/>
                <w:szCs w:val="20"/>
              </w:rPr>
            </w:pPr>
            <w:r w:rsidRPr="004D0272">
              <w:rPr>
                <w:rFonts w:eastAsia="Times New Roman"/>
                <w:color w:val="000000"/>
                <w:sz w:val="20"/>
                <w:szCs w:val="20"/>
              </w:rPr>
              <w:t>-2.81%</w:t>
            </w:r>
          </w:p>
        </w:tc>
        <w:tc>
          <w:tcPr>
            <w:tcW w:w="896" w:type="pct"/>
            <w:noWrap/>
            <w:hideMark/>
          </w:tcPr>
          <w:p w14:paraId="77289B03" w14:textId="77777777" w:rsidR="00182448" w:rsidRPr="004D0272" w:rsidRDefault="00182448" w:rsidP="00AF0889">
            <w:pPr>
              <w:spacing w:before="40" w:after="20"/>
              <w:jc w:val="center"/>
              <w:rPr>
                <w:rFonts w:eastAsia="Times New Roman"/>
                <w:color w:val="000000"/>
                <w:sz w:val="20"/>
                <w:szCs w:val="20"/>
              </w:rPr>
            </w:pPr>
            <w:r>
              <w:rPr>
                <w:rFonts w:eastAsia="Times New Roman"/>
                <w:color w:val="000000"/>
                <w:sz w:val="20"/>
                <w:szCs w:val="20"/>
              </w:rPr>
              <w:t>0.44%</w:t>
            </w:r>
          </w:p>
        </w:tc>
        <w:tc>
          <w:tcPr>
            <w:tcW w:w="963" w:type="pct"/>
            <w:tcBorders>
              <w:right w:val="single" w:sz="8" w:space="0" w:color="auto"/>
            </w:tcBorders>
            <w:noWrap/>
            <w:hideMark/>
          </w:tcPr>
          <w:p w14:paraId="6BCFC789" w14:textId="77777777" w:rsidR="00182448" w:rsidRPr="004D0272" w:rsidRDefault="00182448" w:rsidP="00AF0889">
            <w:pPr>
              <w:spacing w:before="40" w:after="20"/>
              <w:jc w:val="center"/>
              <w:rPr>
                <w:rFonts w:eastAsia="Times New Roman"/>
                <w:color w:val="000000"/>
                <w:sz w:val="20"/>
                <w:szCs w:val="20"/>
              </w:rPr>
            </w:pPr>
            <w:r w:rsidRPr="004D0272">
              <w:rPr>
                <w:rFonts w:eastAsia="Times New Roman"/>
                <w:color w:val="000000"/>
                <w:sz w:val="20"/>
                <w:szCs w:val="20"/>
              </w:rPr>
              <w:t>-</w:t>
            </w:r>
            <w:r>
              <w:rPr>
                <w:rFonts w:eastAsia="Times New Roman"/>
                <w:color w:val="000000"/>
                <w:sz w:val="20"/>
                <w:szCs w:val="20"/>
              </w:rPr>
              <w:t>2</w:t>
            </w:r>
            <w:r w:rsidRPr="004D0272">
              <w:rPr>
                <w:rFonts w:eastAsia="Times New Roman"/>
                <w:color w:val="000000"/>
                <w:sz w:val="20"/>
                <w:szCs w:val="20"/>
              </w:rPr>
              <w:t>.</w:t>
            </w:r>
            <w:r>
              <w:rPr>
                <w:rFonts w:eastAsia="Times New Roman"/>
                <w:color w:val="000000"/>
                <w:sz w:val="20"/>
                <w:szCs w:val="20"/>
              </w:rPr>
              <w:t>38</w:t>
            </w:r>
            <w:r w:rsidRPr="004D0272">
              <w:rPr>
                <w:rFonts w:eastAsia="Times New Roman"/>
                <w:color w:val="000000"/>
                <w:sz w:val="20"/>
                <w:szCs w:val="20"/>
              </w:rPr>
              <w:t>%</w:t>
            </w:r>
          </w:p>
        </w:tc>
      </w:tr>
      <w:tr w:rsidR="00182448" w:rsidRPr="004D0272" w14:paraId="2CA496CF" w14:textId="77777777" w:rsidTr="00502FEE">
        <w:trPr>
          <w:trHeight w:val="315"/>
        </w:trPr>
        <w:tc>
          <w:tcPr>
            <w:tcW w:w="2068" w:type="pct"/>
            <w:tcBorders>
              <w:left w:val="single" w:sz="8" w:space="0" w:color="auto"/>
            </w:tcBorders>
            <w:noWrap/>
          </w:tcPr>
          <w:p w14:paraId="729E4D0D" w14:textId="5AD7F242" w:rsidR="00182448" w:rsidRPr="004D0272" w:rsidRDefault="00182448" w:rsidP="00AF0889">
            <w:pPr>
              <w:spacing w:before="40" w:after="20"/>
              <w:rPr>
                <w:rFonts w:eastAsia="Times New Roman"/>
                <w:color w:val="000000"/>
                <w:sz w:val="20"/>
                <w:szCs w:val="20"/>
              </w:rPr>
            </w:pPr>
            <w:r w:rsidRPr="004D0272">
              <w:rPr>
                <w:rFonts w:eastAsia="Times New Roman"/>
                <w:color w:val="000000"/>
                <w:sz w:val="20"/>
                <w:szCs w:val="20"/>
              </w:rPr>
              <w:t>Inghams Group Limited</w:t>
            </w:r>
          </w:p>
        </w:tc>
        <w:tc>
          <w:tcPr>
            <w:tcW w:w="1074" w:type="pct"/>
            <w:noWrap/>
          </w:tcPr>
          <w:p w14:paraId="3DFED705" w14:textId="77777777" w:rsidR="00182448" w:rsidRPr="004D0272" w:rsidRDefault="00182448" w:rsidP="00AF0889">
            <w:pPr>
              <w:spacing w:before="40" w:after="20"/>
              <w:jc w:val="center"/>
              <w:rPr>
                <w:rFonts w:eastAsia="Times New Roman"/>
                <w:color w:val="000000"/>
                <w:sz w:val="20"/>
                <w:szCs w:val="20"/>
              </w:rPr>
            </w:pPr>
            <w:r w:rsidRPr="004D0272">
              <w:rPr>
                <w:rFonts w:eastAsia="Times New Roman"/>
                <w:color w:val="000000"/>
                <w:sz w:val="20"/>
                <w:szCs w:val="20"/>
              </w:rPr>
              <w:t>0.00%</w:t>
            </w:r>
          </w:p>
        </w:tc>
        <w:tc>
          <w:tcPr>
            <w:tcW w:w="896" w:type="pct"/>
            <w:noWrap/>
          </w:tcPr>
          <w:p w14:paraId="748BB8D9" w14:textId="77777777" w:rsidR="00182448" w:rsidRPr="004D0272" w:rsidRDefault="00182448" w:rsidP="00AF0889">
            <w:pPr>
              <w:spacing w:before="40" w:after="20"/>
              <w:jc w:val="center"/>
              <w:rPr>
                <w:rFonts w:eastAsia="Times New Roman"/>
                <w:color w:val="000000"/>
                <w:sz w:val="20"/>
                <w:szCs w:val="20"/>
              </w:rPr>
            </w:pPr>
            <w:r>
              <w:rPr>
                <w:rFonts w:eastAsia="Times New Roman"/>
                <w:color w:val="000000"/>
                <w:sz w:val="20"/>
                <w:szCs w:val="20"/>
              </w:rPr>
              <w:t>-</w:t>
            </w:r>
            <w:r w:rsidRPr="004D0272">
              <w:rPr>
                <w:rFonts w:eastAsia="Times New Roman"/>
                <w:color w:val="000000"/>
                <w:sz w:val="20"/>
                <w:szCs w:val="20"/>
              </w:rPr>
              <w:t>0.</w:t>
            </w:r>
            <w:r>
              <w:rPr>
                <w:rFonts w:eastAsia="Times New Roman"/>
                <w:color w:val="000000"/>
                <w:sz w:val="20"/>
                <w:szCs w:val="20"/>
              </w:rPr>
              <w:t>72</w:t>
            </w:r>
            <w:r w:rsidRPr="004D0272">
              <w:rPr>
                <w:rFonts w:eastAsia="Times New Roman"/>
                <w:color w:val="000000"/>
                <w:sz w:val="20"/>
                <w:szCs w:val="20"/>
              </w:rPr>
              <w:t>%</w:t>
            </w:r>
          </w:p>
        </w:tc>
        <w:tc>
          <w:tcPr>
            <w:tcW w:w="963" w:type="pct"/>
            <w:tcBorders>
              <w:right w:val="single" w:sz="8" w:space="0" w:color="auto"/>
            </w:tcBorders>
            <w:noWrap/>
          </w:tcPr>
          <w:p w14:paraId="2F3F5B76" w14:textId="77777777" w:rsidR="00182448" w:rsidRPr="004D0272" w:rsidRDefault="00182448" w:rsidP="00AF0889">
            <w:pPr>
              <w:spacing w:before="40" w:after="20"/>
              <w:jc w:val="center"/>
              <w:rPr>
                <w:rFonts w:eastAsia="Times New Roman"/>
                <w:color w:val="000000"/>
                <w:sz w:val="20"/>
                <w:szCs w:val="20"/>
              </w:rPr>
            </w:pPr>
            <w:r>
              <w:rPr>
                <w:rFonts w:eastAsia="Times New Roman"/>
                <w:color w:val="000000"/>
                <w:sz w:val="20"/>
                <w:szCs w:val="20"/>
              </w:rPr>
              <w:t>-0.72</w:t>
            </w:r>
            <w:r w:rsidRPr="004D0272">
              <w:rPr>
                <w:rFonts w:eastAsia="Times New Roman"/>
                <w:color w:val="000000"/>
                <w:sz w:val="20"/>
                <w:szCs w:val="20"/>
              </w:rPr>
              <w:t>%</w:t>
            </w:r>
          </w:p>
        </w:tc>
      </w:tr>
      <w:tr w:rsidR="00182448" w:rsidRPr="004D0272" w14:paraId="3E6030B2" w14:textId="77777777" w:rsidTr="00502FEE">
        <w:trPr>
          <w:trHeight w:val="315"/>
        </w:trPr>
        <w:tc>
          <w:tcPr>
            <w:tcW w:w="2068" w:type="pct"/>
            <w:tcBorders>
              <w:left w:val="single" w:sz="8" w:space="0" w:color="auto"/>
            </w:tcBorders>
            <w:noWrap/>
          </w:tcPr>
          <w:p w14:paraId="413A4DFA" w14:textId="2975C44A" w:rsidR="00182448" w:rsidRPr="004D0272" w:rsidRDefault="00182448" w:rsidP="00AF0889">
            <w:pPr>
              <w:spacing w:before="40" w:after="20"/>
              <w:rPr>
                <w:rFonts w:eastAsia="Times New Roman"/>
                <w:color w:val="000000"/>
                <w:sz w:val="20"/>
                <w:szCs w:val="20"/>
              </w:rPr>
            </w:pPr>
            <w:r w:rsidRPr="004D0272">
              <w:rPr>
                <w:rFonts w:eastAsia="Times New Roman"/>
                <w:color w:val="000000"/>
                <w:sz w:val="20"/>
                <w:szCs w:val="20"/>
              </w:rPr>
              <w:t>iShares Core S&amp;P/ASX 200 ETF</w:t>
            </w:r>
          </w:p>
        </w:tc>
        <w:tc>
          <w:tcPr>
            <w:tcW w:w="1074" w:type="pct"/>
            <w:noWrap/>
          </w:tcPr>
          <w:p w14:paraId="74CE544C" w14:textId="77777777" w:rsidR="00182448" w:rsidRPr="004D0272" w:rsidRDefault="00182448" w:rsidP="00AF0889">
            <w:pPr>
              <w:spacing w:before="40" w:after="20"/>
              <w:jc w:val="center"/>
              <w:rPr>
                <w:rFonts w:eastAsia="Times New Roman"/>
                <w:color w:val="000000"/>
                <w:sz w:val="20"/>
                <w:szCs w:val="20"/>
              </w:rPr>
            </w:pPr>
            <w:r w:rsidRPr="004D0272">
              <w:rPr>
                <w:rFonts w:eastAsia="Times New Roman"/>
                <w:color w:val="000000"/>
                <w:sz w:val="20"/>
                <w:szCs w:val="20"/>
              </w:rPr>
              <w:t>0.00%</w:t>
            </w:r>
          </w:p>
        </w:tc>
        <w:tc>
          <w:tcPr>
            <w:tcW w:w="896" w:type="pct"/>
            <w:noWrap/>
          </w:tcPr>
          <w:p w14:paraId="2A84D7B4" w14:textId="77777777" w:rsidR="00182448" w:rsidRPr="004D0272" w:rsidRDefault="00182448" w:rsidP="00AF0889">
            <w:pPr>
              <w:spacing w:before="40" w:after="20"/>
              <w:jc w:val="center"/>
              <w:rPr>
                <w:rFonts w:eastAsia="Times New Roman"/>
                <w:color w:val="000000"/>
                <w:sz w:val="20"/>
                <w:szCs w:val="20"/>
              </w:rPr>
            </w:pPr>
            <w:r w:rsidRPr="004D0272">
              <w:rPr>
                <w:rFonts w:eastAsia="Times New Roman"/>
                <w:color w:val="000000"/>
                <w:sz w:val="20"/>
                <w:szCs w:val="20"/>
              </w:rPr>
              <w:t>0.00%</w:t>
            </w:r>
          </w:p>
        </w:tc>
        <w:tc>
          <w:tcPr>
            <w:tcW w:w="963" w:type="pct"/>
            <w:tcBorders>
              <w:right w:val="single" w:sz="8" w:space="0" w:color="auto"/>
            </w:tcBorders>
            <w:noWrap/>
          </w:tcPr>
          <w:p w14:paraId="4553E40A" w14:textId="77777777" w:rsidR="00182448" w:rsidRPr="004D0272" w:rsidRDefault="00182448" w:rsidP="00AF0889">
            <w:pPr>
              <w:spacing w:before="40" w:after="20"/>
              <w:jc w:val="center"/>
              <w:rPr>
                <w:rFonts w:eastAsia="Times New Roman"/>
                <w:color w:val="000000"/>
                <w:sz w:val="20"/>
                <w:szCs w:val="20"/>
              </w:rPr>
            </w:pPr>
            <w:r w:rsidRPr="004D0272">
              <w:rPr>
                <w:rFonts w:eastAsia="Times New Roman"/>
                <w:color w:val="000000"/>
                <w:sz w:val="20"/>
                <w:szCs w:val="20"/>
              </w:rPr>
              <w:t>0.00%</w:t>
            </w:r>
          </w:p>
        </w:tc>
      </w:tr>
      <w:tr w:rsidR="00182448" w:rsidRPr="004D0272" w14:paraId="08362701" w14:textId="77777777" w:rsidTr="00502FEE">
        <w:trPr>
          <w:trHeight w:val="315"/>
        </w:trPr>
        <w:tc>
          <w:tcPr>
            <w:tcW w:w="2068" w:type="pct"/>
            <w:tcBorders>
              <w:left w:val="single" w:sz="8" w:space="0" w:color="auto"/>
            </w:tcBorders>
            <w:noWrap/>
            <w:hideMark/>
          </w:tcPr>
          <w:p w14:paraId="0B38E712" w14:textId="25F81D75" w:rsidR="00182448" w:rsidRPr="004D0272" w:rsidRDefault="00182448" w:rsidP="00AF0889">
            <w:pPr>
              <w:spacing w:before="40" w:after="20"/>
              <w:rPr>
                <w:rFonts w:eastAsia="Times New Roman"/>
                <w:color w:val="000000"/>
                <w:sz w:val="20"/>
                <w:szCs w:val="20"/>
              </w:rPr>
            </w:pPr>
            <w:r w:rsidRPr="004D0272">
              <w:rPr>
                <w:rFonts w:eastAsia="Times New Roman"/>
                <w:color w:val="000000"/>
                <w:sz w:val="20"/>
                <w:szCs w:val="20"/>
              </w:rPr>
              <w:t xml:space="preserve">Rio Tinto Limited </w:t>
            </w:r>
          </w:p>
        </w:tc>
        <w:tc>
          <w:tcPr>
            <w:tcW w:w="1074" w:type="pct"/>
            <w:noWrap/>
            <w:hideMark/>
          </w:tcPr>
          <w:p w14:paraId="21055F2E" w14:textId="77777777" w:rsidR="00182448" w:rsidRPr="004D0272" w:rsidRDefault="00182448" w:rsidP="00AF0889">
            <w:pPr>
              <w:spacing w:before="40" w:after="20"/>
              <w:jc w:val="center"/>
              <w:rPr>
                <w:rFonts w:eastAsia="Times New Roman"/>
                <w:color w:val="000000"/>
                <w:sz w:val="20"/>
                <w:szCs w:val="20"/>
              </w:rPr>
            </w:pPr>
            <w:r w:rsidRPr="004D0272">
              <w:rPr>
                <w:rFonts w:eastAsia="Times New Roman"/>
                <w:color w:val="000000"/>
                <w:sz w:val="20"/>
                <w:szCs w:val="20"/>
              </w:rPr>
              <w:t>-0.03%</w:t>
            </w:r>
          </w:p>
        </w:tc>
        <w:tc>
          <w:tcPr>
            <w:tcW w:w="896" w:type="pct"/>
            <w:noWrap/>
            <w:hideMark/>
          </w:tcPr>
          <w:p w14:paraId="66211FAE" w14:textId="77777777" w:rsidR="00182448" w:rsidRPr="004D0272" w:rsidRDefault="00182448" w:rsidP="00AF0889">
            <w:pPr>
              <w:spacing w:before="40" w:after="20"/>
              <w:jc w:val="center"/>
              <w:rPr>
                <w:rFonts w:eastAsia="Times New Roman"/>
                <w:color w:val="000000"/>
                <w:sz w:val="20"/>
                <w:szCs w:val="20"/>
              </w:rPr>
            </w:pPr>
            <w:r w:rsidRPr="004D0272">
              <w:rPr>
                <w:rFonts w:eastAsia="Times New Roman"/>
                <w:color w:val="000000"/>
                <w:sz w:val="20"/>
                <w:szCs w:val="20"/>
              </w:rPr>
              <w:t>0.</w:t>
            </w:r>
            <w:r>
              <w:rPr>
                <w:rFonts w:eastAsia="Times New Roman"/>
                <w:color w:val="000000"/>
                <w:sz w:val="20"/>
                <w:szCs w:val="20"/>
              </w:rPr>
              <w:t>61</w:t>
            </w:r>
            <w:r w:rsidRPr="004D0272">
              <w:rPr>
                <w:rFonts w:eastAsia="Times New Roman"/>
                <w:color w:val="000000"/>
                <w:sz w:val="20"/>
                <w:szCs w:val="20"/>
              </w:rPr>
              <w:t>%</w:t>
            </w:r>
          </w:p>
        </w:tc>
        <w:tc>
          <w:tcPr>
            <w:tcW w:w="963" w:type="pct"/>
            <w:tcBorders>
              <w:right w:val="single" w:sz="8" w:space="0" w:color="auto"/>
            </w:tcBorders>
            <w:noWrap/>
            <w:hideMark/>
          </w:tcPr>
          <w:p w14:paraId="1FC94A5A" w14:textId="77777777" w:rsidR="00182448" w:rsidRPr="004D0272" w:rsidRDefault="00182448" w:rsidP="00AF0889">
            <w:pPr>
              <w:spacing w:before="40" w:after="20"/>
              <w:jc w:val="center"/>
              <w:rPr>
                <w:rFonts w:eastAsia="Times New Roman"/>
                <w:color w:val="000000"/>
                <w:sz w:val="20"/>
                <w:szCs w:val="20"/>
              </w:rPr>
            </w:pPr>
            <w:r w:rsidRPr="004D0272">
              <w:rPr>
                <w:rFonts w:eastAsia="Times New Roman"/>
                <w:color w:val="000000"/>
                <w:sz w:val="20"/>
                <w:szCs w:val="20"/>
              </w:rPr>
              <w:t>0.</w:t>
            </w:r>
            <w:r>
              <w:rPr>
                <w:rFonts w:eastAsia="Times New Roman"/>
                <w:color w:val="000000"/>
                <w:sz w:val="20"/>
                <w:szCs w:val="20"/>
              </w:rPr>
              <w:t>58</w:t>
            </w:r>
            <w:r w:rsidRPr="004D0272">
              <w:rPr>
                <w:rFonts w:eastAsia="Times New Roman"/>
                <w:color w:val="000000"/>
                <w:sz w:val="20"/>
                <w:szCs w:val="20"/>
              </w:rPr>
              <w:t>%</w:t>
            </w:r>
          </w:p>
        </w:tc>
      </w:tr>
      <w:tr w:rsidR="00182448" w:rsidRPr="004D0272" w14:paraId="51B7BFBB" w14:textId="77777777" w:rsidTr="00502FEE">
        <w:trPr>
          <w:trHeight w:val="315"/>
        </w:trPr>
        <w:tc>
          <w:tcPr>
            <w:tcW w:w="2068" w:type="pct"/>
            <w:tcBorders>
              <w:left w:val="single" w:sz="8" w:space="0" w:color="auto"/>
            </w:tcBorders>
            <w:noWrap/>
            <w:hideMark/>
          </w:tcPr>
          <w:p w14:paraId="20830FB5" w14:textId="77777777" w:rsidR="00182448" w:rsidRPr="004D0272" w:rsidRDefault="00182448" w:rsidP="00AF0889">
            <w:pPr>
              <w:spacing w:before="40" w:after="20"/>
              <w:rPr>
                <w:rFonts w:eastAsia="Times New Roman"/>
                <w:color w:val="000000"/>
                <w:sz w:val="20"/>
                <w:szCs w:val="20"/>
              </w:rPr>
            </w:pPr>
            <w:r w:rsidRPr="004D0272">
              <w:rPr>
                <w:rFonts w:eastAsia="Times New Roman"/>
                <w:color w:val="000000"/>
                <w:sz w:val="20"/>
                <w:szCs w:val="20"/>
              </w:rPr>
              <w:t xml:space="preserve">Telstra Corporation Limited </w:t>
            </w:r>
          </w:p>
        </w:tc>
        <w:tc>
          <w:tcPr>
            <w:tcW w:w="1074" w:type="pct"/>
            <w:noWrap/>
            <w:hideMark/>
          </w:tcPr>
          <w:p w14:paraId="5EFE4B06" w14:textId="77777777" w:rsidR="00182448" w:rsidRPr="004D0272" w:rsidRDefault="00182448" w:rsidP="00AF0889">
            <w:pPr>
              <w:spacing w:before="40" w:after="20"/>
              <w:jc w:val="center"/>
              <w:rPr>
                <w:rFonts w:eastAsia="Times New Roman"/>
                <w:color w:val="000000"/>
                <w:sz w:val="20"/>
                <w:szCs w:val="20"/>
              </w:rPr>
            </w:pPr>
            <w:r w:rsidRPr="004D0272">
              <w:rPr>
                <w:rFonts w:eastAsia="Times New Roman"/>
                <w:color w:val="000000"/>
                <w:sz w:val="20"/>
                <w:szCs w:val="20"/>
              </w:rPr>
              <w:t>0.79%</w:t>
            </w:r>
          </w:p>
        </w:tc>
        <w:tc>
          <w:tcPr>
            <w:tcW w:w="896" w:type="pct"/>
            <w:noWrap/>
            <w:hideMark/>
          </w:tcPr>
          <w:p w14:paraId="5C910ED4" w14:textId="77777777" w:rsidR="00182448" w:rsidRPr="004D0272" w:rsidRDefault="00182448" w:rsidP="00AF0889">
            <w:pPr>
              <w:spacing w:before="40" w:after="20"/>
              <w:jc w:val="center"/>
              <w:rPr>
                <w:rFonts w:eastAsia="Times New Roman"/>
                <w:color w:val="000000"/>
                <w:sz w:val="20"/>
                <w:szCs w:val="20"/>
              </w:rPr>
            </w:pPr>
            <w:r>
              <w:rPr>
                <w:rFonts w:eastAsia="Times New Roman"/>
                <w:color w:val="000000"/>
                <w:sz w:val="20"/>
                <w:szCs w:val="20"/>
              </w:rPr>
              <w:t>1.34</w:t>
            </w:r>
            <w:r w:rsidRPr="004D0272">
              <w:rPr>
                <w:rFonts w:eastAsia="Times New Roman"/>
                <w:color w:val="000000"/>
                <w:sz w:val="20"/>
                <w:szCs w:val="20"/>
              </w:rPr>
              <w:t>%</w:t>
            </w:r>
          </w:p>
        </w:tc>
        <w:tc>
          <w:tcPr>
            <w:tcW w:w="963" w:type="pct"/>
            <w:tcBorders>
              <w:right w:val="single" w:sz="8" w:space="0" w:color="auto"/>
            </w:tcBorders>
            <w:noWrap/>
            <w:hideMark/>
          </w:tcPr>
          <w:p w14:paraId="43F2B933" w14:textId="77777777" w:rsidR="00182448" w:rsidRPr="004D0272" w:rsidRDefault="00182448" w:rsidP="00AF0889">
            <w:pPr>
              <w:spacing w:before="40" w:after="20"/>
              <w:jc w:val="center"/>
              <w:rPr>
                <w:rFonts w:eastAsia="Times New Roman"/>
                <w:color w:val="000000"/>
                <w:sz w:val="20"/>
                <w:szCs w:val="20"/>
              </w:rPr>
            </w:pPr>
            <w:r>
              <w:rPr>
                <w:rFonts w:eastAsia="Times New Roman"/>
                <w:color w:val="000000"/>
                <w:sz w:val="20"/>
                <w:szCs w:val="20"/>
              </w:rPr>
              <w:t>2.14</w:t>
            </w:r>
            <w:r w:rsidRPr="004D0272">
              <w:rPr>
                <w:rFonts w:eastAsia="Times New Roman"/>
                <w:color w:val="000000"/>
                <w:sz w:val="20"/>
                <w:szCs w:val="20"/>
              </w:rPr>
              <w:t>%</w:t>
            </w:r>
          </w:p>
        </w:tc>
      </w:tr>
      <w:tr w:rsidR="00182448" w:rsidRPr="004D0272" w14:paraId="5DF32A97" w14:textId="77777777" w:rsidTr="00502FEE">
        <w:trPr>
          <w:trHeight w:val="315"/>
        </w:trPr>
        <w:tc>
          <w:tcPr>
            <w:tcW w:w="2068" w:type="pct"/>
            <w:tcBorders>
              <w:left w:val="single" w:sz="8" w:space="0" w:color="auto"/>
            </w:tcBorders>
            <w:noWrap/>
          </w:tcPr>
          <w:p w14:paraId="1143397C" w14:textId="77777777" w:rsidR="00182448" w:rsidRPr="004D0272" w:rsidRDefault="00182448" w:rsidP="00AF0889">
            <w:pPr>
              <w:spacing w:before="40" w:after="20"/>
              <w:rPr>
                <w:rFonts w:eastAsia="Times New Roman"/>
                <w:color w:val="000000"/>
                <w:sz w:val="20"/>
                <w:szCs w:val="20"/>
              </w:rPr>
            </w:pPr>
            <w:r>
              <w:rPr>
                <w:rFonts w:eastAsia="Times New Roman"/>
                <w:color w:val="000000"/>
                <w:sz w:val="20"/>
                <w:szCs w:val="20"/>
              </w:rPr>
              <w:t>Westpac Banking Corporation</w:t>
            </w:r>
          </w:p>
        </w:tc>
        <w:tc>
          <w:tcPr>
            <w:tcW w:w="1074" w:type="pct"/>
            <w:noWrap/>
          </w:tcPr>
          <w:p w14:paraId="5B0107A3" w14:textId="77777777" w:rsidR="00182448" w:rsidRPr="004D0272" w:rsidRDefault="00182448" w:rsidP="00AF0889">
            <w:pPr>
              <w:spacing w:before="40" w:after="20"/>
              <w:jc w:val="center"/>
              <w:rPr>
                <w:rFonts w:eastAsia="Times New Roman"/>
                <w:color w:val="000000"/>
                <w:sz w:val="20"/>
                <w:szCs w:val="20"/>
              </w:rPr>
            </w:pPr>
            <w:r>
              <w:rPr>
                <w:rFonts w:eastAsia="Times New Roman"/>
                <w:color w:val="000000"/>
                <w:sz w:val="20"/>
                <w:szCs w:val="20"/>
              </w:rPr>
              <w:t>0.00%</w:t>
            </w:r>
          </w:p>
        </w:tc>
        <w:tc>
          <w:tcPr>
            <w:tcW w:w="896" w:type="pct"/>
            <w:noWrap/>
          </w:tcPr>
          <w:p w14:paraId="518EDDE4" w14:textId="77777777" w:rsidR="00182448" w:rsidRPr="004D0272" w:rsidRDefault="00182448" w:rsidP="00AF0889">
            <w:pPr>
              <w:spacing w:before="40" w:after="20"/>
              <w:jc w:val="center"/>
              <w:rPr>
                <w:rFonts w:eastAsia="Times New Roman"/>
                <w:color w:val="000000"/>
                <w:sz w:val="20"/>
                <w:szCs w:val="20"/>
              </w:rPr>
            </w:pPr>
            <w:r>
              <w:rPr>
                <w:rFonts w:eastAsia="Times New Roman"/>
                <w:color w:val="000000"/>
                <w:sz w:val="20"/>
                <w:szCs w:val="20"/>
              </w:rPr>
              <w:t>-0.27%</w:t>
            </w:r>
          </w:p>
        </w:tc>
        <w:tc>
          <w:tcPr>
            <w:tcW w:w="963" w:type="pct"/>
            <w:tcBorders>
              <w:right w:val="single" w:sz="8" w:space="0" w:color="auto"/>
            </w:tcBorders>
            <w:noWrap/>
          </w:tcPr>
          <w:p w14:paraId="70E36052" w14:textId="77777777" w:rsidR="00182448" w:rsidRPr="004D0272" w:rsidRDefault="00182448" w:rsidP="00AF0889">
            <w:pPr>
              <w:spacing w:before="40" w:after="20"/>
              <w:jc w:val="center"/>
              <w:rPr>
                <w:rFonts w:eastAsia="Times New Roman"/>
                <w:color w:val="000000"/>
                <w:sz w:val="20"/>
                <w:szCs w:val="20"/>
              </w:rPr>
            </w:pPr>
            <w:r>
              <w:rPr>
                <w:rFonts w:eastAsia="Times New Roman"/>
                <w:color w:val="000000"/>
                <w:sz w:val="20"/>
                <w:szCs w:val="20"/>
              </w:rPr>
              <w:t>-0.27%</w:t>
            </w:r>
          </w:p>
        </w:tc>
      </w:tr>
      <w:tr w:rsidR="00182448" w:rsidRPr="004D0272" w14:paraId="3CC74BC6" w14:textId="77777777" w:rsidTr="00502FEE">
        <w:trPr>
          <w:trHeight w:val="315"/>
        </w:trPr>
        <w:tc>
          <w:tcPr>
            <w:tcW w:w="2068" w:type="pct"/>
            <w:tcBorders>
              <w:left w:val="single" w:sz="8" w:space="0" w:color="auto"/>
              <w:bottom w:val="single" w:sz="4" w:space="0" w:color="auto"/>
            </w:tcBorders>
            <w:noWrap/>
            <w:hideMark/>
          </w:tcPr>
          <w:p w14:paraId="54B5C5FC" w14:textId="3A8ECB6D" w:rsidR="00182448" w:rsidRPr="004D0272" w:rsidRDefault="00182448" w:rsidP="00AF0889">
            <w:pPr>
              <w:spacing w:before="40" w:after="20"/>
              <w:rPr>
                <w:rFonts w:eastAsia="Times New Roman"/>
                <w:color w:val="000000"/>
                <w:sz w:val="20"/>
                <w:szCs w:val="20"/>
              </w:rPr>
            </w:pPr>
            <w:r w:rsidRPr="004D0272">
              <w:rPr>
                <w:rFonts w:eastAsia="Times New Roman"/>
                <w:color w:val="000000"/>
                <w:sz w:val="20"/>
                <w:szCs w:val="20"/>
              </w:rPr>
              <w:t xml:space="preserve">Time Aggregation Effect </w:t>
            </w:r>
          </w:p>
        </w:tc>
        <w:tc>
          <w:tcPr>
            <w:tcW w:w="1074" w:type="pct"/>
            <w:tcBorders>
              <w:bottom w:val="single" w:sz="4" w:space="0" w:color="auto"/>
            </w:tcBorders>
            <w:noWrap/>
            <w:hideMark/>
          </w:tcPr>
          <w:p w14:paraId="5C793A4C" w14:textId="77777777" w:rsidR="00182448" w:rsidRPr="004D0272" w:rsidRDefault="00182448" w:rsidP="00AF0889">
            <w:pPr>
              <w:spacing w:before="40" w:after="20"/>
              <w:jc w:val="center"/>
              <w:rPr>
                <w:rFonts w:eastAsia="Times New Roman"/>
                <w:color w:val="000000"/>
                <w:sz w:val="20"/>
                <w:szCs w:val="20"/>
              </w:rPr>
            </w:pPr>
            <w:r w:rsidRPr="004D0272">
              <w:rPr>
                <w:rFonts w:eastAsia="Times New Roman"/>
                <w:color w:val="000000"/>
                <w:sz w:val="20"/>
                <w:szCs w:val="20"/>
              </w:rPr>
              <w:t>-0.02%</w:t>
            </w:r>
          </w:p>
        </w:tc>
        <w:tc>
          <w:tcPr>
            <w:tcW w:w="896" w:type="pct"/>
            <w:tcBorders>
              <w:bottom w:val="single" w:sz="4" w:space="0" w:color="auto"/>
            </w:tcBorders>
            <w:noWrap/>
            <w:hideMark/>
          </w:tcPr>
          <w:p w14:paraId="31BE6913" w14:textId="11139D97" w:rsidR="00182448" w:rsidRPr="004D0272" w:rsidRDefault="00182448" w:rsidP="00AF0889">
            <w:pPr>
              <w:spacing w:before="40" w:after="20"/>
              <w:jc w:val="center"/>
              <w:rPr>
                <w:rFonts w:eastAsia="Times New Roman"/>
                <w:color w:val="000000"/>
                <w:sz w:val="20"/>
                <w:szCs w:val="20"/>
              </w:rPr>
            </w:pPr>
            <w:r>
              <w:rPr>
                <w:rFonts w:eastAsia="Times New Roman"/>
                <w:color w:val="000000"/>
                <w:sz w:val="20"/>
                <w:szCs w:val="20"/>
              </w:rPr>
              <w:t>-</w:t>
            </w:r>
            <w:r w:rsidRPr="004D0272">
              <w:rPr>
                <w:rFonts w:eastAsia="Times New Roman"/>
                <w:color w:val="000000"/>
                <w:sz w:val="20"/>
                <w:szCs w:val="20"/>
              </w:rPr>
              <w:t>0.</w:t>
            </w:r>
            <w:r w:rsidR="008D3A0F">
              <w:rPr>
                <w:rFonts w:eastAsia="Times New Roman"/>
                <w:color w:val="000000"/>
                <w:sz w:val="20"/>
                <w:szCs w:val="20"/>
              </w:rPr>
              <w:t>03</w:t>
            </w:r>
            <w:r w:rsidRPr="004D0272">
              <w:rPr>
                <w:rFonts w:eastAsia="Times New Roman"/>
                <w:color w:val="000000"/>
                <w:sz w:val="20"/>
                <w:szCs w:val="20"/>
              </w:rPr>
              <w:t>%</w:t>
            </w:r>
          </w:p>
        </w:tc>
        <w:tc>
          <w:tcPr>
            <w:tcW w:w="963" w:type="pct"/>
            <w:tcBorders>
              <w:bottom w:val="single" w:sz="4" w:space="0" w:color="auto"/>
              <w:right w:val="single" w:sz="8" w:space="0" w:color="auto"/>
            </w:tcBorders>
            <w:noWrap/>
            <w:hideMark/>
          </w:tcPr>
          <w:p w14:paraId="70D1D438" w14:textId="3891517E" w:rsidR="00182448" w:rsidRPr="004D0272" w:rsidRDefault="00182448" w:rsidP="00AF0889">
            <w:pPr>
              <w:spacing w:before="40" w:after="20"/>
              <w:jc w:val="center"/>
              <w:rPr>
                <w:rFonts w:eastAsia="Times New Roman"/>
                <w:color w:val="000000"/>
                <w:sz w:val="20"/>
                <w:szCs w:val="20"/>
              </w:rPr>
            </w:pPr>
            <w:r w:rsidRPr="004D0272">
              <w:rPr>
                <w:rFonts w:eastAsia="Times New Roman"/>
                <w:color w:val="000000"/>
                <w:sz w:val="20"/>
                <w:szCs w:val="20"/>
              </w:rPr>
              <w:t>-0.</w:t>
            </w:r>
            <w:r w:rsidR="008D3A0F">
              <w:rPr>
                <w:rFonts w:eastAsia="Times New Roman"/>
                <w:color w:val="000000"/>
                <w:sz w:val="20"/>
                <w:szCs w:val="20"/>
              </w:rPr>
              <w:t>02</w:t>
            </w:r>
            <w:r w:rsidRPr="004D0272">
              <w:rPr>
                <w:rFonts w:eastAsia="Times New Roman"/>
                <w:color w:val="000000"/>
                <w:sz w:val="20"/>
                <w:szCs w:val="20"/>
              </w:rPr>
              <w:t>%</w:t>
            </w:r>
          </w:p>
        </w:tc>
      </w:tr>
      <w:tr w:rsidR="00182448" w:rsidRPr="004D0272" w14:paraId="1B2309EA" w14:textId="77777777" w:rsidTr="00502FEE">
        <w:trPr>
          <w:trHeight w:val="315"/>
        </w:trPr>
        <w:tc>
          <w:tcPr>
            <w:tcW w:w="2068" w:type="pct"/>
            <w:tcBorders>
              <w:top w:val="single" w:sz="4" w:space="0" w:color="auto"/>
              <w:left w:val="single" w:sz="8" w:space="0" w:color="auto"/>
              <w:bottom w:val="single" w:sz="4" w:space="0" w:color="auto"/>
            </w:tcBorders>
            <w:noWrap/>
            <w:hideMark/>
          </w:tcPr>
          <w:p w14:paraId="44B2C644" w14:textId="77777777" w:rsidR="00182448" w:rsidRPr="004D0272" w:rsidRDefault="00182448" w:rsidP="00AF0889">
            <w:pPr>
              <w:spacing w:before="40" w:after="20"/>
              <w:rPr>
                <w:rFonts w:eastAsia="Times New Roman"/>
                <w:b/>
                <w:bCs/>
                <w:color w:val="000000"/>
                <w:sz w:val="20"/>
                <w:szCs w:val="20"/>
              </w:rPr>
            </w:pPr>
            <w:r w:rsidRPr="004D0272">
              <w:rPr>
                <w:rFonts w:eastAsia="Times New Roman"/>
                <w:b/>
                <w:bCs/>
                <w:color w:val="000000"/>
                <w:sz w:val="20"/>
                <w:szCs w:val="20"/>
              </w:rPr>
              <w:t>Total Relative Performance</w:t>
            </w:r>
          </w:p>
        </w:tc>
        <w:tc>
          <w:tcPr>
            <w:tcW w:w="1074" w:type="pct"/>
            <w:tcBorders>
              <w:top w:val="single" w:sz="4" w:space="0" w:color="auto"/>
              <w:bottom w:val="single" w:sz="4" w:space="0" w:color="auto"/>
            </w:tcBorders>
            <w:noWrap/>
            <w:hideMark/>
          </w:tcPr>
          <w:p w14:paraId="196D08A8" w14:textId="77777777" w:rsidR="00182448" w:rsidRPr="004D0272" w:rsidRDefault="00182448" w:rsidP="00AF0889">
            <w:pPr>
              <w:spacing w:before="40" w:after="20"/>
              <w:jc w:val="center"/>
              <w:rPr>
                <w:rFonts w:eastAsia="Times New Roman"/>
                <w:b/>
                <w:bCs/>
                <w:color w:val="000000"/>
                <w:sz w:val="20"/>
                <w:szCs w:val="20"/>
              </w:rPr>
            </w:pPr>
            <w:r w:rsidRPr="004D0272">
              <w:rPr>
                <w:rFonts w:eastAsia="Times New Roman"/>
                <w:b/>
                <w:bCs/>
                <w:color w:val="000000"/>
                <w:sz w:val="20"/>
                <w:szCs w:val="20"/>
              </w:rPr>
              <w:t>-2.07%</w:t>
            </w:r>
          </w:p>
        </w:tc>
        <w:tc>
          <w:tcPr>
            <w:tcW w:w="896" w:type="pct"/>
            <w:tcBorders>
              <w:top w:val="single" w:sz="4" w:space="0" w:color="auto"/>
              <w:bottom w:val="single" w:sz="4" w:space="0" w:color="auto"/>
            </w:tcBorders>
            <w:noWrap/>
            <w:hideMark/>
          </w:tcPr>
          <w:p w14:paraId="06F1C25E" w14:textId="77777777" w:rsidR="00182448" w:rsidRPr="004D0272" w:rsidRDefault="00182448" w:rsidP="00AF0889">
            <w:pPr>
              <w:spacing w:before="40" w:after="20"/>
              <w:jc w:val="center"/>
              <w:rPr>
                <w:rFonts w:eastAsia="Times New Roman"/>
                <w:b/>
                <w:bCs/>
                <w:color w:val="000000"/>
                <w:sz w:val="20"/>
                <w:szCs w:val="20"/>
              </w:rPr>
            </w:pPr>
            <w:r>
              <w:rPr>
                <w:rFonts w:eastAsia="Times New Roman"/>
                <w:b/>
                <w:bCs/>
                <w:color w:val="000000"/>
                <w:sz w:val="20"/>
                <w:szCs w:val="20"/>
              </w:rPr>
              <w:t>1.43</w:t>
            </w:r>
            <w:r w:rsidRPr="004D0272">
              <w:rPr>
                <w:rFonts w:eastAsia="Times New Roman"/>
                <w:b/>
                <w:bCs/>
                <w:color w:val="000000"/>
                <w:sz w:val="20"/>
                <w:szCs w:val="20"/>
              </w:rPr>
              <w:t>%</w:t>
            </w:r>
          </w:p>
        </w:tc>
        <w:tc>
          <w:tcPr>
            <w:tcW w:w="963" w:type="pct"/>
            <w:tcBorders>
              <w:top w:val="single" w:sz="4" w:space="0" w:color="auto"/>
              <w:bottom w:val="single" w:sz="4" w:space="0" w:color="auto"/>
              <w:right w:val="single" w:sz="8" w:space="0" w:color="auto"/>
            </w:tcBorders>
            <w:noWrap/>
            <w:hideMark/>
          </w:tcPr>
          <w:p w14:paraId="03BA3F82" w14:textId="77777777" w:rsidR="00182448" w:rsidRPr="004D0272" w:rsidRDefault="00182448" w:rsidP="00AF0889">
            <w:pPr>
              <w:spacing w:before="40" w:after="20"/>
              <w:jc w:val="center"/>
              <w:rPr>
                <w:rFonts w:eastAsia="Times New Roman"/>
                <w:b/>
                <w:bCs/>
                <w:color w:val="000000"/>
                <w:sz w:val="20"/>
                <w:szCs w:val="20"/>
              </w:rPr>
            </w:pPr>
            <w:r w:rsidRPr="004D0272">
              <w:rPr>
                <w:rFonts w:eastAsia="Times New Roman"/>
                <w:b/>
                <w:bCs/>
                <w:color w:val="000000"/>
                <w:sz w:val="20"/>
                <w:szCs w:val="20"/>
              </w:rPr>
              <w:t>-</w:t>
            </w:r>
            <w:r>
              <w:rPr>
                <w:rFonts w:eastAsia="Times New Roman"/>
                <w:b/>
                <w:bCs/>
                <w:color w:val="000000"/>
                <w:sz w:val="20"/>
                <w:szCs w:val="20"/>
              </w:rPr>
              <w:t>0.67</w:t>
            </w:r>
            <w:r w:rsidRPr="004D0272">
              <w:rPr>
                <w:rFonts w:eastAsia="Times New Roman"/>
                <w:b/>
                <w:bCs/>
                <w:color w:val="000000"/>
                <w:sz w:val="20"/>
                <w:szCs w:val="20"/>
              </w:rPr>
              <w:t>%</w:t>
            </w:r>
          </w:p>
        </w:tc>
      </w:tr>
      <w:tr w:rsidR="00182448" w:rsidRPr="004D0272" w14:paraId="10A05A74" w14:textId="77777777" w:rsidTr="00502FEE">
        <w:trPr>
          <w:trHeight w:val="315"/>
        </w:trPr>
        <w:tc>
          <w:tcPr>
            <w:tcW w:w="2068" w:type="pct"/>
            <w:tcBorders>
              <w:top w:val="single" w:sz="4" w:space="0" w:color="auto"/>
              <w:left w:val="single" w:sz="8" w:space="0" w:color="auto"/>
              <w:bottom w:val="single" w:sz="4" w:space="0" w:color="auto"/>
            </w:tcBorders>
            <w:noWrap/>
            <w:hideMark/>
          </w:tcPr>
          <w:p w14:paraId="2A400584" w14:textId="77777777" w:rsidR="00182448" w:rsidRPr="004D0272" w:rsidRDefault="00182448" w:rsidP="00AF0889">
            <w:pPr>
              <w:spacing w:before="40" w:after="20"/>
              <w:rPr>
                <w:rFonts w:eastAsia="Times New Roman"/>
                <w:i/>
                <w:iCs/>
                <w:color w:val="000000"/>
                <w:sz w:val="20"/>
                <w:szCs w:val="20"/>
              </w:rPr>
            </w:pPr>
            <w:r w:rsidRPr="004D0272">
              <w:rPr>
                <w:rFonts w:eastAsia="Times New Roman"/>
                <w:i/>
                <w:iCs/>
                <w:color w:val="000000"/>
                <w:sz w:val="20"/>
                <w:szCs w:val="20"/>
              </w:rPr>
              <w:t>Opening AAE Weight in Total Portfolio</w:t>
            </w:r>
          </w:p>
        </w:tc>
        <w:tc>
          <w:tcPr>
            <w:tcW w:w="1074" w:type="pct"/>
            <w:tcBorders>
              <w:top w:val="single" w:sz="4" w:space="0" w:color="auto"/>
              <w:bottom w:val="single" w:sz="4" w:space="0" w:color="auto"/>
            </w:tcBorders>
            <w:noWrap/>
            <w:hideMark/>
          </w:tcPr>
          <w:p w14:paraId="75205292" w14:textId="77777777" w:rsidR="00182448" w:rsidRPr="004D0272" w:rsidRDefault="00182448" w:rsidP="00AF0889">
            <w:pPr>
              <w:spacing w:before="40" w:after="20"/>
              <w:jc w:val="center"/>
              <w:rPr>
                <w:rFonts w:eastAsia="Times New Roman"/>
                <w:color w:val="000000"/>
                <w:sz w:val="20"/>
                <w:szCs w:val="20"/>
              </w:rPr>
            </w:pPr>
            <w:r w:rsidRPr="004D0272">
              <w:rPr>
                <w:rFonts w:eastAsia="Times New Roman"/>
                <w:color w:val="000000"/>
                <w:sz w:val="20"/>
                <w:szCs w:val="20"/>
              </w:rPr>
              <w:t>50.16%</w:t>
            </w:r>
          </w:p>
        </w:tc>
        <w:tc>
          <w:tcPr>
            <w:tcW w:w="896" w:type="pct"/>
            <w:tcBorders>
              <w:top w:val="single" w:sz="4" w:space="0" w:color="auto"/>
              <w:bottom w:val="single" w:sz="4" w:space="0" w:color="auto"/>
            </w:tcBorders>
            <w:noWrap/>
            <w:hideMark/>
          </w:tcPr>
          <w:p w14:paraId="740C9F06" w14:textId="77777777" w:rsidR="00182448" w:rsidRPr="004D0272" w:rsidRDefault="00182448" w:rsidP="00AF0889">
            <w:pPr>
              <w:spacing w:before="40" w:after="20"/>
              <w:jc w:val="center"/>
              <w:rPr>
                <w:rFonts w:eastAsia="Times New Roman"/>
                <w:color w:val="000000"/>
                <w:sz w:val="20"/>
                <w:szCs w:val="20"/>
              </w:rPr>
            </w:pPr>
            <w:r w:rsidRPr="004D0272">
              <w:rPr>
                <w:rFonts w:eastAsia="Times New Roman"/>
                <w:color w:val="000000"/>
                <w:sz w:val="20"/>
                <w:szCs w:val="20"/>
              </w:rPr>
              <w:t>48.07%</w:t>
            </w:r>
          </w:p>
        </w:tc>
        <w:tc>
          <w:tcPr>
            <w:tcW w:w="963" w:type="pct"/>
            <w:tcBorders>
              <w:top w:val="single" w:sz="4" w:space="0" w:color="auto"/>
              <w:bottom w:val="single" w:sz="4" w:space="0" w:color="auto"/>
              <w:right w:val="single" w:sz="8" w:space="0" w:color="auto"/>
            </w:tcBorders>
            <w:noWrap/>
            <w:hideMark/>
          </w:tcPr>
          <w:p w14:paraId="233DB047" w14:textId="77777777" w:rsidR="00182448" w:rsidRPr="004D0272" w:rsidRDefault="00182448" w:rsidP="00AF0889">
            <w:pPr>
              <w:spacing w:before="40" w:after="20"/>
              <w:jc w:val="center"/>
              <w:rPr>
                <w:rFonts w:eastAsia="Times New Roman"/>
                <w:color w:val="000000"/>
                <w:sz w:val="20"/>
                <w:szCs w:val="20"/>
              </w:rPr>
            </w:pPr>
          </w:p>
        </w:tc>
      </w:tr>
      <w:tr w:rsidR="00182448" w:rsidRPr="004D0272" w14:paraId="4083EDD3" w14:textId="77777777" w:rsidTr="00502FEE">
        <w:trPr>
          <w:trHeight w:val="100"/>
        </w:trPr>
        <w:tc>
          <w:tcPr>
            <w:tcW w:w="2068" w:type="pct"/>
            <w:tcBorders>
              <w:top w:val="single" w:sz="4" w:space="0" w:color="auto"/>
              <w:left w:val="single" w:sz="8" w:space="0" w:color="auto"/>
            </w:tcBorders>
            <w:noWrap/>
            <w:hideMark/>
          </w:tcPr>
          <w:p w14:paraId="72BAD2A1" w14:textId="77777777" w:rsidR="00182448" w:rsidRPr="004D0272" w:rsidRDefault="00182448" w:rsidP="00AB1473">
            <w:pPr>
              <w:spacing w:before="60" w:after="60"/>
              <w:rPr>
                <w:rFonts w:eastAsia="Times New Roman"/>
                <w:color w:val="000000"/>
                <w:sz w:val="12"/>
                <w:szCs w:val="12"/>
              </w:rPr>
            </w:pPr>
            <w:r w:rsidRPr="004D0272">
              <w:rPr>
                <w:rFonts w:eastAsia="Times New Roman"/>
                <w:color w:val="000000"/>
                <w:sz w:val="12"/>
                <w:szCs w:val="12"/>
              </w:rPr>
              <w:t> </w:t>
            </w:r>
          </w:p>
        </w:tc>
        <w:tc>
          <w:tcPr>
            <w:tcW w:w="1074" w:type="pct"/>
            <w:tcBorders>
              <w:top w:val="single" w:sz="4" w:space="0" w:color="auto"/>
            </w:tcBorders>
            <w:noWrap/>
            <w:hideMark/>
          </w:tcPr>
          <w:p w14:paraId="042F5710" w14:textId="77777777" w:rsidR="00182448" w:rsidRPr="004D0272" w:rsidRDefault="00182448" w:rsidP="00AB1473">
            <w:pPr>
              <w:spacing w:before="60" w:after="60"/>
              <w:rPr>
                <w:rFonts w:eastAsia="Times New Roman"/>
                <w:color w:val="000000"/>
                <w:sz w:val="12"/>
                <w:szCs w:val="12"/>
              </w:rPr>
            </w:pPr>
          </w:p>
        </w:tc>
        <w:tc>
          <w:tcPr>
            <w:tcW w:w="896" w:type="pct"/>
            <w:tcBorders>
              <w:top w:val="single" w:sz="4" w:space="0" w:color="auto"/>
            </w:tcBorders>
            <w:noWrap/>
            <w:hideMark/>
          </w:tcPr>
          <w:p w14:paraId="272BBBEF" w14:textId="77777777" w:rsidR="00182448" w:rsidRPr="004D0272" w:rsidRDefault="00182448" w:rsidP="00AB1473">
            <w:pPr>
              <w:spacing w:before="60" w:after="60"/>
              <w:rPr>
                <w:rFonts w:eastAsia="Times New Roman"/>
                <w:color w:val="000000"/>
                <w:sz w:val="12"/>
                <w:szCs w:val="12"/>
              </w:rPr>
            </w:pPr>
          </w:p>
        </w:tc>
        <w:tc>
          <w:tcPr>
            <w:tcW w:w="963" w:type="pct"/>
            <w:tcBorders>
              <w:top w:val="single" w:sz="4" w:space="0" w:color="auto"/>
              <w:right w:val="single" w:sz="8" w:space="0" w:color="auto"/>
            </w:tcBorders>
            <w:noWrap/>
            <w:hideMark/>
          </w:tcPr>
          <w:p w14:paraId="53D57F5D" w14:textId="77777777" w:rsidR="00182448" w:rsidRPr="004D0272" w:rsidRDefault="00182448" w:rsidP="00AB1473">
            <w:pPr>
              <w:spacing w:before="60" w:after="60"/>
              <w:rPr>
                <w:rFonts w:eastAsia="Times New Roman"/>
                <w:color w:val="000000"/>
                <w:sz w:val="12"/>
                <w:szCs w:val="12"/>
              </w:rPr>
            </w:pPr>
          </w:p>
        </w:tc>
      </w:tr>
      <w:tr w:rsidR="00182448" w:rsidRPr="004D0272" w14:paraId="7467B3A1" w14:textId="77777777" w:rsidTr="00502FEE">
        <w:trPr>
          <w:trHeight w:val="315"/>
        </w:trPr>
        <w:tc>
          <w:tcPr>
            <w:tcW w:w="2068" w:type="pct"/>
            <w:tcBorders>
              <w:left w:val="single" w:sz="8" w:space="0" w:color="auto"/>
            </w:tcBorders>
            <w:noWrap/>
            <w:hideMark/>
          </w:tcPr>
          <w:p w14:paraId="204785BB" w14:textId="77777777" w:rsidR="00182448" w:rsidRPr="004D0272" w:rsidRDefault="00182448" w:rsidP="00AF0889">
            <w:pPr>
              <w:spacing w:before="40" w:after="20"/>
              <w:rPr>
                <w:rFonts w:eastAsia="Times New Roman"/>
                <w:b/>
                <w:bCs/>
                <w:color w:val="000000"/>
                <w:sz w:val="20"/>
                <w:szCs w:val="20"/>
              </w:rPr>
            </w:pPr>
            <w:r w:rsidRPr="004D0272">
              <w:rPr>
                <w:rFonts w:eastAsia="Times New Roman"/>
                <w:b/>
                <w:bCs/>
                <w:color w:val="000000"/>
                <w:sz w:val="20"/>
                <w:szCs w:val="20"/>
              </w:rPr>
              <w:t>Cash Portfolio vs. Betashares Cash ETF</w:t>
            </w:r>
          </w:p>
        </w:tc>
        <w:tc>
          <w:tcPr>
            <w:tcW w:w="1074" w:type="pct"/>
            <w:noWrap/>
            <w:hideMark/>
          </w:tcPr>
          <w:p w14:paraId="72E214BF" w14:textId="77777777" w:rsidR="00182448" w:rsidRPr="004D0272" w:rsidRDefault="00182448" w:rsidP="00AF0889">
            <w:pPr>
              <w:spacing w:before="40" w:after="20"/>
              <w:jc w:val="center"/>
              <w:rPr>
                <w:rFonts w:eastAsia="Times New Roman"/>
                <w:color w:val="000000"/>
                <w:sz w:val="20"/>
                <w:szCs w:val="20"/>
              </w:rPr>
            </w:pPr>
          </w:p>
        </w:tc>
        <w:tc>
          <w:tcPr>
            <w:tcW w:w="896" w:type="pct"/>
            <w:noWrap/>
            <w:hideMark/>
          </w:tcPr>
          <w:p w14:paraId="6642DDF8" w14:textId="77777777" w:rsidR="00182448" w:rsidRPr="004D0272" w:rsidRDefault="00182448" w:rsidP="00AF0889">
            <w:pPr>
              <w:spacing w:before="40" w:after="20"/>
              <w:jc w:val="center"/>
              <w:rPr>
                <w:rFonts w:eastAsia="Times New Roman"/>
                <w:color w:val="000000"/>
                <w:sz w:val="20"/>
                <w:szCs w:val="20"/>
              </w:rPr>
            </w:pPr>
          </w:p>
        </w:tc>
        <w:tc>
          <w:tcPr>
            <w:tcW w:w="963" w:type="pct"/>
            <w:tcBorders>
              <w:right w:val="single" w:sz="8" w:space="0" w:color="auto"/>
            </w:tcBorders>
            <w:noWrap/>
            <w:hideMark/>
          </w:tcPr>
          <w:p w14:paraId="2E4A533A" w14:textId="77777777" w:rsidR="00182448" w:rsidRPr="004D0272" w:rsidRDefault="00182448" w:rsidP="00AF0889">
            <w:pPr>
              <w:spacing w:before="40" w:after="20"/>
              <w:jc w:val="center"/>
              <w:rPr>
                <w:rFonts w:eastAsia="Times New Roman"/>
                <w:color w:val="000000"/>
                <w:sz w:val="20"/>
                <w:szCs w:val="20"/>
              </w:rPr>
            </w:pPr>
          </w:p>
        </w:tc>
      </w:tr>
      <w:tr w:rsidR="00182448" w:rsidRPr="004D0272" w14:paraId="61DD18D6" w14:textId="77777777" w:rsidTr="00502FEE">
        <w:trPr>
          <w:trHeight w:val="315"/>
        </w:trPr>
        <w:tc>
          <w:tcPr>
            <w:tcW w:w="2068" w:type="pct"/>
            <w:tcBorders>
              <w:left w:val="single" w:sz="8" w:space="0" w:color="auto"/>
            </w:tcBorders>
            <w:noWrap/>
            <w:hideMark/>
          </w:tcPr>
          <w:p w14:paraId="49632657" w14:textId="77777777" w:rsidR="00182448" w:rsidRPr="004D0272" w:rsidRDefault="00182448" w:rsidP="00AF0889">
            <w:pPr>
              <w:spacing w:before="40" w:after="20"/>
              <w:rPr>
                <w:rFonts w:eastAsia="Times New Roman"/>
                <w:color w:val="000000"/>
                <w:sz w:val="20"/>
                <w:szCs w:val="20"/>
              </w:rPr>
            </w:pPr>
            <w:r w:rsidRPr="004D0272">
              <w:rPr>
                <w:rFonts w:eastAsia="Times New Roman"/>
                <w:color w:val="000000"/>
                <w:sz w:val="20"/>
                <w:szCs w:val="20"/>
              </w:rPr>
              <w:t xml:space="preserve"> Accruals</w:t>
            </w:r>
          </w:p>
        </w:tc>
        <w:tc>
          <w:tcPr>
            <w:tcW w:w="1074" w:type="pct"/>
            <w:noWrap/>
            <w:hideMark/>
          </w:tcPr>
          <w:p w14:paraId="7BC2C55F" w14:textId="77777777" w:rsidR="00182448" w:rsidRPr="004D0272" w:rsidRDefault="00182448" w:rsidP="00AF0889">
            <w:pPr>
              <w:spacing w:before="40" w:after="20"/>
              <w:jc w:val="center"/>
              <w:rPr>
                <w:rFonts w:eastAsia="Times New Roman"/>
                <w:color w:val="000000"/>
                <w:sz w:val="20"/>
                <w:szCs w:val="20"/>
              </w:rPr>
            </w:pPr>
            <w:r w:rsidRPr="004D0272">
              <w:rPr>
                <w:rFonts w:eastAsia="Times New Roman"/>
                <w:color w:val="000000"/>
                <w:sz w:val="20"/>
                <w:szCs w:val="20"/>
              </w:rPr>
              <w:t>0.00%</w:t>
            </w:r>
          </w:p>
        </w:tc>
        <w:tc>
          <w:tcPr>
            <w:tcW w:w="896" w:type="pct"/>
            <w:noWrap/>
            <w:hideMark/>
          </w:tcPr>
          <w:p w14:paraId="7A1AD1AF" w14:textId="77777777" w:rsidR="00182448" w:rsidRPr="004D0272" w:rsidRDefault="00182448" w:rsidP="00AF0889">
            <w:pPr>
              <w:spacing w:before="40" w:after="20"/>
              <w:jc w:val="center"/>
              <w:rPr>
                <w:rFonts w:eastAsia="Times New Roman"/>
                <w:color w:val="000000"/>
                <w:sz w:val="20"/>
                <w:szCs w:val="20"/>
              </w:rPr>
            </w:pPr>
            <w:r w:rsidRPr="004D0272">
              <w:rPr>
                <w:rFonts w:eastAsia="Times New Roman"/>
                <w:color w:val="000000"/>
                <w:sz w:val="20"/>
                <w:szCs w:val="20"/>
              </w:rPr>
              <w:t>0.00%</w:t>
            </w:r>
          </w:p>
        </w:tc>
        <w:tc>
          <w:tcPr>
            <w:tcW w:w="963" w:type="pct"/>
            <w:tcBorders>
              <w:right w:val="single" w:sz="8" w:space="0" w:color="auto"/>
            </w:tcBorders>
            <w:noWrap/>
            <w:hideMark/>
          </w:tcPr>
          <w:p w14:paraId="71EB104C" w14:textId="77777777" w:rsidR="00182448" w:rsidRPr="004D0272" w:rsidRDefault="00182448" w:rsidP="00AF0889">
            <w:pPr>
              <w:spacing w:before="40" w:after="20"/>
              <w:jc w:val="center"/>
              <w:rPr>
                <w:rFonts w:eastAsia="Times New Roman"/>
                <w:color w:val="000000"/>
                <w:sz w:val="20"/>
                <w:szCs w:val="20"/>
              </w:rPr>
            </w:pPr>
            <w:r w:rsidRPr="004D0272">
              <w:rPr>
                <w:rFonts w:eastAsia="Times New Roman"/>
                <w:color w:val="000000"/>
                <w:sz w:val="20"/>
                <w:szCs w:val="20"/>
              </w:rPr>
              <w:t>0.00%</w:t>
            </w:r>
          </w:p>
        </w:tc>
      </w:tr>
      <w:tr w:rsidR="00182448" w:rsidRPr="004D0272" w14:paraId="03F14167" w14:textId="77777777" w:rsidTr="00502FEE">
        <w:trPr>
          <w:trHeight w:val="315"/>
        </w:trPr>
        <w:tc>
          <w:tcPr>
            <w:tcW w:w="2068" w:type="pct"/>
            <w:tcBorders>
              <w:left w:val="single" w:sz="8" w:space="0" w:color="auto"/>
            </w:tcBorders>
            <w:noWrap/>
            <w:hideMark/>
          </w:tcPr>
          <w:p w14:paraId="7A0EB2DD" w14:textId="77777777" w:rsidR="00182448" w:rsidRPr="004D0272" w:rsidRDefault="00182448" w:rsidP="00AF0889">
            <w:pPr>
              <w:spacing w:before="40" w:after="20"/>
              <w:rPr>
                <w:rFonts w:eastAsia="Times New Roman"/>
                <w:color w:val="000000"/>
                <w:sz w:val="20"/>
                <w:szCs w:val="20"/>
              </w:rPr>
            </w:pPr>
            <w:r w:rsidRPr="004D0272">
              <w:rPr>
                <w:rFonts w:eastAsia="Times New Roman"/>
                <w:color w:val="000000"/>
                <w:sz w:val="20"/>
                <w:szCs w:val="20"/>
              </w:rPr>
              <w:t xml:space="preserve"> Betashares Cash ETF</w:t>
            </w:r>
          </w:p>
        </w:tc>
        <w:tc>
          <w:tcPr>
            <w:tcW w:w="1074" w:type="pct"/>
            <w:noWrap/>
            <w:hideMark/>
          </w:tcPr>
          <w:p w14:paraId="20F0C26C" w14:textId="77777777" w:rsidR="00182448" w:rsidRPr="004D0272" w:rsidRDefault="00182448" w:rsidP="00AF0889">
            <w:pPr>
              <w:spacing w:before="40" w:after="20"/>
              <w:jc w:val="center"/>
              <w:rPr>
                <w:rFonts w:eastAsia="Times New Roman"/>
                <w:color w:val="000000"/>
                <w:sz w:val="20"/>
                <w:szCs w:val="20"/>
              </w:rPr>
            </w:pPr>
            <w:r w:rsidRPr="004D0272">
              <w:rPr>
                <w:rFonts w:eastAsia="Times New Roman"/>
                <w:color w:val="000000"/>
                <w:sz w:val="20"/>
                <w:szCs w:val="20"/>
              </w:rPr>
              <w:t>0.00%</w:t>
            </w:r>
          </w:p>
        </w:tc>
        <w:tc>
          <w:tcPr>
            <w:tcW w:w="896" w:type="pct"/>
            <w:noWrap/>
            <w:hideMark/>
          </w:tcPr>
          <w:p w14:paraId="4F5F5FB5" w14:textId="77777777" w:rsidR="00182448" w:rsidRPr="004D0272" w:rsidRDefault="00182448" w:rsidP="00AF0889">
            <w:pPr>
              <w:spacing w:before="40" w:after="20"/>
              <w:jc w:val="center"/>
              <w:rPr>
                <w:rFonts w:eastAsia="Times New Roman"/>
                <w:color w:val="000000"/>
                <w:sz w:val="20"/>
                <w:szCs w:val="20"/>
              </w:rPr>
            </w:pPr>
            <w:r w:rsidRPr="004D0272">
              <w:rPr>
                <w:rFonts w:eastAsia="Times New Roman"/>
                <w:color w:val="000000"/>
                <w:sz w:val="20"/>
                <w:szCs w:val="20"/>
              </w:rPr>
              <w:t>0.00%</w:t>
            </w:r>
          </w:p>
        </w:tc>
        <w:tc>
          <w:tcPr>
            <w:tcW w:w="963" w:type="pct"/>
            <w:tcBorders>
              <w:right w:val="single" w:sz="8" w:space="0" w:color="auto"/>
            </w:tcBorders>
            <w:noWrap/>
            <w:hideMark/>
          </w:tcPr>
          <w:p w14:paraId="18E77E9E" w14:textId="77777777" w:rsidR="00182448" w:rsidRPr="004D0272" w:rsidRDefault="00182448" w:rsidP="00AF0889">
            <w:pPr>
              <w:spacing w:before="40" w:after="20"/>
              <w:jc w:val="center"/>
              <w:rPr>
                <w:rFonts w:eastAsia="Times New Roman"/>
                <w:color w:val="000000"/>
                <w:sz w:val="20"/>
                <w:szCs w:val="20"/>
              </w:rPr>
            </w:pPr>
            <w:r w:rsidRPr="004D0272">
              <w:rPr>
                <w:rFonts w:eastAsia="Times New Roman"/>
                <w:color w:val="000000"/>
                <w:sz w:val="20"/>
                <w:szCs w:val="20"/>
              </w:rPr>
              <w:t>0.00%</w:t>
            </w:r>
          </w:p>
        </w:tc>
      </w:tr>
      <w:tr w:rsidR="00182448" w:rsidRPr="004D0272" w14:paraId="05D1F743" w14:textId="77777777" w:rsidTr="00502FEE">
        <w:trPr>
          <w:trHeight w:val="315"/>
        </w:trPr>
        <w:tc>
          <w:tcPr>
            <w:tcW w:w="2068" w:type="pct"/>
            <w:tcBorders>
              <w:left w:val="single" w:sz="8" w:space="0" w:color="auto"/>
            </w:tcBorders>
            <w:noWrap/>
            <w:hideMark/>
          </w:tcPr>
          <w:p w14:paraId="5966C344" w14:textId="77777777" w:rsidR="00182448" w:rsidRPr="004D0272" w:rsidRDefault="00182448" w:rsidP="00AF0889">
            <w:pPr>
              <w:spacing w:before="40" w:after="20"/>
              <w:rPr>
                <w:rFonts w:eastAsia="Times New Roman"/>
                <w:color w:val="000000"/>
                <w:sz w:val="20"/>
                <w:szCs w:val="20"/>
              </w:rPr>
            </w:pPr>
            <w:r w:rsidRPr="004D0272">
              <w:rPr>
                <w:rFonts w:eastAsia="Times New Roman"/>
                <w:color w:val="000000"/>
                <w:sz w:val="20"/>
                <w:szCs w:val="20"/>
              </w:rPr>
              <w:t xml:space="preserve"> BT Cash Management Trust</w:t>
            </w:r>
          </w:p>
        </w:tc>
        <w:tc>
          <w:tcPr>
            <w:tcW w:w="1074" w:type="pct"/>
            <w:noWrap/>
            <w:hideMark/>
          </w:tcPr>
          <w:p w14:paraId="565DE00B" w14:textId="77777777" w:rsidR="00182448" w:rsidRPr="004D0272" w:rsidRDefault="00182448" w:rsidP="00AF0889">
            <w:pPr>
              <w:spacing w:before="40" w:after="20"/>
              <w:jc w:val="center"/>
              <w:rPr>
                <w:rFonts w:eastAsia="Times New Roman"/>
                <w:color w:val="000000"/>
                <w:sz w:val="20"/>
                <w:szCs w:val="20"/>
              </w:rPr>
            </w:pPr>
            <w:r w:rsidRPr="004D0272">
              <w:rPr>
                <w:rFonts w:eastAsia="Times New Roman"/>
                <w:color w:val="000000"/>
                <w:sz w:val="20"/>
                <w:szCs w:val="20"/>
              </w:rPr>
              <w:t>-0.25%</w:t>
            </w:r>
          </w:p>
        </w:tc>
        <w:tc>
          <w:tcPr>
            <w:tcW w:w="896" w:type="pct"/>
            <w:noWrap/>
            <w:hideMark/>
          </w:tcPr>
          <w:p w14:paraId="6A68E5C1" w14:textId="77777777" w:rsidR="00182448" w:rsidRPr="004D0272" w:rsidRDefault="00182448" w:rsidP="00AF0889">
            <w:pPr>
              <w:spacing w:before="40" w:after="20"/>
              <w:jc w:val="center"/>
              <w:rPr>
                <w:rFonts w:eastAsia="Times New Roman"/>
                <w:color w:val="000000"/>
                <w:sz w:val="20"/>
                <w:szCs w:val="20"/>
              </w:rPr>
            </w:pPr>
            <w:r w:rsidRPr="004D0272">
              <w:rPr>
                <w:rFonts w:eastAsia="Times New Roman"/>
                <w:color w:val="000000"/>
                <w:sz w:val="20"/>
                <w:szCs w:val="20"/>
              </w:rPr>
              <w:t>-0.</w:t>
            </w:r>
            <w:r>
              <w:rPr>
                <w:rFonts w:eastAsia="Times New Roman"/>
                <w:color w:val="000000"/>
                <w:sz w:val="20"/>
                <w:szCs w:val="20"/>
              </w:rPr>
              <w:t>22</w:t>
            </w:r>
            <w:r w:rsidRPr="004D0272">
              <w:rPr>
                <w:rFonts w:eastAsia="Times New Roman"/>
                <w:color w:val="000000"/>
                <w:sz w:val="20"/>
                <w:szCs w:val="20"/>
              </w:rPr>
              <w:t>%</w:t>
            </w:r>
          </w:p>
        </w:tc>
        <w:tc>
          <w:tcPr>
            <w:tcW w:w="963" w:type="pct"/>
            <w:tcBorders>
              <w:right w:val="single" w:sz="8" w:space="0" w:color="auto"/>
            </w:tcBorders>
            <w:noWrap/>
            <w:hideMark/>
          </w:tcPr>
          <w:p w14:paraId="5542FC32" w14:textId="77777777" w:rsidR="00182448" w:rsidRPr="004D0272" w:rsidRDefault="00182448" w:rsidP="00AF0889">
            <w:pPr>
              <w:spacing w:before="40" w:after="20"/>
              <w:jc w:val="center"/>
              <w:rPr>
                <w:rFonts w:eastAsia="Times New Roman"/>
                <w:color w:val="000000"/>
                <w:sz w:val="20"/>
                <w:szCs w:val="20"/>
              </w:rPr>
            </w:pPr>
            <w:r w:rsidRPr="004D0272">
              <w:rPr>
                <w:rFonts w:eastAsia="Times New Roman"/>
                <w:color w:val="000000"/>
                <w:sz w:val="20"/>
                <w:szCs w:val="20"/>
              </w:rPr>
              <w:t>-0.4</w:t>
            </w:r>
            <w:r>
              <w:rPr>
                <w:rFonts w:eastAsia="Times New Roman"/>
                <w:color w:val="000000"/>
                <w:sz w:val="20"/>
                <w:szCs w:val="20"/>
              </w:rPr>
              <w:t>8</w:t>
            </w:r>
            <w:r w:rsidRPr="004D0272">
              <w:rPr>
                <w:rFonts w:eastAsia="Times New Roman"/>
                <w:color w:val="000000"/>
                <w:sz w:val="20"/>
                <w:szCs w:val="20"/>
              </w:rPr>
              <w:t>%</w:t>
            </w:r>
          </w:p>
        </w:tc>
      </w:tr>
      <w:tr w:rsidR="00182448" w:rsidRPr="004D0272" w14:paraId="4C73F0E3" w14:textId="77777777" w:rsidTr="00502FEE">
        <w:trPr>
          <w:trHeight w:val="315"/>
        </w:trPr>
        <w:tc>
          <w:tcPr>
            <w:tcW w:w="2068" w:type="pct"/>
            <w:tcBorders>
              <w:left w:val="single" w:sz="8" w:space="0" w:color="auto"/>
              <w:bottom w:val="single" w:sz="4" w:space="0" w:color="auto"/>
            </w:tcBorders>
            <w:noWrap/>
            <w:hideMark/>
          </w:tcPr>
          <w:p w14:paraId="63078ACC" w14:textId="77777777" w:rsidR="00182448" w:rsidRPr="004D0272" w:rsidRDefault="00182448" w:rsidP="00AF0889">
            <w:pPr>
              <w:spacing w:before="40" w:after="20"/>
              <w:rPr>
                <w:rFonts w:eastAsia="Times New Roman"/>
                <w:color w:val="000000"/>
                <w:sz w:val="20"/>
                <w:szCs w:val="20"/>
              </w:rPr>
            </w:pPr>
            <w:r w:rsidRPr="004D0272">
              <w:rPr>
                <w:rFonts w:eastAsia="Times New Roman"/>
                <w:color w:val="000000"/>
                <w:sz w:val="20"/>
                <w:szCs w:val="20"/>
              </w:rPr>
              <w:t xml:space="preserve"> Time Aggregation Effect </w:t>
            </w:r>
          </w:p>
        </w:tc>
        <w:tc>
          <w:tcPr>
            <w:tcW w:w="1074" w:type="pct"/>
            <w:tcBorders>
              <w:bottom w:val="single" w:sz="4" w:space="0" w:color="auto"/>
            </w:tcBorders>
            <w:noWrap/>
            <w:hideMark/>
          </w:tcPr>
          <w:p w14:paraId="33649C8F" w14:textId="77777777" w:rsidR="00182448" w:rsidRPr="004D0272" w:rsidRDefault="00182448" w:rsidP="00AF0889">
            <w:pPr>
              <w:spacing w:before="40" w:after="20"/>
              <w:jc w:val="center"/>
              <w:rPr>
                <w:rFonts w:eastAsia="Times New Roman"/>
                <w:color w:val="000000"/>
                <w:sz w:val="20"/>
                <w:szCs w:val="20"/>
              </w:rPr>
            </w:pPr>
            <w:r w:rsidRPr="004D0272">
              <w:rPr>
                <w:rFonts w:eastAsia="Times New Roman"/>
                <w:color w:val="000000"/>
                <w:sz w:val="20"/>
                <w:szCs w:val="20"/>
              </w:rPr>
              <w:t>0.00%</w:t>
            </w:r>
          </w:p>
        </w:tc>
        <w:tc>
          <w:tcPr>
            <w:tcW w:w="896" w:type="pct"/>
            <w:tcBorders>
              <w:bottom w:val="single" w:sz="4" w:space="0" w:color="auto"/>
            </w:tcBorders>
            <w:noWrap/>
            <w:hideMark/>
          </w:tcPr>
          <w:p w14:paraId="35D6FBBB" w14:textId="77777777" w:rsidR="00182448" w:rsidRPr="004D0272" w:rsidRDefault="00182448" w:rsidP="00AF0889">
            <w:pPr>
              <w:spacing w:before="40" w:after="20"/>
              <w:jc w:val="center"/>
              <w:rPr>
                <w:rFonts w:eastAsia="Times New Roman"/>
                <w:color w:val="000000"/>
                <w:sz w:val="20"/>
                <w:szCs w:val="20"/>
              </w:rPr>
            </w:pPr>
            <w:r w:rsidRPr="004D0272">
              <w:rPr>
                <w:rFonts w:eastAsia="Times New Roman"/>
                <w:color w:val="000000"/>
                <w:sz w:val="20"/>
                <w:szCs w:val="20"/>
              </w:rPr>
              <w:t>0.00%</w:t>
            </w:r>
          </w:p>
        </w:tc>
        <w:tc>
          <w:tcPr>
            <w:tcW w:w="963" w:type="pct"/>
            <w:tcBorders>
              <w:bottom w:val="single" w:sz="4" w:space="0" w:color="auto"/>
              <w:right w:val="single" w:sz="8" w:space="0" w:color="auto"/>
            </w:tcBorders>
            <w:noWrap/>
            <w:hideMark/>
          </w:tcPr>
          <w:p w14:paraId="13841059" w14:textId="77777777" w:rsidR="00182448" w:rsidRPr="004D0272" w:rsidRDefault="00182448" w:rsidP="00AF0889">
            <w:pPr>
              <w:spacing w:before="40" w:after="20"/>
              <w:jc w:val="center"/>
              <w:rPr>
                <w:rFonts w:eastAsia="Times New Roman"/>
                <w:color w:val="000000"/>
                <w:sz w:val="20"/>
                <w:szCs w:val="20"/>
              </w:rPr>
            </w:pPr>
            <w:r w:rsidRPr="004D0272">
              <w:rPr>
                <w:rFonts w:eastAsia="Times New Roman"/>
                <w:color w:val="000000"/>
                <w:sz w:val="20"/>
                <w:szCs w:val="20"/>
              </w:rPr>
              <w:t>0.00%</w:t>
            </w:r>
          </w:p>
        </w:tc>
      </w:tr>
      <w:tr w:rsidR="00182448" w:rsidRPr="004D0272" w14:paraId="6D4B1CD3" w14:textId="77777777" w:rsidTr="00502FEE">
        <w:trPr>
          <w:trHeight w:val="315"/>
        </w:trPr>
        <w:tc>
          <w:tcPr>
            <w:tcW w:w="2068" w:type="pct"/>
            <w:tcBorders>
              <w:top w:val="single" w:sz="4" w:space="0" w:color="auto"/>
              <w:left w:val="single" w:sz="8" w:space="0" w:color="auto"/>
              <w:bottom w:val="single" w:sz="4" w:space="0" w:color="auto"/>
            </w:tcBorders>
            <w:noWrap/>
            <w:hideMark/>
          </w:tcPr>
          <w:p w14:paraId="16ED040B" w14:textId="77777777" w:rsidR="00182448" w:rsidRPr="004D0272" w:rsidRDefault="00182448" w:rsidP="00AF0889">
            <w:pPr>
              <w:spacing w:before="40" w:after="20"/>
              <w:rPr>
                <w:rFonts w:eastAsia="Times New Roman"/>
                <w:b/>
                <w:bCs/>
                <w:color w:val="000000"/>
                <w:sz w:val="20"/>
                <w:szCs w:val="20"/>
              </w:rPr>
            </w:pPr>
            <w:r w:rsidRPr="004D0272">
              <w:rPr>
                <w:rFonts w:eastAsia="Times New Roman"/>
                <w:b/>
                <w:bCs/>
                <w:color w:val="000000"/>
                <w:sz w:val="20"/>
                <w:szCs w:val="20"/>
              </w:rPr>
              <w:t>Total Relative Performance</w:t>
            </w:r>
          </w:p>
        </w:tc>
        <w:tc>
          <w:tcPr>
            <w:tcW w:w="1074" w:type="pct"/>
            <w:tcBorders>
              <w:top w:val="single" w:sz="4" w:space="0" w:color="auto"/>
              <w:bottom w:val="single" w:sz="4" w:space="0" w:color="auto"/>
            </w:tcBorders>
            <w:noWrap/>
            <w:hideMark/>
          </w:tcPr>
          <w:p w14:paraId="1DC0C9BA" w14:textId="77777777" w:rsidR="00182448" w:rsidRPr="004D0272" w:rsidRDefault="00182448" w:rsidP="00AF0889">
            <w:pPr>
              <w:spacing w:before="40" w:after="20"/>
              <w:jc w:val="center"/>
              <w:rPr>
                <w:rFonts w:eastAsia="Times New Roman"/>
                <w:b/>
                <w:bCs/>
                <w:color w:val="000000"/>
                <w:sz w:val="20"/>
                <w:szCs w:val="20"/>
              </w:rPr>
            </w:pPr>
            <w:r w:rsidRPr="004D0272">
              <w:rPr>
                <w:rFonts w:eastAsia="Times New Roman"/>
                <w:b/>
                <w:bCs/>
                <w:color w:val="000000"/>
                <w:sz w:val="20"/>
                <w:szCs w:val="20"/>
              </w:rPr>
              <w:t>-0.25%</w:t>
            </w:r>
          </w:p>
        </w:tc>
        <w:tc>
          <w:tcPr>
            <w:tcW w:w="896" w:type="pct"/>
            <w:tcBorders>
              <w:top w:val="single" w:sz="4" w:space="0" w:color="auto"/>
              <w:bottom w:val="single" w:sz="4" w:space="0" w:color="auto"/>
            </w:tcBorders>
            <w:noWrap/>
            <w:hideMark/>
          </w:tcPr>
          <w:p w14:paraId="0807B319" w14:textId="77777777" w:rsidR="00182448" w:rsidRPr="004D0272" w:rsidRDefault="00182448" w:rsidP="00AF0889">
            <w:pPr>
              <w:spacing w:before="40" w:after="20"/>
              <w:jc w:val="center"/>
              <w:rPr>
                <w:rFonts w:eastAsia="Times New Roman"/>
                <w:b/>
                <w:bCs/>
                <w:color w:val="000000"/>
                <w:sz w:val="20"/>
                <w:szCs w:val="20"/>
              </w:rPr>
            </w:pPr>
            <w:r w:rsidRPr="004D0272">
              <w:rPr>
                <w:rFonts w:eastAsia="Times New Roman"/>
                <w:b/>
                <w:bCs/>
                <w:color w:val="000000"/>
                <w:sz w:val="20"/>
                <w:szCs w:val="20"/>
              </w:rPr>
              <w:t>-0.</w:t>
            </w:r>
            <w:r>
              <w:rPr>
                <w:rFonts w:eastAsia="Times New Roman"/>
                <w:b/>
                <w:bCs/>
                <w:color w:val="000000"/>
                <w:sz w:val="20"/>
                <w:szCs w:val="20"/>
              </w:rPr>
              <w:t>22</w:t>
            </w:r>
            <w:r w:rsidRPr="004D0272">
              <w:rPr>
                <w:rFonts w:eastAsia="Times New Roman"/>
                <w:b/>
                <w:bCs/>
                <w:color w:val="000000"/>
                <w:sz w:val="20"/>
                <w:szCs w:val="20"/>
              </w:rPr>
              <w:t>%</w:t>
            </w:r>
          </w:p>
        </w:tc>
        <w:tc>
          <w:tcPr>
            <w:tcW w:w="963" w:type="pct"/>
            <w:tcBorders>
              <w:top w:val="single" w:sz="4" w:space="0" w:color="auto"/>
              <w:bottom w:val="single" w:sz="4" w:space="0" w:color="auto"/>
              <w:right w:val="single" w:sz="8" w:space="0" w:color="auto"/>
            </w:tcBorders>
            <w:noWrap/>
            <w:hideMark/>
          </w:tcPr>
          <w:p w14:paraId="2A6E8759" w14:textId="77777777" w:rsidR="00182448" w:rsidRPr="004D0272" w:rsidRDefault="00182448" w:rsidP="00AF0889">
            <w:pPr>
              <w:spacing w:before="40" w:after="20"/>
              <w:jc w:val="center"/>
              <w:rPr>
                <w:rFonts w:eastAsia="Times New Roman"/>
                <w:b/>
                <w:bCs/>
                <w:color w:val="000000"/>
                <w:sz w:val="20"/>
                <w:szCs w:val="20"/>
              </w:rPr>
            </w:pPr>
            <w:r w:rsidRPr="004D0272">
              <w:rPr>
                <w:rFonts w:eastAsia="Times New Roman"/>
                <w:b/>
                <w:bCs/>
                <w:color w:val="000000"/>
                <w:sz w:val="20"/>
                <w:szCs w:val="20"/>
              </w:rPr>
              <w:t>-0.4</w:t>
            </w:r>
            <w:r>
              <w:rPr>
                <w:rFonts w:eastAsia="Times New Roman"/>
                <w:b/>
                <w:bCs/>
                <w:color w:val="000000"/>
                <w:sz w:val="20"/>
                <w:szCs w:val="20"/>
              </w:rPr>
              <w:t>8</w:t>
            </w:r>
            <w:r w:rsidRPr="004D0272">
              <w:rPr>
                <w:rFonts w:eastAsia="Times New Roman"/>
                <w:b/>
                <w:bCs/>
                <w:color w:val="000000"/>
                <w:sz w:val="20"/>
                <w:szCs w:val="20"/>
              </w:rPr>
              <w:t>%</w:t>
            </w:r>
          </w:p>
        </w:tc>
      </w:tr>
      <w:tr w:rsidR="00182448" w:rsidRPr="004D0272" w14:paraId="1728EDBA" w14:textId="77777777" w:rsidTr="00502FEE">
        <w:trPr>
          <w:trHeight w:val="315"/>
        </w:trPr>
        <w:tc>
          <w:tcPr>
            <w:tcW w:w="2068" w:type="pct"/>
            <w:tcBorders>
              <w:top w:val="single" w:sz="4" w:space="0" w:color="auto"/>
              <w:left w:val="single" w:sz="8" w:space="0" w:color="auto"/>
              <w:bottom w:val="single" w:sz="8" w:space="0" w:color="auto"/>
            </w:tcBorders>
            <w:noWrap/>
            <w:hideMark/>
          </w:tcPr>
          <w:p w14:paraId="759DAD08" w14:textId="77777777" w:rsidR="00182448" w:rsidRPr="004D0272" w:rsidRDefault="00182448" w:rsidP="00AF0889">
            <w:pPr>
              <w:spacing w:before="40" w:after="20"/>
              <w:rPr>
                <w:rFonts w:eastAsia="Times New Roman"/>
                <w:i/>
                <w:iCs/>
                <w:color w:val="000000"/>
                <w:sz w:val="20"/>
                <w:szCs w:val="20"/>
              </w:rPr>
            </w:pPr>
            <w:r w:rsidRPr="004D0272">
              <w:rPr>
                <w:rFonts w:eastAsia="Times New Roman"/>
                <w:i/>
                <w:iCs/>
                <w:color w:val="000000"/>
                <w:sz w:val="20"/>
                <w:szCs w:val="20"/>
              </w:rPr>
              <w:t>Adjusted</w:t>
            </w:r>
            <w:r w:rsidRPr="004D0272">
              <w:rPr>
                <w:rFonts w:eastAsia="Times New Roman"/>
                <w:i/>
                <w:iCs/>
                <w:color w:val="000000"/>
                <w:sz w:val="20"/>
                <w:szCs w:val="20"/>
                <w:vertAlign w:val="superscript"/>
              </w:rPr>
              <w:t>*</w:t>
            </w:r>
            <w:r w:rsidRPr="004D0272">
              <w:rPr>
                <w:rFonts w:eastAsia="Times New Roman"/>
                <w:i/>
                <w:iCs/>
                <w:color w:val="000000"/>
                <w:sz w:val="20"/>
                <w:szCs w:val="20"/>
              </w:rPr>
              <w:t xml:space="preserve"> Opening Cash Weight in Portfolio</w:t>
            </w:r>
          </w:p>
        </w:tc>
        <w:tc>
          <w:tcPr>
            <w:tcW w:w="1074" w:type="pct"/>
            <w:tcBorders>
              <w:top w:val="single" w:sz="4" w:space="0" w:color="auto"/>
              <w:bottom w:val="single" w:sz="8" w:space="0" w:color="auto"/>
            </w:tcBorders>
            <w:noWrap/>
            <w:hideMark/>
          </w:tcPr>
          <w:p w14:paraId="3D03F8C7" w14:textId="77777777" w:rsidR="00182448" w:rsidRPr="004D0272" w:rsidRDefault="00182448" w:rsidP="00AF0889">
            <w:pPr>
              <w:spacing w:before="40" w:after="20"/>
              <w:jc w:val="center"/>
              <w:rPr>
                <w:rFonts w:eastAsia="Times New Roman"/>
                <w:color w:val="000000"/>
                <w:sz w:val="20"/>
                <w:szCs w:val="20"/>
              </w:rPr>
            </w:pPr>
            <w:r w:rsidRPr="004D0272">
              <w:rPr>
                <w:rFonts w:eastAsia="Times New Roman"/>
                <w:color w:val="000000"/>
                <w:sz w:val="20"/>
                <w:szCs w:val="20"/>
              </w:rPr>
              <w:t>4.81%</w:t>
            </w:r>
          </w:p>
        </w:tc>
        <w:tc>
          <w:tcPr>
            <w:tcW w:w="896" w:type="pct"/>
            <w:tcBorders>
              <w:top w:val="single" w:sz="4" w:space="0" w:color="auto"/>
              <w:bottom w:val="single" w:sz="8" w:space="0" w:color="auto"/>
            </w:tcBorders>
            <w:noWrap/>
            <w:hideMark/>
          </w:tcPr>
          <w:p w14:paraId="5C6BC149" w14:textId="77777777" w:rsidR="00182448" w:rsidRPr="004D0272" w:rsidRDefault="00182448" w:rsidP="00AF0889">
            <w:pPr>
              <w:spacing w:before="40" w:after="20"/>
              <w:jc w:val="center"/>
              <w:rPr>
                <w:rFonts w:eastAsia="Times New Roman"/>
                <w:color w:val="000000"/>
                <w:sz w:val="20"/>
                <w:szCs w:val="20"/>
              </w:rPr>
            </w:pPr>
            <w:r>
              <w:rPr>
                <w:rFonts w:eastAsia="Times New Roman"/>
                <w:color w:val="000000"/>
                <w:sz w:val="20"/>
                <w:szCs w:val="20"/>
              </w:rPr>
              <w:t>7.00</w:t>
            </w:r>
            <w:r w:rsidRPr="004D0272">
              <w:rPr>
                <w:rFonts w:eastAsia="Times New Roman"/>
                <w:color w:val="000000"/>
                <w:sz w:val="20"/>
                <w:szCs w:val="20"/>
              </w:rPr>
              <w:t>%</w:t>
            </w:r>
          </w:p>
        </w:tc>
        <w:tc>
          <w:tcPr>
            <w:tcW w:w="963" w:type="pct"/>
            <w:tcBorders>
              <w:top w:val="single" w:sz="4" w:space="0" w:color="auto"/>
              <w:bottom w:val="single" w:sz="8" w:space="0" w:color="auto"/>
              <w:right w:val="single" w:sz="8" w:space="0" w:color="auto"/>
            </w:tcBorders>
            <w:noWrap/>
            <w:hideMark/>
          </w:tcPr>
          <w:p w14:paraId="2CE2E2F0" w14:textId="77777777" w:rsidR="00182448" w:rsidRPr="004D0272" w:rsidRDefault="00182448" w:rsidP="00AF0889">
            <w:pPr>
              <w:spacing w:before="40" w:after="20"/>
              <w:jc w:val="center"/>
              <w:rPr>
                <w:rFonts w:eastAsia="Times New Roman"/>
                <w:color w:val="000000"/>
                <w:sz w:val="20"/>
                <w:szCs w:val="20"/>
              </w:rPr>
            </w:pPr>
          </w:p>
        </w:tc>
      </w:tr>
    </w:tbl>
    <w:p w14:paraId="16FF85B8" w14:textId="3D10959E" w:rsidR="00182448" w:rsidRPr="008F740B" w:rsidRDefault="008F740B" w:rsidP="008F740B">
      <w:pPr>
        <w:widowControl/>
        <w:spacing w:before="60" w:after="160"/>
        <w:jc w:val="left"/>
        <w:rPr>
          <w:bCs/>
          <w:iCs/>
          <w:color w:val="5B9BD5" w:themeColor="accent1"/>
          <w:sz w:val="18"/>
          <w:szCs w:val="18"/>
        </w:rPr>
      </w:pPr>
      <w:r>
        <w:rPr>
          <w:bCs/>
          <w:iCs/>
          <w:color w:val="5B9BD5" w:themeColor="accent1"/>
          <w:sz w:val="18"/>
          <w:szCs w:val="18"/>
        </w:rPr>
        <w:t xml:space="preserve">    </w:t>
      </w:r>
      <w:r w:rsidRPr="008F740B">
        <w:rPr>
          <w:bCs/>
          <w:iCs/>
          <w:color w:val="5B9BD5" w:themeColor="accent1"/>
          <w:sz w:val="18"/>
          <w:szCs w:val="18"/>
        </w:rPr>
        <w:t>*</w:t>
      </w:r>
      <w:r>
        <w:rPr>
          <w:bCs/>
          <w:iCs/>
          <w:color w:val="5B9BD5" w:themeColor="accent1"/>
          <w:sz w:val="18"/>
          <w:szCs w:val="18"/>
        </w:rPr>
        <w:t xml:space="preserve"> Adjusted for the distribution made in early-2019</w:t>
      </w:r>
    </w:p>
    <w:p w14:paraId="6DD7861B" w14:textId="2E1FDA1E" w:rsidR="00182448" w:rsidRDefault="00182448">
      <w:pPr>
        <w:widowControl/>
        <w:spacing w:before="0" w:after="160" w:line="259" w:lineRule="auto"/>
        <w:jc w:val="left"/>
        <w:rPr>
          <w:b/>
          <w:bCs/>
          <w:iCs/>
          <w:color w:val="5B9BD5" w:themeColor="accent1"/>
          <w:szCs w:val="28"/>
        </w:rPr>
      </w:pPr>
      <w:r>
        <w:rPr>
          <w:b/>
          <w:bCs/>
          <w:iCs/>
          <w:color w:val="5B9BD5" w:themeColor="accent1"/>
          <w:szCs w:val="28"/>
        </w:rPr>
        <w:br w:type="page"/>
      </w:r>
    </w:p>
    <w:p w14:paraId="53EDF5A5" w14:textId="3ADCC93C" w:rsidR="00182448" w:rsidRPr="00182448" w:rsidRDefault="00182448" w:rsidP="00182448">
      <w:pPr>
        <w:pStyle w:val="Heading1"/>
        <w:rPr>
          <w:sz w:val="24"/>
        </w:rPr>
      </w:pPr>
      <w:bookmarkStart w:id="25" w:name="_Toc13642412"/>
      <w:r w:rsidRPr="00182448">
        <w:rPr>
          <w:sz w:val="24"/>
        </w:rPr>
        <w:lastRenderedPageBreak/>
        <w:t>Socially Responsible Investment (SRI) Report</w:t>
      </w:r>
      <w:bookmarkEnd w:id="25"/>
    </w:p>
    <w:p w14:paraId="511193CA" w14:textId="1C5CA7B1" w:rsidR="00182448" w:rsidRPr="00182448" w:rsidRDefault="00182448" w:rsidP="00502FEE">
      <w:pPr>
        <w:widowControl/>
        <w:spacing w:before="180" w:after="180"/>
        <w:rPr>
          <w:color w:val="000000"/>
          <w:sz w:val="20"/>
          <w:szCs w:val="20"/>
          <w:bdr w:val="none" w:sz="0" w:space="0" w:color="auto" w:frame="1"/>
          <w:shd w:val="clear" w:color="auto" w:fill="FFFFFF"/>
        </w:rPr>
      </w:pPr>
      <w:r w:rsidRPr="00182448">
        <w:rPr>
          <w:color w:val="000000"/>
          <w:sz w:val="20"/>
          <w:szCs w:val="20"/>
          <w:bdr w:val="none" w:sz="0" w:space="0" w:color="auto" w:frame="1"/>
          <w:shd w:val="clear" w:color="auto" w:fill="FFFFFF"/>
        </w:rPr>
        <w:t>The SMF portfolio must comply with the ANU SRI policy</w:t>
      </w:r>
      <w:r w:rsidR="0089523B">
        <w:rPr>
          <w:color w:val="000000"/>
          <w:sz w:val="20"/>
          <w:szCs w:val="20"/>
          <w:bdr w:val="none" w:sz="0" w:space="0" w:color="auto" w:frame="1"/>
          <w:shd w:val="clear" w:color="auto" w:fill="FFFFFF"/>
        </w:rPr>
        <w:t>. The SMF’s implementation of the policy</w:t>
      </w:r>
      <w:r w:rsidRPr="00182448">
        <w:rPr>
          <w:color w:val="000000"/>
          <w:sz w:val="20"/>
          <w:szCs w:val="20"/>
          <w:bdr w:val="none" w:sz="0" w:space="0" w:color="auto" w:frame="1"/>
          <w:shd w:val="clear" w:color="auto" w:fill="FFFFFF"/>
        </w:rPr>
        <w:t xml:space="preserve"> buil</w:t>
      </w:r>
      <w:r w:rsidR="0089523B">
        <w:rPr>
          <w:color w:val="000000"/>
          <w:sz w:val="20"/>
          <w:szCs w:val="20"/>
          <w:bdr w:val="none" w:sz="0" w:space="0" w:color="auto" w:frame="1"/>
          <w:shd w:val="clear" w:color="auto" w:fill="FFFFFF"/>
        </w:rPr>
        <w:t>ds</w:t>
      </w:r>
      <w:r w:rsidRPr="00182448">
        <w:rPr>
          <w:color w:val="000000"/>
          <w:sz w:val="20"/>
          <w:szCs w:val="20"/>
          <w:bdr w:val="none" w:sz="0" w:space="0" w:color="auto" w:frame="1"/>
          <w:shd w:val="clear" w:color="auto" w:fill="FFFFFF"/>
        </w:rPr>
        <w:t xml:space="preserve"> upon the criteria used within the Australian equity portfolio of the ANU Long Term Investment Pool (LTIP)</w:t>
      </w:r>
      <w:r w:rsidR="0089523B">
        <w:rPr>
          <w:color w:val="000000"/>
          <w:sz w:val="20"/>
          <w:szCs w:val="20"/>
          <w:bdr w:val="none" w:sz="0" w:space="0" w:color="auto" w:frame="1"/>
          <w:shd w:val="clear" w:color="auto" w:fill="FFFFFF"/>
        </w:rPr>
        <w:t xml:space="preserve">, which </w:t>
      </w:r>
      <w:r w:rsidRPr="00182448">
        <w:rPr>
          <w:color w:val="000000"/>
          <w:sz w:val="20"/>
          <w:szCs w:val="20"/>
          <w:bdr w:val="none" w:sz="0" w:space="0" w:color="auto" w:frame="1"/>
          <w:shd w:val="clear" w:color="auto" w:fill="FFFFFF"/>
        </w:rPr>
        <w:t>entail</w:t>
      </w:r>
      <w:r w:rsidR="0089523B">
        <w:rPr>
          <w:color w:val="000000"/>
          <w:sz w:val="20"/>
          <w:szCs w:val="20"/>
          <w:bdr w:val="none" w:sz="0" w:space="0" w:color="auto" w:frame="1"/>
          <w:shd w:val="clear" w:color="auto" w:fill="FFFFFF"/>
        </w:rPr>
        <w:t>s</w:t>
      </w:r>
      <w:r w:rsidRPr="00182448">
        <w:rPr>
          <w:color w:val="000000"/>
          <w:sz w:val="20"/>
          <w:szCs w:val="20"/>
          <w:bdr w:val="none" w:sz="0" w:space="0" w:color="auto" w:frame="1"/>
          <w:shd w:val="clear" w:color="auto" w:fill="FFFFFF"/>
        </w:rPr>
        <w:t xml:space="preserve"> conditions one through three below. The SMF extends th</w:t>
      </w:r>
      <w:r w:rsidR="000B65F3">
        <w:rPr>
          <w:color w:val="000000"/>
          <w:sz w:val="20"/>
          <w:szCs w:val="20"/>
          <w:bdr w:val="none" w:sz="0" w:space="0" w:color="auto" w:frame="1"/>
          <w:shd w:val="clear" w:color="auto" w:fill="FFFFFF"/>
        </w:rPr>
        <w:t>e</w:t>
      </w:r>
      <w:r w:rsidR="0089523B">
        <w:rPr>
          <w:color w:val="000000"/>
          <w:sz w:val="20"/>
          <w:szCs w:val="20"/>
          <w:bdr w:val="none" w:sz="0" w:space="0" w:color="auto" w:frame="1"/>
          <w:shd w:val="clear" w:color="auto" w:fill="FFFFFF"/>
        </w:rPr>
        <w:t xml:space="preserve"> criteria</w:t>
      </w:r>
      <w:r w:rsidRPr="00182448">
        <w:rPr>
          <w:color w:val="000000"/>
          <w:sz w:val="20"/>
          <w:szCs w:val="20"/>
          <w:bdr w:val="none" w:sz="0" w:space="0" w:color="auto" w:frame="1"/>
          <w:shd w:val="clear" w:color="auto" w:fill="FFFFFF"/>
        </w:rPr>
        <w:t xml:space="preserve"> through the addition of conditions four and five</w:t>
      </w:r>
      <w:r w:rsidR="0089523B">
        <w:rPr>
          <w:color w:val="000000"/>
          <w:sz w:val="20"/>
          <w:szCs w:val="20"/>
          <w:bdr w:val="none" w:sz="0" w:space="0" w:color="auto" w:frame="1"/>
          <w:shd w:val="clear" w:color="auto" w:fill="FFFFFF"/>
        </w:rPr>
        <w:t>, which directly consider the ‘social injury’ and ‘social benefit’ elements of the University’s official SRI policy. These two elements are addressed within the process of analysing and selecting stocks for inclusion in the AAE portfolio.</w:t>
      </w:r>
      <w:r w:rsidRPr="00182448">
        <w:rPr>
          <w:color w:val="000000"/>
          <w:sz w:val="20"/>
          <w:szCs w:val="20"/>
          <w:bdr w:val="none" w:sz="0" w:space="0" w:color="auto" w:frame="1"/>
          <w:shd w:val="clear" w:color="auto" w:fill="FFFFFF"/>
        </w:rPr>
        <w:t xml:space="preserve"> </w:t>
      </w:r>
    </w:p>
    <w:p w14:paraId="2A5F83D3" w14:textId="77777777" w:rsidR="00182448" w:rsidRPr="00182448" w:rsidRDefault="00182448" w:rsidP="0089523B">
      <w:pPr>
        <w:widowControl/>
        <w:numPr>
          <w:ilvl w:val="0"/>
          <w:numId w:val="1"/>
        </w:numPr>
        <w:spacing w:before="0" w:after="0"/>
        <w:ind w:hanging="274"/>
        <w:jc w:val="left"/>
        <w:rPr>
          <w:color w:val="000000"/>
          <w:sz w:val="20"/>
          <w:szCs w:val="20"/>
          <w:bdr w:val="none" w:sz="0" w:space="0" w:color="auto" w:frame="1"/>
          <w:shd w:val="clear" w:color="auto" w:fill="FFFFFF"/>
        </w:rPr>
      </w:pPr>
      <w:r w:rsidRPr="00182448">
        <w:rPr>
          <w:color w:val="000000"/>
          <w:sz w:val="20"/>
          <w:szCs w:val="20"/>
          <w:bdr w:val="none" w:sz="0" w:space="0" w:color="auto" w:frame="1"/>
          <w:shd w:val="clear" w:color="auto" w:fill="FFFFFF"/>
        </w:rPr>
        <w:t>Exclude companies that derive more than 20% of revenues from coal, gambling, tobacco or pornography.</w:t>
      </w:r>
    </w:p>
    <w:p w14:paraId="2D510E85" w14:textId="77777777" w:rsidR="00182448" w:rsidRPr="00182448" w:rsidRDefault="00182448" w:rsidP="0089523B">
      <w:pPr>
        <w:widowControl/>
        <w:numPr>
          <w:ilvl w:val="0"/>
          <w:numId w:val="1"/>
        </w:numPr>
        <w:spacing w:before="0" w:after="0"/>
        <w:ind w:hanging="274"/>
        <w:jc w:val="left"/>
        <w:rPr>
          <w:color w:val="000000"/>
          <w:sz w:val="20"/>
          <w:szCs w:val="20"/>
          <w:bdr w:val="none" w:sz="0" w:space="0" w:color="auto" w:frame="1"/>
          <w:shd w:val="clear" w:color="auto" w:fill="FFFFFF"/>
        </w:rPr>
      </w:pPr>
      <w:r w:rsidRPr="00182448">
        <w:rPr>
          <w:color w:val="000000"/>
          <w:sz w:val="20"/>
          <w:szCs w:val="20"/>
          <w:bdr w:val="none" w:sz="0" w:space="0" w:color="auto" w:frame="1"/>
          <w:shd w:val="clear" w:color="auto" w:fill="FFFFFF"/>
        </w:rPr>
        <w:t>Hold a portfolio with 25% less carbon intensity than the S&amp;P/ASX 200.</w:t>
      </w:r>
    </w:p>
    <w:p w14:paraId="19A6C821" w14:textId="77777777" w:rsidR="00182448" w:rsidRPr="00182448" w:rsidRDefault="00182448" w:rsidP="0089523B">
      <w:pPr>
        <w:widowControl/>
        <w:numPr>
          <w:ilvl w:val="0"/>
          <w:numId w:val="1"/>
        </w:numPr>
        <w:spacing w:before="0" w:after="0"/>
        <w:ind w:hanging="274"/>
        <w:jc w:val="left"/>
        <w:rPr>
          <w:color w:val="000000"/>
          <w:sz w:val="20"/>
          <w:szCs w:val="20"/>
          <w:bdr w:val="none" w:sz="0" w:space="0" w:color="auto" w:frame="1"/>
          <w:shd w:val="clear" w:color="auto" w:fill="FFFFFF"/>
        </w:rPr>
      </w:pPr>
      <w:r w:rsidRPr="00182448">
        <w:rPr>
          <w:color w:val="000000"/>
          <w:sz w:val="20"/>
          <w:szCs w:val="20"/>
          <w:bdr w:val="none" w:sz="0" w:space="0" w:color="auto" w:frame="1"/>
          <w:shd w:val="clear" w:color="auto" w:fill="FFFFFF"/>
        </w:rPr>
        <w:t>Ensure that the portfolio demonstrates a 10 % improvement in the overall Environmental, Social and Governance (ESG) rating relative to the benchmark.</w:t>
      </w:r>
    </w:p>
    <w:p w14:paraId="2E585C3A" w14:textId="77777777" w:rsidR="00182448" w:rsidRPr="00182448" w:rsidRDefault="00182448" w:rsidP="0089523B">
      <w:pPr>
        <w:widowControl/>
        <w:numPr>
          <w:ilvl w:val="0"/>
          <w:numId w:val="1"/>
        </w:numPr>
        <w:spacing w:before="0" w:after="0"/>
        <w:ind w:hanging="274"/>
        <w:jc w:val="left"/>
        <w:rPr>
          <w:color w:val="000000"/>
          <w:sz w:val="20"/>
          <w:szCs w:val="20"/>
          <w:bdr w:val="none" w:sz="0" w:space="0" w:color="auto" w:frame="1"/>
          <w:shd w:val="clear" w:color="auto" w:fill="FFFFFF"/>
        </w:rPr>
      </w:pPr>
      <w:r w:rsidRPr="00182448">
        <w:rPr>
          <w:color w:val="000000"/>
          <w:sz w:val="20"/>
          <w:szCs w:val="20"/>
          <w:bdr w:val="none" w:sz="0" w:space="0" w:color="auto" w:frame="1"/>
          <w:shd w:val="clear" w:color="auto" w:fill="FFFFFF"/>
        </w:rPr>
        <w:t xml:space="preserve">Evaluate whether a prospective investment causes an unacceptable level of ‘social injury’. </w:t>
      </w:r>
    </w:p>
    <w:p w14:paraId="724B19F7" w14:textId="5B0CB616" w:rsidR="00AF0889" w:rsidRPr="00502FEE" w:rsidRDefault="00182448" w:rsidP="0089523B">
      <w:pPr>
        <w:widowControl/>
        <w:numPr>
          <w:ilvl w:val="0"/>
          <w:numId w:val="1"/>
        </w:numPr>
        <w:spacing w:before="0" w:after="0"/>
        <w:ind w:hanging="274"/>
        <w:jc w:val="left"/>
        <w:rPr>
          <w:color w:val="000000"/>
          <w:sz w:val="20"/>
          <w:szCs w:val="20"/>
          <w:bdr w:val="none" w:sz="0" w:space="0" w:color="auto" w:frame="1"/>
          <w:shd w:val="clear" w:color="auto" w:fill="FFFFFF"/>
        </w:rPr>
      </w:pPr>
      <w:r w:rsidRPr="00182448">
        <w:rPr>
          <w:color w:val="000000"/>
          <w:sz w:val="20"/>
          <w:szCs w:val="20"/>
          <w:bdr w:val="none" w:sz="0" w:space="0" w:color="auto" w:frame="1"/>
          <w:shd w:val="clear" w:color="auto" w:fill="FFFFFF"/>
        </w:rPr>
        <w:t xml:space="preserve">Take into consideration whether a prospective investment creates ‘social benefit’. </w:t>
      </w:r>
    </w:p>
    <w:p w14:paraId="3DDE8EC8" w14:textId="3656D64F" w:rsidR="00182448" w:rsidRDefault="00182448" w:rsidP="005E089A">
      <w:pPr>
        <w:widowControl/>
        <w:spacing w:before="180" w:after="180"/>
        <w:rPr>
          <w:color w:val="000000"/>
          <w:sz w:val="20"/>
          <w:szCs w:val="20"/>
          <w:bdr w:val="none" w:sz="0" w:space="0" w:color="auto" w:frame="1"/>
          <w:shd w:val="clear" w:color="auto" w:fill="FFFFFF"/>
        </w:rPr>
      </w:pPr>
      <w:r w:rsidRPr="00182448">
        <w:rPr>
          <w:color w:val="000000"/>
          <w:sz w:val="20"/>
          <w:szCs w:val="20"/>
          <w:bdr w:val="none" w:sz="0" w:space="0" w:color="auto" w:frame="1"/>
          <w:shd w:val="clear" w:color="auto" w:fill="FFFFFF"/>
        </w:rPr>
        <w:t>Figure 5 reports on the SRI compliance as at 21</w:t>
      </w:r>
      <w:r w:rsidR="00C04C9B">
        <w:rPr>
          <w:color w:val="000000"/>
          <w:sz w:val="20"/>
          <w:szCs w:val="20"/>
          <w:bdr w:val="none" w:sz="0" w:space="0" w:color="auto" w:frame="1"/>
          <w:shd w:val="clear" w:color="auto" w:fill="FFFFFF"/>
        </w:rPr>
        <w:t xml:space="preserve"> </w:t>
      </w:r>
      <w:r w:rsidRPr="00182448">
        <w:rPr>
          <w:color w:val="000000"/>
          <w:sz w:val="20"/>
          <w:szCs w:val="20"/>
          <w:bdr w:val="none" w:sz="0" w:space="0" w:color="auto" w:frame="1"/>
          <w:shd w:val="clear" w:color="auto" w:fill="FFFFFF"/>
        </w:rPr>
        <w:t>June 2019 with regard to the carbon intensity and ESG scores, which are applied to the active stock investments within the AAE portfolio. The carbon intensity scores for Bingo, Inghams, Rio Tinto, Telstra and Westpac are sourced from Bloomberg. These scores are calculated based on the annual carbon emission (in tonnes) per $1 million of revenue earned. </w:t>
      </w:r>
      <w:r w:rsidR="006815AF">
        <w:rPr>
          <w:color w:val="000000"/>
          <w:sz w:val="20"/>
          <w:szCs w:val="20"/>
          <w:bdr w:val="none" w:sz="0" w:space="0" w:color="auto" w:frame="1"/>
          <w:shd w:val="clear" w:color="auto" w:fill="FFFFFF"/>
        </w:rPr>
        <w:t xml:space="preserve">The </w:t>
      </w:r>
      <w:r w:rsidRPr="00182448">
        <w:rPr>
          <w:color w:val="000000"/>
          <w:sz w:val="20"/>
          <w:szCs w:val="20"/>
          <w:bdr w:val="none" w:sz="0" w:space="0" w:color="auto" w:frame="1"/>
          <w:shd w:val="clear" w:color="auto" w:fill="FFFFFF"/>
        </w:rPr>
        <w:t>Inghams</w:t>
      </w:r>
      <w:r w:rsidR="009B6972">
        <w:rPr>
          <w:color w:val="000000"/>
          <w:sz w:val="20"/>
          <w:szCs w:val="20"/>
          <w:bdr w:val="none" w:sz="0" w:space="0" w:color="auto" w:frame="1"/>
          <w:shd w:val="clear" w:color="auto" w:fill="FFFFFF"/>
        </w:rPr>
        <w:t xml:space="preserve"> ESG</w:t>
      </w:r>
      <w:r w:rsidRPr="00182448">
        <w:rPr>
          <w:color w:val="000000"/>
          <w:sz w:val="20"/>
          <w:szCs w:val="20"/>
          <w:bdr w:val="none" w:sz="0" w:space="0" w:color="auto" w:frame="1"/>
          <w:shd w:val="clear" w:color="auto" w:fill="FFFFFF"/>
        </w:rPr>
        <w:t xml:space="preserve"> score</w:t>
      </w:r>
      <w:r w:rsidR="009B6972">
        <w:rPr>
          <w:color w:val="000000"/>
          <w:sz w:val="20"/>
          <w:szCs w:val="20"/>
          <w:bdr w:val="none" w:sz="0" w:space="0" w:color="auto" w:frame="1"/>
          <w:shd w:val="clear" w:color="auto" w:fill="FFFFFF"/>
        </w:rPr>
        <w:t xml:space="preserve"> is calculated</w:t>
      </w:r>
      <w:r w:rsidRPr="00182448">
        <w:rPr>
          <w:color w:val="000000"/>
          <w:sz w:val="20"/>
          <w:szCs w:val="20"/>
          <w:bdr w:val="none" w:sz="0" w:space="0" w:color="auto" w:frame="1"/>
          <w:shd w:val="clear" w:color="auto" w:fill="FFFFFF"/>
        </w:rPr>
        <w:t xml:space="preserve"> u</w:t>
      </w:r>
      <w:r w:rsidR="009B6972">
        <w:rPr>
          <w:color w:val="000000"/>
          <w:sz w:val="20"/>
          <w:szCs w:val="20"/>
          <w:bdr w:val="none" w:sz="0" w:space="0" w:color="auto" w:frame="1"/>
          <w:shd w:val="clear" w:color="auto" w:fill="FFFFFF"/>
        </w:rPr>
        <w:t>sing</w:t>
      </w:r>
      <w:r w:rsidRPr="00182448">
        <w:rPr>
          <w:color w:val="000000"/>
          <w:sz w:val="20"/>
          <w:szCs w:val="20"/>
          <w:bdr w:val="none" w:sz="0" w:space="0" w:color="auto" w:frame="1"/>
          <w:shd w:val="clear" w:color="auto" w:fill="FFFFFF"/>
        </w:rPr>
        <w:t> an industry average, while the remaining ESG scores are based on analysis performed by Sustainalytics</w:t>
      </w:r>
      <w:r w:rsidR="008346FE">
        <w:rPr>
          <w:color w:val="000000"/>
          <w:sz w:val="20"/>
          <w:szCs w:val="20"/>
          <w:bdr w:val="none" w:sz="0" w:space="0" w:color="auto" w:frame="1"/>
          <w:shd w:val="clear" w:color="auto" w:fill="FFFFFF"/>
        </w:rPr>
        <w:t>. The latter</w:t>
      </w:r>
      <w:r w:rsidRPr="00182448">
        <w:rPr>
          <w:color w:val="000000"/>
          <w:sz w:val="20"/>
          <w:szCs w:val="20"/>
          <w:bdr w:val="none" w:sz="0" w:space="0" w:color="auto" w:frame="1"/>
          <w:shd w:val="clear" w:color="auto" w:fill="FFFFFF"/>
        </w:rPr>
        <w:t xml:space="preserve"> ha</w:t>
      </w:r>
      <w:r w:rsidR="008346FE">
        <w:rPr>
          <w:color w:val="000000"/>
          <w:sz w:val="20"/>
          <w:szCs w:val="20"/>
          <w:bdr w:val="none" w:sz="0" w:space="0" w:color="auto" w:frame="1"/>
          <w:shd w:val="clear" w:color="auto" w:fill="FFFFFF"/>
        </w:rPr>
        <w:t>s</w:t>
      </w:r>
      <w:r w:rsidRPr="00182448">
        <w:rPr>
          <w:color w:val="000000"/>
          <w:sz w:val="20"/>
          <w:szCs w:val="20"/>
          <w:bdr w:val="none" w:sz="0" w:space="0" w:color="auto" w:frame="1"/>
          <w:shd w:val="clear" w:color="auto" w:fill="FFFFFF"/>
        </w:rPr>
        <w:t xml:space="preserve"> been updated since the previous report. The ASX200 score provided is based on the equally weighted average ESG score, with a market capitalisation weighted average also shown in brackets for reference.</w:t>
      </w:r>
    </w:p>
    <w:p w14:paraId="286AED73" w14:textId="5F6BF275" w:rsidR="00182448" w:rsidRPr="00182448" w:rsidRDefault="00182448" w:rsidP="00DA692E">
      <w:pPr>
        <w:spacing w:before="180" w:after="60"/>
        <w:rPr>
          <w:b/>
          <w:sz w:val="20"/>
          <w:szCs w:val="20"/>
        </w:rPr>
      </w:pPr>
      <w:r>
        <w:rPr>
          <w:b/>
          <w:sz w:val="20"/>
          <w:szCs w:val="20"/>
        </w:rPr>
        <w:t>Figure 5</w:t>
      </w:r>
      <w:r w:rsidRPr="006E0BB3">
        <w:rPr>
          <w:b/>
          <w:sz w:val="20"/>
          <w:szCs w:val="20"/>
        </w:rPr>
        <w:t xml:space="preserve">: </w:t>
      </w:r>
      <w:r>
        <w:rPr>
          <w:b/>
          <w:sz w:val="20"/>
          <w:szCs w:val="20"/>
        </w:rPr>
        <w:t>Current Position of the AAE Component in regard to SRI Compliance</w:t>
      </w:r>
    </w:p>
    <w:tbl>
      <w:tblPr>
        <w:tblStyle w:val="TableGrid1"/>
        <w:tblW w:w="5000" w:type="pct"/>
        <w:tblBorders>
          <w:top w:val="single" w:sz="8" w:space="0" w:color="auto"/>
          <w:left w:val="single" w:sz="8" w:space="0" w:color="auto"/>
          <w:bottom w:val="single" w:sz="8" w:space="0" w:color="auto"/>
          <w:right w:val="single" w:sz="8" w:space="0" w:color="auto"/>
          <w:insideH w:val="none" w:sz="0" w:space="0" w:color="auto"/>
          <w:insideV w:val="none" w:sz="0" w:space="0" w:color="auto"/>
        </w:tblBorders>
        <w:tblLayout w:type="fixed"/>
        <w:tblLook w:val="04A0" w:firstRow="1" w:lastRow="0" w:firstColumn="1" w:lastColumn="0" w:noHBand="0" w:noVBand="1"/>
      </w:tblPr>
      <w:tblGrid>
        <w:gridCol w:w="1431"/>
        <w:gridCol w:w="804"/>
        <w:gridCol w:w="627"/>
        <w:gridCol w:w="646"/>
        <w:gridCol w:w="644"/>
        <w:gridCol w:w="644"/>
        <w:gridCol w:w="663"/>
        <w:gridCol w:w="1073"/>
        <w:gridCol w:w="1158"/>
        <w:gridCol w:w="1158"/>
        <w:gridCol w:w="734"/>
      </w:tblGrid>
      <w:tr w:rsidR="00502FEE" w:rsidRPr="00DE32D1" w14:paraId="5EE1225F" w14:textId="77777777" w:rsidTr="00502FEE">
        <w:trPr>
          <w:trHeight w:val="653"/>
        </w:trPr>
        <w:tc>
          <w:tcPr>
            <w:tcW w:w="746" w:type="pct"/>
            <w:tcBorders>
              <w:top w:val="single" w:sz="8" w:space="0" w:color="auto"/>
              <w:bottom w:val="single" w:sz="4" w:space="0" w:color="auto"/>
            </w:tcBorders>
            <w:shd w:val="clear" w:color="auto" w:fill="DEEAF6"/>
            <w:tcMar>
              <w:left w:w="0" w:type="dxa"/>
              <w:right w:w="0" w:type="dxa"/>
            </w:tcMar>
          </w:tcPr>
          <w:p w14:paraId="2924216E" w14:textId="77777777" w:rsidR="00182448" w:rsidRPr="00DE32D1" w:rsidRDefault="00182448" w:rsidP="00AF0889">
            <w:pPr>
              <w:spacing w:beforeLines="20" w:before="48" w:afterLines="20" w:after="48"/>
              <w:rPr>
                <w:sz w:val="18"/>
                <w:szCs w:val="18"/>
                <w:lang w:val="en-US"/>
              </w:rPr>
            </w:pPr>
          </w:p>
        </w:tc>
        <w:tc>
          <w:tcPr>
            <w:tcW w:w="419" w:type="pct"/>
            <w:tcBorders>
              <w:top w:val="single" w:sz="8" w:space="0" w:color="auto"/>
              <w:bottom w:val="single" w:sz="4" w:space="0" w:color="auto"/>
            </w:tcBorders>
            <w:shd w:val="clear" w:color="auto" w:fill="DEEAF6"/>
            <w:tcMar>
              <w:left w:w="0" w:type="dxa"/>
              <w:right w:w="0" w:type="dxa"/>
            </w:tcMar>
          </w:tcPr>
          <w:p w14:paraId="6A234BD4" w14:textId="26153579" w:rsidR="00182448" w:rsidRPr="00DE32D1" w:rsidRDefault="00182448" w:rsidP="00502FEE">
            <w:pPr>
              <w:spacing w:beforeLines="100" w:before="240" w:afterLines="20" w:after="48"/>
              <w:jc w:val="center"/>
              <w:rPr>
                <w:b/>
                <w:sz w:val="18"/>
                <w:szCs w:val="18"/>
                <w:lang w:val="en-US"/>
              </w:rPr>
            </w:pPr>
            <w:r w:rsidRPr="00DE32D1">
              <w:rPr>
                <w:b/>
                <w:sz w:val="18"/>
                <w:szCs w:val="18"/>
                <w:lang w:val="en-US"/>
              </w:rPr>
              <w:t>ASX200</w:t>
            </w:r>
          </w:p>
        </w:tc>
        <w:tc>
          <w:tcPr>
            <w:tcW w:w="327" w:type="pct"/>
            <w:tcBorders>
              <w:top w:val="single" w:sz="8" w:space="0" w:color="auto"/>
              <w:bottom w:val="single" w:sz="4" w:space="0" w:color="auto"/>
            </w:tcBorders>
            <w:shd w:val="clear" w:color="auto" w:fill="DEEAF6"/>
            <w:tcMar>
              <w:left w:w="0" w:type="dxa"/>
              <w:right w:w="0" w:type="dxa"/>
            </w:tcMar>
          </w:tcPr>
          <w:p w14:paraId="6721002B" w14:textId="77777777" w:rsidR="00182448" w:rsidRPr="00DE32D1" w:rsidRDefault="00182448" w:rsidP="00502FEE">
            <w:pPr>
              <w:spacing w:beforeLines="100" w:before="240" w:afterLines="20" w:after="48"/>
              <w:jc w:val="center"/>
              <w:rPr>
                <w:b/>
                <w:sz w:val="18"/>
                <w:szCs w:val="18"/>
                <w:lang w:val="en-US"/>
              </w:rPr>
            </w:pPr>
            <w:r w:rsidRPr="00DE32D1">
              <w:rPr>
                <w:b/>
                <w:sz w:val="18"/>
                <w:szCs w:val="18"/>
                <w:lang w:val="en-US"/>
              </w:rPr>
              <w:t>BIN</w:t>
            </w:r>
          </w:p>
        </w:tc>
        <w:tc>
          <w:tcPr>
            <w:tcW w:w="337" w:type="pct"/>
            <w:tcBorders>
              <w:top w:val="single" w:sz="8" w:space="0" w:color="auto"/>
              <w:bottom w:val="single" w:sz="4" w:space="0" w:color="auto"/>
            </w:tcBorders>
            <w:shd w:val="clear" w:color="auto" w:fill="DEEAF6"/>
            <w:tcMar>
              <w:left w:w="0" w:type="dxa"/>
              <w:right w:w="0" w:type="dxa"/>
            </w:tcMar>
          </w:tcPr>
          <w:p w14:paraId="781070FF" w14:textId="77777777" w:rsidR="00182448" w:rsidRPr="00DE32D1" w:rsidRDefault="00182448" w:rsidP="00502FEE">
            <w:pPr>
              <w:spacing w:beforeLines="100" w:before="240" w:afterLines="20" w:after="48"/>
              <w:jc w:val="center"/>
              <w:rPr>
                <w:b/>
                <w:sz w:val="18"/>
                <w:szCs w:val="18"/>
                <w:lang w:val="en-US"/>
              </w:rPr>
            </w:pPr>
            <w:r w:rsidRPr="00DE32D1">
              <w:rPr>
                <w:b/>
                <w:color w:val="000000" w:themeColor="text1"/>
                <w:sz w:val="18"/>
                <w:szCs w:val="18"/>
                <w:lang w:val="en-US"/>
              </w:rPr>
              <w:t>ING</w:t>
            </w:r>
          </w:p>
        </w:tc>
        <w:tc>
          <w:tcPr>
            <w:tcW w:w="336" w:type="pct"/>
            <w:tcBorders>
              <w:top w:val="single" w:sz="8" w:space="0" w:color="auto"/>
              <w:bottom w:val="single" w:sz="4" w:space="0" w:color="auto"/>
            </w:tcBorders>
            <w:shd w:val="clear" w:color="auto" w:fill="DEEAF6"/>
            <w:tcMar>
              <w:left w:w="0" w:type="dxa"/>
              <w:right w:w="0" w:type="dxa"/>
            </w:tcMar>
          </w:tcPr>
          <w:p w14:paraId="29CBDEC0" w14:textId="77777777" w:rsidR="00182448" w:rsidRPr="00DE32D1" w:rsidRDefault="00182448" w:rsidP="00502FEE">
            <w:pPr>
              <w:spacing w:beforeLines="100" w:before="240" w:afterLines="20" w:after="48"/>
              <w:jc w:val="center"/>
              <w:rPr>
                <w:b/>
                <w:sz w:val="18"/>
                <w:szCs w:val="18"/>
                <w:lang w:val="en-US"/>
              </w:rPr>
            </w:pPr>
            <w:r w:rsidRPr="00DE32D1">
              <w:rPr>
                <w:b/>
                <w:sz w:val="18"/>
                <w:szCs w:val="18"/>
                <w:lang w:val="en-US"/>
              </w:rPr>
              <w:t>RIO</w:t>
            </w:r>
          </w:p>
        </w:tc>
        <w:tc>
          <w:tcPr>
            <w:tcW w:w="336" w:type="pct"/>
            <w:tcBorders>
              <w:top w:val="single" w:sz="8" w:space="0" w:color="auto"/>
              <w:bottom w:val="single" w:sz="4" w:space="0" w:color="auto"/>
            </w:tcBorders>
            <w:shd w:val="clear" w:color="auto" w:fill="DEEAF6"/>
            <w:tcMar>
              <w:left w:w="0" w:type="dxa"/>
              <w:right w:w="0" w:type="dxa"/>
            </w:tcMar>
          </w:tcPr>
          <w:p w14:paraId="0D2D25D3" w14:textId="77777777" w:rsidR="00182448" w:rsidRPr="00DE32D1" w:rsidRDefault="00182448" w:rsidP="00502FEE">
            <w:pPr>
              <w:spacing w:beforeLines="100" w:before="240" w:afterLines="20" w:after="48"/>
              <w:jc w:val="center"/>
              <w:rPr>
                <w:b/>
                <w:sz w:val="18"/>
                <w:szCs w:val="18"/>
                <w:lang w:val="en-US"/>
              </w:rPr>
            </w:pPr>
            <w:r w:rsidRPr="00DE32D1">
              <w:rPr>
                <w:b/>
                <w:sz w:val="18"/>
                <w:szCs w:val="18"/>
                <w:lang w:val="en-US"/>
              </w:rPr>
              <w:t>TLS</w:t>
            </w:r>
          </w:p>
        </w:tc>
        <w:tc>
          <w:tcPr>
            <w:tcW w:w="346" w:type="pct"/>
            <w:tcBorders>
              <w:top w:val="single" w:sz="8" w:space="0" w:color="auto"/>
              <w:bottom w:val="single" w:sz="4" w:space="0" w:color="auto"/>
            </w:tcBorders>
            <w:shd w:val="clear" w:color="auto" w:fill="DEEAF6"/>
          </w:tcPr>
          <w:p w14:paraId="1810BA5D" w14:textId="77777777" w:rsidR="00182448" w:rsidRPr="00DE32D1" w:rsidRDefault="00182448" w:rsidP="00502FEE">
            <w:pPr>
              <w:spacing w:beforeLines="100" w:before="240" w:afterLines="20" w:after="48"/>
              <w:jc w:val="center"/>
              <w:rPr>
                <w:b/>
                <w:sz w:val="18"/>
                <w:szCs w:val="18"/>
                <w:lang w:val="en-US"/>
              </w:rPr>
            </w:pPr>
            <w:r w:rsidRPr="00DE32D1">
              <w:rPr>
                <w:b/>
                <w:sz w:val="18"/>
                <w:szCs w:val="18"/>
                <w:lang w:val="en-US"/>
              </w:rPr>
              <w:t>WBC</w:t>
            </w:r>
          </w:p>
        </w:tc>
        <w:tc>
          <w:tcPr>
            <w:tcW w:w="560" w:type="pct"/>
            <w:tcBorders>
              <w:top w:val="single" w:sz="8" w:space="0" w:color="auto"/>
              <w:bottom w:val="single" w:sz="4" w:space="0" w:color="auto"/>
            </w:tcBorders>
            <w:shd w:val="clear" w:color="auto" w:fill="DEEAF6"/>
            <w:tcMar>
              <w:left w:w="0" w:type="dxa"/>
              <w:right w:w="0" w:type="dxa"/>
            </w:tcMar>
          </w:tcPr>
          <w:p w14:paraId="54CA49CA" w14:textId="77777777" w:rsidR="00182448" w:rsidRPr="00DE32D1" w:rsidRDefault="00182448" w:rsidP="00502FEE">
            <w:pPr>
              <w:spacing w:beforeLines="20" w:before="48" w:afterLines="20" w:after="48"/>
              <w:jc w:val="center"/>
              <w:rPr>
                <w:b/>
                <w:sz w:val="18"/>
                <w:szCs w:val="18"/>
                <w:lang w:val="en-US"/>
              </w:rPr>
            </w:pPr>
            <w:r w:rsidRPr="00DE32D1">
              <w:rPr>
                <w:b/>
                <w:sz w:val="18"/>
                <w:szCs w:val="18"/>
                <w:lang w:val="en-US"/>
              </w:rPr>
              <w:t>Total Active Stock Positions</w:t>
            </w:r>
          </w:p>
        </w:tc>
        <w:tc>
          <w:tcPr>
            <w:tcW w:w="604" w:type="pct"/>
            <w:tcBorders>
              <w:top w:val="single" w:sz="8" w:space="0" w:color="auto"/>
              <w:bottom w:val="single" w:sz="4" w:space="0" w:color="auto"/>
            </w:tcBorders>
            <w:shd w:val="clear" w:color="auto" w:fill="DEEAF6"/>
            <w:tcMar>
              <w:left w:w="0" w:type="dxa"/>
              <w:right w:w="0" w:type="dxa"/>
            </w:tcMar>
          </w:tcPr>
          <w:p w14:paraId="6F7DB993" w14:textId="77777777" w:rsidR="00182448" w:rsidRPr="00DE32D1" w:rsidRDefault="00182448" w:rsidP="00502FEE">
            <w:pPr>
              <w:spacing w:beforeLines="20" w:before="48" w:afterLines="20" w:after="48"/>
              <w:jc w:val="center"/>
              <w:rPr>
                <w:b/>
                <w:sz w:val="18"/>
                <w:szCs w:val="18"/>
                <w:lang w:val="en-US"/>
              </w:rPr>
            </w:pPr>
            <w:r w:rsidRPr="00DE32D1">
              <w:rPr>
                <w:b/>
                <w:sz w:val="18"/>
                <w:szCs w:val="18"/>
                <w:lang w:val="en-US"/>
              </w:rPr>
              <w:t>Active Stock Positions vs. S&amp;P/ASX200</w:t>
            </w:r>
          </w:p>
        </w:tc>
        <w:tc>
          <w:tcPr>
            <w:tcW w:w="604" w:type="pct"/>
            <w:tcBorders>
              <w:top w:val="single" w:sz="8" w:space="0" w:color="auto"/>
              <w:bottom w:val="single" w:sz="4" w:space="0" w:color="auto"/>
            </w:tcBorders>
            <w:shd w:val="clear" w:color="auto" w:fill="DEEAF6"/>
            <w:tcMar>
              <w:left w:w="0" w:type="dxa"/>
              <w:right w:w="0" w:type="dxa"/>
            </w:tcMar>
          </w:tcPr>
          <w:p w14:paraId="45452B85" w14:textId="77777777" w:rsidR="00182448" w:rsidRPr="00DE32D1" w:rsidRDefault="00182448" w:rsidP="00502FEE">
            <w:pPr>
              <w:spacing w:beforeLines="50" w:afterLines="20" w:after="48"/>
              <w:jc w:val="center"/>
              <w:rPr>
                <w:b/>
                <w:sz w:val="18"/>
                <w:szCs w:val="18"/>
                <w:lang w:val="en-US"/>
              </w:rPr>
            </w:pPr>
            <w:r w:rsidRPr="00DE32D1">
              <w:rPr>
                <w:b/>
                <w:sz w:val="18"/>
                <w:szCs w:val="18"/>
                <w:lang w:val="en-US"/>
              </w:rPr>
              <w:t>Target Improvement</w:t>
            </w:r>
          </w:p>
        </w:tc>
        <w:tc>
          <w:tcPr>
            <w:tcW w:w="383" w:type="pct"/>
            <w:tcBorders>
              <w:top w:val="single" w:sz="8" w:space="0" w:color="auto"/>
              <w:bottom w:val="single" w:sz="4" w:space="0" w:color="auto"/>
            </w:tcBorders>
            <w:shd w:val="clear" w:color="auto" w:fill="DEEAF6"/>
            <w:tcMar>
              <w:left w:w="0" w:type="dxa"/>
              <w:right w:w="0" w:type="dxa"/>
            </w:tcMar>
          </w:tcPr>
          <w:p w14:paraId="09A3758C" w14:textId="77777777" w:rsidR="00182448" w:rsidRPr="00DE32D1" w:rsidRDefault="00182448" w:rsidP="00502FEE">
            <w:pPr>
              <w:spacing w:beforeLines="50" w:afterLines="20" w:after="48"/>
              <w:jc w:val="center"/>
              <w:rPr>
                <w:b/>
                <w:sz w:val="18"/>
                <w:szCs w:val="18"/>
                <w:lang w:val="en-US"/>
              </w:rPr>
            </w:pPr>
            <w:r w:rsidRPr="00DE32D1">
              <w:rPr>
                <w:b/>
                <w:sz w:val="18"/>
                <w:szCs w:val="18"/>
                <w:lang w:val="en-US"/>
              </w:rPr>
              <w:t>Margin</w:t>
            </w:r>
          </w:p>
        </w:tc>
      </w:tr>
      <w:tr w:rsidR="00502FEE" w:rsidRPr="00DE32D1" w14:paraId="0E3B0D38" w14:textId="77777777" w:rsidTr="00502FEE">
        <w:trPr>
          <w:trHeight w:val="284"/>
        </w:trPr>
        <w:tc>
          <w:tcPr>
            <w:tcW w:w="746" w:type="pct"/>
            <w:tcBorders>
              <w:top w:val="single" w:sz="4" w:space="0" w:color="auto"/>
              <w:bottom w:val="single" w:sz="4" w:space="0" w:color="auto"/>
            </w:tcBorders>
            <w:tcMar>
              <w:left w:w="0" w:type="dxa"/>
              <w:right w:w="0" w:type="dxa"/>
            </w:tcMar>
          </w:tcPr>
          <w:p w14:paraId="7DF07E49" w14:textId="77777777" w:rsidR="00182448" w:rsidRPr="00DE32D1" w:rsidRDefault="00182448" w:rsidP="008346FE">
            <w:pPr>
              <w:spacing w:before="40" w:after="40"/>
              <w:ind w:left="29" w:right="86"/>
              <w:jc w:val="left"/>
              <w:rPr>
                <w:sz w:val="18"/>
                <w:szCs w:val="18"/>
                <w:lang w:val="en-US"/>
              </w:rPr>
            </w:pPr>
            <w:r w:rsidRPr="00DE32D1">
              <w:rPr>
                <w:sz w:val="18"/>
                <w:szCs w:val="18"/>
                <w:lang w:val="en-US"/>
              </w:rPr>
              <w:t>Weighting in AAE portfolio</w:t>
            </w:r>
          </w:p>
        </w:tc>
        <w:tc>
          <w:tcPr>
            <w:tcW w:w="419" w:type="pct"/>
            <w:tcBorders>
              <w:top w:val="single" w:sz="4" w:space="0" w:color="auto"/>
              <w:bottom w:val="single" w:sz="4" w:space="0" w:color="auto"/>
            </w:tcBorders>
            <w:tcMar>
              <w:left w:w="0" w:type="dxa"/>
              <w:right w:w="0" w:type="dxa"/>
            </w:tcMar>
          </w:tcPr>
          <w:p w14:paraId="0E29A651" w14:textId="77777777" w:rsidR="00182448" w:rsidRPr="00DE32D1" w:rsidRDefault="00182448" w:rsidP="00502FEE">
            <w:pPr>
              <w:spacing w:before="40" w:after="40"/>
              <w:jc w:val="center"/>
              <w:rPr>
                <w:sz w:val="18"/>
                <w:szCs w:val="18"/>
                <w:lang w:val="en-US"/>
              </w:rPr>
            </w:pPr>
            <w:r>
              <w:rPr>
                <w:sz w:val="18"/>
                <w:szCs w:val="18"/>
                <w:lang w:val="en-US"/>
              </w:rPr>
              <w:t>59.9</w:t>
            </w:r>
            <w:r w:rsidRPr="00DE32D1">
              <w:rPr>
                <w:sz w:val="18"/>
                <w:szCs w:val="18"/>
                <w:lang w:val="en-US"/>
              </w:rPr>
              <w:t>%</w:t>
            </w:r>
          </w:p>
        </w:tc>
        <w:tc>
          <w:tcPr>
            <w:tcW w:w="327" w:type="pct"/>
            <w:tcBorders>
              <w:top w:val="single" w:sz="4" w:space="0" w:color="auto"/>
              <w:bottom w:val="single" w:sz="4" w:space="0" w:color="auto"/>
            </w:tcBorders>
            <w:tcMar>
              <w:left w:w="0" w:type="dxa"/>
              <w:right w:w="0" w:type="dxa"/>
            </w:tcMar>
          </w:tcPr>
          <w:p w14:paraId="6EDE2533" w14:textId="20BB15F1" w:rsidR="00182448" w:rsidRPr="00DE32D1" w:rsidRDefault="00182448" w:rsidP="00502FEE">
            <w:pPr>
              <w:spacing w:before="40" w:after="40"/>
              <w:jc w:val="center"/>
              <w:rPr>
                <w:sz w:val="18"/>
                <w:szCs w:val="18"/>
                <w:lang w:val="en-US"/>
              </w:rPr>
            </w:pPr>
            <w:r>
              <w:rPr>
                <w:sz w:val="18"/>
                <w:szCs w:val="18"/>
              </w:rPr>
              <w:t>7</w:t>
            </w:r>
            <w:r w:rsidRPr="00DE32D1">
              <w:rPr>
                <w:sz w:val="18"/>
                <w:szCs w:val="18"/>
              </w:rPr>
              <w:t>.</w:t>
            </w:r>
            <w:r>
              <w:rPr>
                <w:sz w:val="18"/>
                <w:szCs w:val="18"/>
              </w:rPr>
              <w:t>7</w:t>
            </w:r>
            <w:r w:rsidRPr="00DE32D1">
              <w:rPr>
                <w:sz w:val="18"/>
                <w:szCs w:val="18"/>
              </w:rPr>
              <w:t>%</w:t>
            </w:r>
          </w:p>
        </w:tc>
        <w:tc>
          <w:tcPr>
            <w:tcW w:w="337" w:type="pct"/>
            <w:tcBorders>
              <w:top w:val="single" w:sz="4" w:space="0" w:color="auto"/>
              <w:bottom w:val="single" w:sz="4" w:space="0" w:color="auto"/>
            </w:tcBorders>
            <w:tcMar>
              <w:left w:w="0" w:type="dxa"/>
              <w:right w:w="0" w:type="dxa"/>
            </w:tcMar>
          </w:tcPr>
          <w:p w14:paraId="5B460312" w14:textId="77777777" w:rsidR="00182448" w:rsidRPr="00DE32D1" w:rsidRDefault="00182448" w:rsidP="00502FEE">
            <w:pPr>
              <w:spacing w:before="40" w:after="40"/>
              <w:jc w:val="center"/>
              <w:rPr>
                <w:sz w:val="18"/>
                <w:szCs w:val="18"/>
                <w:lang w:val="en-US"/>
              </w:rPr>
            </w:pPr>
            <w:r>
              <w:rPr>
                <w:sz w:val="18"/>
                <w:szCs w:val="18"/>
                <w:lang w:val="en-US"/>
              </w:rPr>
              <w:t>9</w:t>
            </w:r>
            <w:r w:rsidRPr="00DE32D1">
              <w:rPr>
                <w:sz w:val="18"/>
                <w:szCs w:val="18"/>
                <w:lang w:val="en-US"/>
              </w:rPr>
              <w:t>.4%</w:t>
            </w:r>
          </w:p>
        </w:tc>
        <w:tc>
          <w:tcPr>
            <w:tcW w:w="336" w:type="pct"/>
            <w:tcBorders>
              <w:top w:val="single" w:sz="4" w:space="0" w:color="auto"/>
              <w:bottom w:val="single" w:sz="4" w:space="0" w:color="auto"/>
            </w:tcBorders>
            <w:tcMar>
              <w:left w:w="0" w:type="dxa"/>
              <w:right w:w="0" w:type="dxa"/>
            </w:tcMar>
          </w:tcPr>
          <w:p w14:paraId="27F0B8F6" w14:textId="77777777" w:rsidR="00182448" w:rsidRPr="00DE32D1" w:rsidRDefault="00182448" w:rsidP="00502FEE">
            <w:pPr>
              <w:spacing w:before="40" w:after="40"/>
              <w:jc w:val="center"/>
              <w:rPr>
                <w:sz w:val="18"/>
                <w:szCs w:val="18"/>
                <w:lang w:val="en-US"/>
              </w:rPr>
            </w:pPr>
            <w:r w:rsidRPr="00DE32D1">
              <w:rPr>
                <w:sz w:val="18"/>
                <w:szCs w:val="18"/>
                <w:lang w:val="en-US"/>
              </w:rPr>
              <w:t>3.</w:t>
            </w:r>
            <w:r>
              <w:rPr>
                <w:sz w:val="18"/>
                <w:szCs w:val="18"/>
                <w:lang w:val="en-US"/>
              </w:rPr>
              <w:t>3</w:t>
            </w:r>
            <w:r w:rsidRPr="00DE32D1">
              <w:rPr>
                <w:sz w:val="18"/>
                <w:szCs w:val="18"/>
                <w:lang w:val="en-US"/>
              </w:rPr>
              <w:t>%</w:t>
            </w:r>
          </w:p>
        </w:tc>
        <w:tc>
          <w:tcPr>
            <w:tcW w:w="336" w:type="pct"/>
            <w:tcBorders>
              <w:top w:val="single" w:sz="4" w:space="0" w:color="auto"/>
              <w:bottom w:val="single" w:sz="4" w:space="0" w:color="auto"/>
            </w:tcBorders>
            <w:tcMar>
              <w:left w:w="0" w:type="dxa"/>
              <w:right w:w="0" w:type="dxa"/>
            </w:tcMar>
          </w:tcPr>
          <w:p w14:paraId="58F46CAA" w14:textId="77777777" w:rsidR="00182448" w:rsidRPr="00DE32D1" w:rsidRDefault="00182448" w:rsidP="00502FEE">
            <w:pPr>
              <w:spacing w:before="40" w:after="40"/>
              <w:jc w:val="center"/>
              <w:rPr>
                <w:sz w:val="18"/>
                <w:szCs w:val="18"/>
              </w:rPr>
            </w:pPr>
            <w:r w:rsidRPr="00DE32D1">
              <w:rPr>
                <w:sz w:val="18"/>
                <w:szCs w:val="18"/>
              </w:rPr>
              <w:t>9.</w:t>
            </w:r>
            <w:r>
              <w:rPr>
                <w:sz w:val="18"/>
                <w:szCs w:val="18"/>
              </w:rPr>
              <w:t>8</w:t>
            </w:r>
            <w:r w:rsidRPr="00DE32D1">
              <w:rPr>
                <w:sz w:val="18"/>
                <w:szCs w:val="18"/>
              </w:rPr>
              <w:t>%</w:t>
            </w:r>
          </w:p>
        </w:tc>
        <w:tc>
          <w:tcPr>
            <w:tcW w:w="346" w:type="pct"/>
            <w:tcBorders>
              <w:top w:val="single" w:sz="4" w:space="0" w:color="auto"/>
              <w:bottom w:val="single" w:sz="4" w:space="0" w:color="auto"/>
            </w:tcBorders>
          </w:tcPr>
          <w:p w14:paraId="33F9918C" w14:textId="77777777" w:rsidR="00182448" w:rsidRPr="00DE32D1" w:rsidRDefault="00182448" w:rsidP="00502FEE">
            <w:pPr>
              <w:spacing w:before="40" w:after="40"/>
              <w:jc w:val="center"/>
              <w:rPr>
                <w:sz w:val="18"/>
                <w:szCs w:val="18"/>
              </w:rPr>
            </w:pPr>
            <w:r w:rsidRPr="00DE32D1">
              <w:rPr>
                <w:sz w:val="18"/>
                <w:szCs w:val="18"/>
              </w:rPr>
              <w:t>9.8%</w:t>
            </w:r>
          </w:p>
        </w:tc>
        <w:tc>
          <w:tcPr>
            <w:tcW w:w="560" w:type="pct"/>
            <w:tcBorders>
              <w:top w:val="single" w:sz="4" w:space="0" w:color="auto"/>
              <w:bottom w:val="single" w:sz="4" w:space="0" w:color="auto"/>
            </w:tcBorders>
            <w:tcMar>
              <w:left w:w="0" w:type="dxa"/>
              <w:right w:w="0" w:type="dxa"/>
            </w:tcMar>
          </w:tcPr>
          <w:p w14:paraId="08516EE5" w14:textId="77777777" w:rsidR="00182448" w:rsidRPr="00DE32D1" w:rsidRDefault="00182448" w:rsidP="00502FEE">
            <w:pPr>
              <w:spacing w:before="40" w:after="40"/>
              <w:jc w:val="center"/>
              <w:rPr>
                <w:b/>
                <w:sz w:val="18"/>
                <w:szCs w:val="18"/>
                <w:lang w:val="en-US"/>
              </w:rPr>
            </w:pPr>
            <w:r>
              <w:rPr>
                <w:b/>
                <w:sz w:val="18"/>
                <w:szCs w:val="18"/>
              </w:rPr>
              <w:t>40</w:t>
            </w:r>
            <w:r w:rsidRPr="00DE32D1">
              <w:rPr>
                <w:b/>
                <w:sz w:val="18"/>
                <w:szCs w:val="18"/>
              </w:rPr>
              <w:t>.</w:t>
            </w:r>
            <w:r>
              <w:rPr>
                <w:b/>
                <w:sz w:val="18"/>
                <w:szCs w:val="18"/>
              </w:rPr>
              <w:t>1</w:t>
            </w:r>
            <w:r w:rsidRPr="00DE32D1">
              <w:rPr>
                <w:b/>
                <w:sz w:val="18"/>
                <w:szCs w:val="18"/>
              </w:rPr>
              <w:t>%</w:t>
            </w:r>
          </w:p>
        </w:tc>
        <w:tc>
          <w:tcPr>
            <w:tcW w:w="604" w:type="pct"/>
            <w:tcBorders>
              <w:top w:val="single" w:sz="4" w:space="0" w:color="auto"/>
              <w:bottom w:val="single" w:sz="4" w:space="0" w:color="auto"/>
            </w:tcBorders>
            <w:tcMar>
              <w:left w:w="0" w:type="dxa"/>
              <w:right w:w="0" w:type="dxa"/>
            </w:tcMar>
          </w:tcPr>
          <w:p w14:paraId="37180229" w14:textId="77777777" w:rsidR="00182448" w:rsidRPr="00DE32D1" w:rsidRDefault="00182448" w:rsidP="00502FEE">
            <w:pPr>
              <w:spacing w:before="40" w:after="40"/>
              <w:jc w:val="center"/>
              <w:rPr>
                <w:sz w:val="18"/>
                <w:szCs w:val="18"/>
                <w:lang w:val="en-US"/>
              </w:rPr>
            </w:pPr>
            <w:r w:rsidRPr="00DE32D1">
              <w:rPr>
                <w:sz w:val="18"/>
                <w:szCs w:val="18"/>
              </w:rPr>
              <w:t>-</w:t>
            </w:r>
          </w:p>
        </w:tc>
        <w:tc>
          <w:tcPr>
            <w:tcW w:w="604" w:type="pct"/>
            <w:tcBorders>
              <w:top w:val="single" w:sz="4" w:space="0" w:color="auto"/>
              <w:bottom w:val="single" w:sz="4" w:space="0" w:color="auto"/>
            </w:tcBorders>
            <w:tcMar>
              <w:left w:w="0" w:type="dxa"/>
              <w:right w:w="0" w:type="dxa"/>
            </w:tcMar>
          </w:tcPr>
          <w:p w14:paraId="2F17B6DD" w14:textId="77777777" w:rsidR="00182448" w:rsidRPr="00DE32D1" w:rsidRDefault="00182448" w:rsidP="00502FEE">
            <w:pPr>
              <w:spacing w:before="40" w:after="40"/>
              <w:jc w:val="center"/>
              <w:rPr>
                <w:sz w:val="18"/>
                <w:szCs w:val="18"/>
              </w:rPr>
            </w:pPr>
            <w:r w:rsidRPr="00DE32D1">
              <w:rPr>
                <w:sz w:val="18"/>
                <w:szCs w:val="18"/>
              </w:rPr>
              <w:t>-</w:t>
            </w:r>
          </w:p>
        </w:tc>
        <w:tc>
          <w:tcPr>
            <w:tcW w:w="383" w:type="pct"/>
            <w:tcBorders>
              <w:top w:val="single" w:sz="4" w:space="0" w:color="auto"/>
              <w:bottom w:val="single" w:sz="4" w:space="0" w:color="auto"/>
            </w:tcBorders>
            <w:tcMar>
              <w:left w:w="0" w:type="dxa"/>
              <w:right w:w="0" w:type="dxa"/>
            </w:tcMar>
          </w:tcPr>
          <w:p w14:paraId="3BCEF934" w14:textId="77777777" w:rsidR="00182448" w:rsidRPr="00DE32D1" w:rsidRDefault="00182448" w:rsidP="00502FEE">
            <w:pPr>
              <w:spacing w:beforeLines="20" w:before="48" w:afterLines="20" w:after="48"/>
              <w:jc w:val="center"/>
              <w:rPr>
                <w:b/>
                <w:sz w:val="18"/>
                <w:szCs w:val="18"/>
              </w:rPr>
            </w:pPr>
            <w:r w:rsidRPr="00DE32D1">
              <w:rPr>
                <w:b/>
                <w:sz w:val="18"/>
                <w:szCs w:val="18"/>
              </w:rPr>
              <w:t>-</w:t>
            </w:r>
          </w:p>
        </w:tc>
      </w:tr>
      <w:tr w:rsidR="00502FEE" w:rsidRPr="00DE32D1" w14:paraId="5C2F9333" w14:textId="77777777" w:rsidTr="00502FEE">
        <w:trPr>
          <w:trHeight w:val="265"/>
        </w:trPr>
        <w:tc>
          <w:tcPr>
            <w:tcW w:w="746" w:type="pct"/>
            <w:tcBorders>
              <w:top w:val="single" w:sz="4" w:space="0" w:color="auto"/>
              <w:bottom w:val="single" w:sz="4" w:space="0" w:color="auto"/>
            </w:tcBorders>
            <w:tcMar>
              <w:left w:w="0" w:type="dxa"/>
              <w:right w:w="0" w:type="dxa"/>
            </w:tcMar>
          </w:tcPr>
          <w:p w14:paraId="0A76E235" w14:textId="77777777" w:rsidR="00182448" w:rsidRPr="00DE32D1" w:rsidRDefault="00182448" w:rsidP="008346FE">
            <w:pPr>
              <w:spacing w:before="40" w:after="40"/>
              <w:ind w:left="29" w:right="86"/>
              <w:jc w:val="left"/>
              <w:rPr>
                <w:sz w:val="18"/>
                <w:szCs w:val="18"/>
                <w:lang w:val="en-US"/>
              </w:rPr>
            </w:pPr>
            <w:r w:rsidRPr="00DE32D1">
              <w:rPr>
                <w:sz w:val="18"/>
                <w:szCs w:val="18"/>
                <w:lang w:val="en-US"/>
              </w:rPr>
              <w:t>Carbon intensity</w:t>
            </w:r>
          </w:p>
        </w:tc>
        <w:tc>
          <w:tcPr>
            <w:tcW w:w="419" w:type="pct"/>
            <w:tcBorders>
              <w:top w:val="single" w:sz="4" w:space="0" w:color="auto"/>
              <w:bottom w:val="single" w:sz="4" w:space="0" w:color="auto"/>
            </w:tcBorders>
            <w:tcMar>
              <w:left w:w="0" w:type="dxa"/>
              <w:right w:w="0" w:type="dxa"/>
            </w:tcMar>
          </w:tcPr>
          <w:p w14:paraId="0DD0BBF6" w14:textId="50334952" w:rsidR="00182448" w:rsidRPr="00DE32D1" w:rsidRDefault="00DE0497" w:rsidP="00502FEE">
            <w:pPr>
              <w:spacing w:before="40" w:after="40"/>
              <w:jc w:val="center"/>
              <w:rPr>
                <w:sz w:val="18"/>
                <w:szCs w:val="18"/>
                <w:lang w:val="en-US"/>
              </w:rPr>
            </w:pPr>
            <w:r>
              <w:rPr>
                <w:sz w:val="18"/>
                <w:szCs w:val="18"/>
                <w:lang w:val="en-US"/>
              </w:rPr>
              <w:t>288.2</w:t>
            </w:r>
          </w:p>
        </w:tc>
        <w:tc>
          <w:tcPr>
            <w:tcW w:w="327" w:type="pct"/>
            <w:tcBorders>
              <w:top w:val="single" w:sz="4" w:space="0" w:color="auto"/>
              <w:bottom w:val="single" w:sz="4" w:space="0" w:color="auto"/>
            </w:tcBorders>
            <w:tcMar>
              <w:left w:w="0" w:type="dxa"/>
              <w:right w:w="0" w:type="dxa"/>
            </w:tcMar>
          </w:tcPr>
          <w:p w14:paraId="1BC78265" w14:textId="77777777" w:rsidR="00182448" w:rsidRPr="00DE32D1" w:rsidRDefault="00182448" w:rsidP="00502FEE">
            <w:pPr>
              <w:spacing w:before="40" w:after="40"/>
              <w:jc w:val="center"/>
              <w:rPr>
                <w:sz w:val="18"/>
                <w:szCs w:val="18"/>
                <w:lang w:val="en-US"/>
              </w:rPr>
            </w:pPr>
            <w:r w:rsidRPr="00DE32D1">
              <w:rPr>
                <w:sz w:val="18"/>
                <w:szCs w:val="18"/>
              </w:rPr>
              <w:t>40.6</w:t>
            </w:r>
          </w:p>
        </w:tc>
        <w:tc>
          <w:tcPr>
            <w:tcW w:w="337" w:type="pct"/>
            <w:tcBorders>
              <w:top w:val="single" w:sz="4" w:space="0" w:color="auto"/>
              <w:bottom w:val="single" w:sz="4" w:space="0" w:color="auto"/>
            </w:tcBorders>
            <w:tcMar>
              <w:left w:w="0" w:type="dxa"/>
              <w:right w:w="0" w:type="dxa"/>
            </w:tcMar>
          </w:tcPr>
          <w:p w14:paraId="4FE20EBE" w14:textId="77777777" w:rsidR="00182448" w:rsidRPr="00DE32D1" w:rsidRDefault="00182448" w:rsidP="00502FEE">
            <w:pPr>
              <w:spacing w:before="40" w:after="40"/>
              <w:jc w:val="center"/>
              <w:rPr>
                <w:sz w:val="18"/>
                <w:szCs w:val="18"/>
                <w:lang w:val="en-US"/>
              </w:rPr>
            </w:pPr>
            <w:r w:rsidRPr="00DE32D1">
              <w:rPr>
                <w:sz w:val="18"/>
                <w:szCs w:val="18"/>
                <w:lang w:val="en-US"/>
              </w:rPr>
              <w:t>81.3</w:t>
            </w:r>
          </w:p>
        </w:tc>
        <w:tc>
          <w:tcPr>
            <w:tcW w:w="336" w:type="pct"/>
            <w:tcBorders>
              <w:top w:val="single" w:sz="4" w:space="0" w:color="auto"/>
              <w:bottom w:val="single" w:sz="4" w:space="0" w:color="auto"/>
            </w:tcBorders>
            <w:tcMar>
              <w:left w:w="0" w:type="dxa"/>
              <w:right w:w="0" w:type="dxa"/>
            </w:tcMar>
          </w:tcPr>
          <w:p w14:paraId="2E5C75C0" w14:textId="77777777" w:rsidR="00182448" w:rsidRPr="00DE32D1" w:rsidRDefault="00182448" w:rsidP="00502FEE">
            <w:pPr>
              <w:spacing w:before="40" w:after="40"/>
              <w:jc w:val="center"/>
              <w:rPr>
                <w:sz w:val="18"/>
                <w:szCs w:val="18"/>
                <w:lang w:val="en-US"/>
              </w:rPr>
            </w:pPr>
            <w:r w:rsidRPr="00DE32D1">
              <w:rPr>
                <w:sz w:val="18"/>
                <w:szCs w:val="18"/>
                <w:lang w:val="en-US"/>
              </w:rPr>
              <w:t>526. 9</w:t>
            </w:r>
          </w:p>
        </w:tc>
        <w:tc>
          <w:tcPr>
            <w:tcW w:w="336" w:type="pct"/>
            <w:tcBorders>
              <w:top w:val="single" w:sz="4" w:space="0" w:color="auto"/>
              <w:bottom w:val="single" w:sz="4" w:space="0" w:color="auto"/>
            </w:tcBorders>
            <w:tcMar>
              <w:left w:w="0" w:type="dxa"/>
              <w:right w:w="0" w:type="dxa"/>
            </w:tcMar>
          </w:tcPr>
          <w:p w14:paraId="2C1E21B7" w14:textId="77777777" w:rsidR="00182448" w:rsidRPr="00DE32D1" w:rsidRDefault="00182448" w:rsidP="00502FEE">
            <w:pPr>
              <w:spacing w:before="40" w:after="40"/>
              <w:jc w:val="center"/>
              <w:rPr>
                <w:sz w:val="18"/>
                <w:szCs w:val="18"/>
              </w:rPr>
            </w:pPr>
            <w:r w:rsidRPr="00DE32D1">
              <w:rPr>
                <w:sz w:val="18"/>
                <w:szCs w:val="18"/>
              </w:rPr>
              <w:t>48.</w:t>
            </w:r>
            <w:r>
              <w:rPr>
                <w:sz w:val="18"/>
                <w:szCs w:val="18"/>
              </w:rPr>
              <w:t>4</w:t>
            </w:r>
          </w:p>
        </w:tc>
        <w:tc>
          <w:tcPr>
            <w:tcW w:w="346" w:type="pct"/>
            <w:tcBorders>
              <w:top w:val="single" w:sz="4" w:space="0" w:color="auto"/>
              <w:bottom w:val="single" w:sz="4" w:space="0" w:color="auto"/>
            </w:tcBorders>
          </w:tcPr>
          <w:p w14:paraId="1B003097" w14:textId="77777777" w:rsidR="00182448" w:rsidRPr="00DE32D1" w:rsidRDefault="00182448" w:rsidP="00502FEE">
            <w:pPr>
              <w:spacing w:before="40" w:after="40"/>
              <w:jc w:val="center"/>
              <w:rPr>
                <w:sz w:val="18"/>
                <w:szCs w:val="18"/>
              </w:rPr>
            </w:pPr>
            <w:r>
              <w:rPr>
                <w:sz w:val="18"/>
                <w:szCs w:val="18"/>
              </w:rPr>
              <w:t>3.4</w:t>
            </w:r>
          </w:p>
        </w:tc>
        <w:tc>
          <w:tcPr>
            <w:tcW w:w="560" w:type="pct"/>
            <w:tcBorders>
              <w:top w:val="single" w:sz="4" w:space="0" w:color="auto"/>
              <w:bottom w:val="single" w:sz="4" w:space="0" w:color="auto"/>
            </w:tcBorders>
            <w:tcMar>
              <w:left w:w="0" w:type="dxa"/>
              <w:right w:w="0" w:type="dxa"/>
            </w:tcMar>
          </w:tcPr>
          <w:p w14:paraId="7154D2CA" w14:textId="77777777" w:rsidR="00182448" w:rsidRPr="00DE32D1" w:rsidRDefault="00182448" w:rsidP="00502FEE">
            <w:pPr>
              <w:spacing w:before="40" w:after="40"/>
              <w:jc w:val="center"/>
              <w:rPr>
                <w:b/>
                <w:sz w:val="18"/>
                <w:szCs w:val="18"/>
                <w:lang w:val="en-US"/>
              </w:rPr>
            </w:pPr>
            <w:r>
              <w:rPr>
                <w:b/>
                <w:sz w:val="18"/>
                <w:szCs w:val="18"/>
              </w:rPr>
              <w:t>83</w:t>
            </w:r>
            <w:r w:rsidRPr="00DE32D1">
              <w:rPr>
                <w:b/>
                <w:sz w:val="18"/>
                <w:szCs w:val="18"/>
              </w:rPr>
              <w:t>.0</w:t>
            </w:r>
          </w:p>
        </w:tc>
        <w:tc>
          <w:tcPr>
            <w:tcW w:w="604" w:type="pct"/>
            <w:tcBorders>
              <w:top w:val="single" w:sz="4" w:space="0" w:color="auto"/>
              <w:bottom w:val="single" w:sz="4" w:space="0" w:color="auto"/>
            </w:tcBorders>
            <w:tcMar>
              <w:left w:w="0" w:type="dxa"/>
              <w:right w:w="0" w:type="dxa"/>
            </w:tcMar>
          </w:tcPr>
          <w:p w14:paraId="5E278997" w14:textId="7B291414" w:rsidR="00182448" w:rsidRPr="00DE32D1" w:rsidRDefault="00182448" w:rsidP="00502FEE">
            <w:pPr>
              <w:spacing w:before="40" w:after="40"/>
              <w:jc w:val="center"/>
              <w:rPr>
                <w:sz w:val="18"/>
                <w:szCs w:val="18"/>
                <w:lang w:val="en-US"/>
              </w:rPr>
            </w:pPr>
            <w:r w:rsidRPr="00DE32D1">
              <w:rPr>
                <w:sz w:val="18"/>
                <w:szCs w:val="18"/>
              </w:rPr>
              <w:t>-</w:t>
            </w:r>
            <w:r>
              <w:rPr>
                <w:sz w:val="18"/>
                <w:szCs w:val="18"/>
              </w:rPr>
              <w:t>7</w:t>
            </w:r>
            <w:r w:rsidR="00DE0497">
              <w:rPr>
                <w:sz w:val="18"/>
                <w:szCs w:val="18"/>
              </w:rPr>
              <w:t>1</w:t>
            </w:r>
            <w:r w:rsidRPr="00DE32D1">
              <w:rPr>
                <w:sz w:val="18"/>
                <w:szCs w:val="18"/>
              </w:rPr>
              <w:t>.</w:t>
            </w:r>
            <w:r w:rsidR="00DE0497">
              <w:rPr>
                <w:sz w:val="18"/>
                <w:szCs w:val="18"/>
              </w:rPr>
              <w:t>1</w:t>
            </w:r>
            <w:r w:rsidRPr="00DE32D1">
              <w:rPr>
                <w:sz w:val="18"/>
                <w:szCs w:val="18"/>
              </w:rPr>
              <w:t>%</w:t>
            </w:r>
          </w:p>
        </w:tc>
        <w:tc>
          <w:tcPr>
            <w:tcW w:w="604" w:type="pct"/>
            <w:tcBorders>
              <w:top w:val="single" w:sz="4" w:space="0" w:color="auto"/>
              <w:bottom w:val="single" w:sz="4" w:space="0" w:color="auto"/>
            </w:tcBorders>
            <w:tcMar>
              <w:left w:w="0" w:type="dxa"/>
              <w:right w:w="0" w:type="dxa"/>
            </w:tcMar>
          </w:tcPr>
          <w:p w14:paraId="2DD64996" w14:textId="77777777" w:rsidR="00182448" w:rsidRPr="00DE32D1" w:rsidRDefault="00182448" w:rsidP="00502FEE">
            <w:pPr>
              <w:spacing w:before="40" w:after="40"/>
              <w:jc w:val="center"/>
              <w:rPr>
                <w:sz w:val="18"/>
                <w:szCs w:val="18"/>
              </w:rPr>
            </w:pPr>
            <w:r w:rsidRPr="00DE32D1">
              <w:rPr>
                <w:sz w:val="18"/>
                <w:szCs w:val="18"/>
              </w:rPr>
              <w:t>-25%</w:t>
            </w:r>
          </w:p>
        </w:tc>
        <w:tc>
          <w:tcPr>
            <w:tcW w:w="383" w:type="pct"/>
            <w:tcBorders>
              <w:top w:val="single" w:sz="4" w:space="0" w:color="auto"/>
              <w:bottom w:val="single" w:sz="4" w:space="0" w:color="auto"/>
            </w:tcBorders>
            <w:tcMar>
              <w:left w:w="0" w:type="dxa"/>
              <w:right w:w="0" w:type="dxa"/>
            </w:tcMar>
          </w:tcPr>
          <w:p w14:paraId="10D1D045" w14:textId="4DD43AE3" w:rsidR="00182448" w:rsidRPr="00DE32D1" w:rsidRDefault="00182448" w:rsidP="00502FEE">
            <w:pPr>
              <w:spacing w:beforeLines="20" w:before="48" w:afterLines="20" w:after="48"/>
              <w:jc w:val="center"/>
              <w:rPr>
                <w:b/>
                <w:sz w:val="18"/>
                <w:szCs w:val="18"/>
              </w:rPr>
            </w:pPr>
            <w:r>
              <w:rPr>
                <w:b/>
                <w:sz w:val="18"/>
                <w:szCs w:val="18"/>
              </w:rPr>
              <w:t>4</w:t>
            </w:r>
            <w:r w:rsidR="00DE0497">
              <w:rPr>
                <w:b/>
                <w:sz w:val="18"/>
                <w:szCs w:val="18"/>
              </w:rPr>
              <w:t>6</w:t>
            </w:r>
            <w:r w:rsidR="008D3A0F">
              <w:rPr>
                <w:b/>
                <w:sz w:val="18"/>
                <w:szCs w:val="18"/>
              </w:rPr>
              <w:t>.1</w:t>
            </w:r>
            <w:r w:rsidRPr="00DE32D1">
              <w:rPr>
                <w:b/>
                <w:sz w:val="18"/>
                <w:szCs w:val="18"/>
              </w:rPr>
              <w:t>%</w:t>
            </w:r>
          </w:p>
        </w:tc>
      </w:tr>
      <w:tr w:rsidR="00502FEE" w:rsidRPr="00DE32D1" w14:paraId="0B4EC7A4" w14:textId="77777777" w:rsidTr="00502FEE">
        <w:trPr>
          <w:trHeight w:val="18"/>
        </w:trPr>
        <w:tc>
          <w:tcPr>
            <w:tcW w:w="746" w:type="pct"/>
            <w:tcBorders>
              <w:top w:val="single" w:sz="4" w:space="0" w:color="auto"/>
              <w:bottom w:val="nil"/>
            </w:tcBorders>
            <w:tcMar>
              <w:left w:w="0" w:type="dxa"/>
              <w:right w:w="0" w:type="dxa"/>
            </w:tcMar>
          </w:tcPr>
          <w:p w14:paraId="282EE4D8" w14:textId="77777777" w:rsidR="00182448" w:rsidRPr="00DE32D1" w:rsidRDefault="00182448" w:rsidP="008346FE">
            <w:pPr>
              <w:spacing w:before="40" w:after="40"/>
              <w:ind w:left="29" w:right="86"/>
              <w:jc w:val="left"/>
              <w:rPr>
                <w:sz w:val="18"/>
                <w:szCs w:val="18"/>
                <w:lang w:val="en-US"/>
              </w:rPr>
            </w:pPr>
            <w:r w:rsidRPr="00DE32D1">
              <w:rPr>
                <w:sz w:val="18"/>
                <w:szCs w:val="18"/>
                <w:lang w:val="en-US"/>
              </w:rPr>
              <w:t>ESG score</w:t>
            </w:r>
          </w:p>
        </w:tc>
        <w:tc>
          <w:tcPr>
            <w:tcW w:w="419" w:type="pct"/>
            <w:tcBorders>
              <w:top w:val="single" w:sz="4" w:space="0" w:color="auto"/>
              <w:bottom w:val="nil"/>
            </w:tcBorders>
            <w:tcMar>
              <w:left w:w="0" w:type="dxa"/>
              <w:right w:w="0" w:type="dxa"/>
            </w:tcMar>
          </w:tcPr>
          <w:p w14:paraId="2A0DF9BA" w14:textId="77777777" w:rsidR="00182448" w:rsidRPr="00DE32D1" w:rsidRDefault="00182448" w:rsidP="00502FEE">
            <w:pPr>
              <w:spacing w:before="40" w:after="40"/>
              <w:jc w:val="center"/>
              <w:rPr>
                <w:sz w:val="18"/>
                <w:szCs w:val="18"/>
                <w:lang w:val="en-US"/>
              </w:rPr>
            </w:pPr>
            <w:r w:rsidRPr="00DE32D1">
              <w:rPr>
                <w:sz w:val="18"/>
                <w:szCs w:val="18"/>
                <w:lang w:val="en-US"/>
              </w:rPr>
              <w:t>5</w:t>
            </w:r>
            <w:r>
              <w:rPr>
                <w:sz w:val="18"/>
                <w:szCs w:val="18"/>
                <w:lang w:val="en-US"/>
              </w:rPr>
              <w:t>8</w:t>
            </w:r>
            <w:r w:rsidRPr="00DE32D1">
              <w:rPr>
                <w:sz w:val="18"/>
                <w:szCs w:val="18"/>
                <w:lang w:val="en-US"/>
              </w:rPr>
              <w:t>.</w:t>
            </w:r>
            <w:r>
              <w:rPr>
                <w:sz w:val="18"/>
                <w:szCs w:val="18"/>
                <w:lang w:val="en-US"/>
              </w:rPr>
              <w:t>9</w:t>
            </w:r>
          </w:p>
        </w:tc>
        <w:tc>
          <w:tcPr>
            <w:tcW w:w="327" w:type="pct"/>
            <w:tcBorders>
              <w:top w:val="single" w:sz="4" w:space="0" w:color="auto"/>
              <w:bottom w:val="nil"/>
            </w:tcBorders>
            <w:tcMar>
              <w:left w:w="0" w:type="dxa"/>
              <w:right w:w="0" w:type="dxa"/>
            </w:tcMar>
          </w:tcPr>
          <w:p w14:paraId="75322471" w14:textId="77777777" w:rsidR="00182448" w:rsidRPr="00DE32D1" w:rsidRDefault="00182448" w:rsidP="00502FEE">
            <w:pPr>
              <w:spacing w:before="40" w:after="40"/>
              <w:jc w:val="center"/>
              <w:rPr>
                <w:sz w:val="18"/>
                <w:szCs w:val="18"/>
                <w:lang w:val="en-US"/>
              </w:rPr>
            </w:pPr>
            <w:r w:rsidRPr="00DE32D1">
              <w:rPr>
                <w:sz w:val="18"/>
                <w:szCs w:val="18"/>
                <w:lang w:val="en-US"/>
              </w:rPr>
              <w:t>69.0</w:t>
            </w:r>
          </w:p>
        </w:tc>
        <w:tc>
          <w:tcPr>
            <w:tcW w:w="337" w:type="pct"/>
            <w:tcBorders>
              <w:top w:val="single" w:sz="4" w:space="0" w:color="auto"/>
              <w:bottom w:val="nil"/>
            </w:tcBorders>
            <w:tcMar>
              <w:left w:w="0" w:type="dxa"/>
              <w:right w:w="0" w:type="dxa"/>
            </w:tcMar>
          </w:tcPr>
          <w:p w14:paraId="1FACF505" w14:textId="77777777" w:rsidR="00182448" w:rsidRPr="00DE32D1" w:rsidRDefault="00182448" w:rsidP="00502FEE">
            <w:pPr>
              <w:spacing w:before="40" w:after="40"/>
              <w:jc w:val="center"/>
              <w:rPr>
                <w:sz w:val="18"/>
                <w:szCs w:val="18"/>
                <w:lang w:val="en-US"/>
              </w:rPr>
            </w:pPr>
            <w:r w:rsidRPr="00DE32D1">
              <w:rPr>
                <w:sz w:val="18"/>
                <w:szCs w:val="18"/>
                <w:lang w:val="en-US"/>
              </w:rPr>
              <w:t>48.0</w:t>
            </w:r>
          </w:p>
        </w:tc>
        <w:tc>
          <w:tcPr>
            <w:tcW w:w="336" w:type="pct"/>
            <w:tcBorders>
              <w:top w:val="single" w:sz="4" w:space="0" w:color="auto"/>
              <w:bottom w:val="nil"/>
            </w:tcBorders>
            <w:tcMar>
              <w:left w:w="0" w:type="dxa"/>
              <w:right w:w="0" w:type="dxa"/>
            </w:tcMar>
          </w:tcPr>
          <w:p w14:paraId="49407EEF" w14:textId="77777777" w:rsidR="00182448" w:rsidRPr="00DE32D1" w:rsidRDefault="00182448" w:rsidP="00502FEE">
            <w:pPr>
              <w:spacing w:before="40" w:after="40"/>
              <w:jc w:val="center"/>
              <w:rPr>
                <w:sz w:val="18"/>
                <w:szCs w:val="18"/>
                <w:lang w:val="en-US"/>
              </w:rPr>
            </w:pPr>
            <w:r>
              <w:rPr>
                <w:sz w:val="18"/>
                <w:szCs w:val="18"/>
                <w:lang w:val="en-US"/>
              </w:rPr>
              <w:t>68.0</w:t>
            </w:r>
          </w:p>
        </w:tc>
        <w:tc>
          <w:tcPr>
            <w:tcW w:w="336" w:type="pct"/>
            <w:tcBorders>
              <w:top w:val="single" w:sz="4" w:space="0" w:color="auto"/>
              <w:bottom w:val="nil"/>
            </w:tcBorders>
            <w:tcMar>
              <w:left w:w="0" w:type="dxa"/>
              <w:right w:w="0" w:type="dxa"/>
            </w:tcMar>
          </w:tcPr>
          <w:p w14:paraId="4A52608E" w14:textId="77777777" w:rsidR="00182448" w:rsidRPr="00DE32D1" w:rsidRDefault="00182448" w:rsidP="00502FEE">
            <w:pPr>
              <w:spacing w:before="40" w:after="40"/>
              <w:jc w:val="center"/>
              <w:rPr>
                <w:sz w:val="18"/>
                <w:szCs w:val="18"/>
              </w:rPr>
            </w:pPr>
            <w:r w:rsidRPr="00DE32D1">
              <w:rPr>
                <w:sz w:val="18"/>
                <w:szCs w:val="18"/>
              </w:rPr>
              <w:t>7</w:t>
            </w:r>
            <w:r>
              <w:rPr>
                <w:sz w:val="18"/>
                <w:szCs w:val="18"/>
              </w:rPr>
              <w:t>2</w:t>
            </w:r>
            <w:r w:rsidRPr="00DE32D1">
              <w:rPr>
                <w:sz w:val="18"/>
                <w:szCs w:val="18"/>
              </w:rPr>
              <w:t>.0</w:t>
            </w:r>
          </w:p>
        </w:tc>
        <w:tc>
          <w:tcPr>
            <w:tcW w:w="346" w:type="pct"/>
            <w:tcBorders>
              <w:top w:val="single" w:sz="4" w:space="0" w:color="auto"/>
              <w:bottom w:val="nil"/>
            </w:tcBorders>
          </w:tcPr>
          <w:p w14:paraId="554EF73C" w14:textId="77777777" w:rsidR="00182448" w:rsidRPr="00DE32D1" w:rsidRDefault="00182448" w:rsidP="00502FEE">
            <w:pPr>
              <w:spacing w:before="40" w:after="40"/>
              <w:jc w:val="center"/>
              <w:rPr>
                <w:sz w:val="18"/>
                <w:szCs w:val="18"/>
              </w:rPr>
            </w:pPr>
            <w:r>
              <w:rPr>
                <w:sz w:val="18"/>
                <w:szCs w:val="18"/>
              </w:rPr>
              <w:t>81.0</w:t>
            </w:r>
          </w:p>
        </w:tc>
        <w:tc>
          <w:tcPr>
            <w:tcW w:w="560" w:type="pct"/>
            <w:tcBorders>
              <w:top w:val="single" w:sz="4" w:space="0" w:color="auto"/>
              <w:bottom w:val="nil"/>
            </w:tcBorders>
            <w:tcMar>
              <w:left w:w="0" w:type="dxa"/>
              <w:right w:w="0" w:type="dxa"/>
            </w:tcMar>
          </w:tcPr>
          <w:p w14:paraId="516F95DB" w14:textId="77777777" w:rsidR="00182448" w:rsidRPr="00DE32D1" w:rsidRDefault="00182448" w:rsidP="00502FEE">
            <w:pPr>
              <w:spacing w:before="40" w:after="40"/>
              <w:jc w:val="center"/>
              <w:rPr>
                <w:b/>
                <w:sz w:val="18"/>
                <w:szCs w:val="18"/>
                <w:lang w:val="en-US"/>
              </w:rPr>
            </w:pPr>
            <w:r w:rsidRPr="00DE32D1">
              <w:rPr>
                <w:b/>
                <w:sz w:val="18"/>
                <w:szCs w:val="18"/>
              </w:rPr>
              <w:t>6</w:t>
            </w:r>
            <w:r>
              <w:rPr>
                <w:b/>
                <w:sz w:val="18"/>
                <w:szCs w:val="18"/>
              </w:rPr>
              <w:t>7</w:t>
            </w:r>
            <w:r w:rsidRPr="00DE32D1">
              <w:rPr>
                <w:b/>
                <w:sz w:val="18"/>
                <w:szCs w:val="18"/>
              </w:rPr>
              <w:t>.</w:t>
            </w:r>
            <w:r>
              <w:rPr>
                <w:b/>
                <w:sz w:val="18"/>
                <w:szCs w:val="18"/>
              </w:rPr>
              <w:t>6</w:t>
            </w:r>
          </w:p>
        </w:tc>
        <w:tc>
          <w:tcPr>
            <w:tcW w:w="604" w:type="pct"/>
            <w:tcBorders>
              <w:top w:val="single" w:sz="4" w:space="0" w:color="auto"/>
              <w:bottom w:val="nil"/>
            </w:tcBorders>
            <w:tcMar>
              <w:left w:w="0" w:type="dxa"/>
              <w:right w:w="0" w:type="dxa"/>
            </w:tcMar>
          </w:tcPr>
          <w:p w14:paraId="40D4E353" w14:textId="77777777" w:rsidR="00182448" w:rsidRPr="00DE32D1" w:rsidRDefault="00182448" w:rsidP="00502FEE">
            <w:pPr>
              <w:spacing w:before="40" w:after="40"/>
              <w:jc w:val="center"/>
              <w:rPr>
                <w:sz w:val="18"/>
                <w:szCs w:val="18"/>
                <w:lang w:val="en-US"/>
              </w:rPr>
            </w:pPr>
            <w:r w:rsidRPr="00DE32D1">
              <w:rPr>
                <w:sz w:val="18"/>
                <w:szCs w:val="18"/>
              </w:rPr>
              <w:t>+1</w:t>
            </w:r>
            <w:r>
              <w:rPr>
                <w:sz w:val="18"/>
                <w:szCs w:val="18"/>
              </w:rPr>
              <w:t>4</w:t>
            </w:r>
            <w:r w:rsidRPr="00DE32D1">
              <w:rPr>
                <w:sz w:val="18"/>
                <w:szCs w:val="18"/>
              </w:rPr>
              <w:t>.</w:t>
            </w:r>
            <w:r>
              <w:rPr>
                <w:sz w:val="18"/>
                <w:szCs w:val="18"/>
              </w:rPr>
              <w:t>9</w:t>
            </w:r>
            <w:r w:rsidRPr="00DE32D1">
              <w:rPr>
                <w:sz w:val="18"/>
                <w:szCs w:val="18"/>
              </w:rPr>
              <w:t>%</w:t>
            </w:r>
          </w:p>
        </w:tc>
        <w:tc>
          <w:tcPr>
            <w:tcW w:w="604" w:type="pct"/>
            <w:tcBorders>
              <w:top w:val="single" w:sz="4" w:space="0" w:color="auto"/>
              <w:bottom w:val="nil"/>
            </w:tcBorders>
            <w:tcMar>
              <w:left w:w="0" w:type="dxa"/>
              <w:right w:w="0" w:type="dxa"/>
            </w:tcMar>
          </w:tcPr>
          <w:p w14:paraId="4221CF27" w14:textId="77777777" w:rsidR="00182448" w:rsidRPr="00DE32D1" w:rsidRDefault="00182448" w:rsidP="00502FEE">
            <w:pPr>
              <w:spacing w:before="40" w:after="40"/>
              <w:jc w:val="center"/>
              <w:rPr>
                <w:sz w:val="18"/>
                <w:szCs w:val="18"/>
              </w:rPr>
            </w:pPr>
            <w:r w:rsidRPr="00DE32D1">
              <w:rPr>
                <w:sz w:val="18"/>
                <w:szCs w:val="18"/>
              </w:rPr>
              <w:t>10%</w:t>
            </w:r>
          </w:p>
        </w:tc>
        <w:tc>
          <w:tcPr>
            <w:tcW w:w="383" w:type="pct"/>
            <w:tcBorders>
              <w:top w:val="single" w:sz="4" w:space="0" w:color="auto"/>
              <w:bottom w:val="nil"/>
            </w:tcBorders>
            <w:tcMar>
              <w:left w:w="0" w:type="dxa"/>
              <w:right w:w="0" w:type="dxa"/>
            </w:tcMar>
          </w:tcPr>
          <w:p w14:paraId="2614E981" w14:textId="77777777" w:rsidR="00182448" w:rsidRPr="00DE32D1" w:rsidRDefault="00182448" w:rsidP="00502FEE">
            <w:pPr>
              <w:spacing w:beforeLines="20" w:before="48" w:afterLines="20" w:after="48"/>
              <w:jc w:val="center"/>
              <w:rPr>
                <w:b/>
                <w:sz w:val="18"/>
                <w:szCs w:val="18"/>
              </w:rPr>
            </w:pPr>
            <w:r>
              <w:rPr>
                <w:b/>
                <w:sz w:val="18"/>
                <w:szCs w:val="18"/>
              </w:rPr>
              <w:t>4</w:t>
            </w:r>
            <w:r w:rsidRPr="00DE32D1">
              <w:rPr>
                <w:b/>
                <w:sz w:val="18"/>
                <w:szCs w:val="18"/>
              </w:rPr>
              <w:t>.</w:t>
            </w:r>
            <w:r>
              <w:rPr>
                <w:b/>
                <w:sz w:val="18"/>
                <w:szCs w:val="18"/>
              </w:rPr>
              <w:t>9</w:t>
            </w:r>
            <w:r w:rsidRPr="00DE32D1">
              <w:rPr>
                <w:b/>
                <w:sz w:val="18"/>
                <w:szCs w:val="18"/>
              </w:rPr>
              <w:t>%</w:t>
            </w:r>
          </w:p>
        </w:tc>
      </w:tr>
      <w:tr w:rsidR="00502FEE" w:rsidRPr="00DE32D1" w14:paraId="450D7090" w14:textId="77777777" w:rsidTr="00502FEE">
        <w:trPr>
          <w:trHeight w:val="18"/>
        </w:trPr>
        <w:tc>
          <w:tcPr>
            <w:tcW w:w="746" w:type="pct"/>
            <w:tcBorders>
              <w:top w:val="nil"/>
              <w:bottom w:val="single" w:sz="8" w:space="0" w:color="auto"/>
            </w:tcBorders>
            <w:tcMar>
              <w:left w:w="0" w:type="dxa"/>
              <w:right w:w="0" w:type="dxa"/>
            </w:tcMar>
          </w:tcPr>
          <w:p w14:paraId="060810CF" w14:textId="44065C4B" w:rsidR="00182448" w:rsidRPr="00DE32D1" w:rsidRDefault="00502FEE" w:rsidP="008346FE">
            <w:pPr>
              <w:spacing w:before="40" w:after="40"/>
              <w:ind w:left="29" w:right="86"/>
              <w:jc w:val="left"/>
              <w:rPr>
                <w:sz w:val="18"/>
                <w:szCs w:val="18"/>
                <w:lang w:val="en-US"/>
              </w:rPr>
            </w:pPr>
            <w:r>
              <w:rPr>
                <w:sz w:val="18"/>
                <w:szCs w:val="18"/>
                <w:lang w:val="en-US"/>
              </w:rPr>
              <w:t xml:space="preserve">(S&amp;P/ASX200, </w:t>
            </w:r>
            <w:r w:rsidR="00182448" w:rsidRPr="00DE32D1">
              <w:rPr>
                <w:sz w:val="18"/>
                <w:szCs w:val="18"/>
                <w:lang w:val="en-US"/>
              </w:rPr>
              <w:t>cap-weighted)</w:t>
            </w:r>
          </w:p>
        </w:tc>
        <w:tc>
          <w:tcPr>
            <w:tcW w:w="419" w:type="pct"/>
            <w:tcBorders>
              <w:top w:val="nil"/>
              <w:bottom w:val="single" w:sz="8" w:space="0" w:color="auto"/>
            </w:tcBorders>
            <w:tcMar>
              <w:left w:w="0" w:type="dxa"/>
              <w:right w:w="0" w:type="dxa"/>
            </w:tcMar>
            <w:vAlign w:val="center"/>
          </w:tcPr>
          <w:p w14:paraId="7E798D78" w14:textId="77777777" w:rsidR="00182448" w:rsidRPr="00DE32D1" w:rsidRDefault="00182448" w:rsidP="00502FEE">
            <w:pPr>
              <w:spacing w:before="40" w:after="40"/>
              <w:jc w:val="center"/>
              <w:rPr>
                <w:sz w:val="18"/>
                <w:szCs w:val="18"/>
                <w:lang w:val="en-US"/>
              </w:rPr>
            </w:pPr>
            <w:r w:rsidRPr="00DE32D1">
              <w:rPr>
                <w:sz w:val="18"/>
                <w:szCs w:val="18"/>
                <w:lang w:val="en-US"/>
              </w:rPr>
              <w:t>(6</w:t>
            </w:r>
            <w:r>
              <w:rPr>
                <w:sz w:val="18"/>
                <w:szCs w:val="18"/>
                <w:lang w:val="en-US"/>
              </w:rPr>
              <w:t>3</w:t>
            </w:r>
            <w:r w:rsidRPr="00DE32D1">
              <w:rPr>
                <w:sz w:val="18"/>
                <w:szCs w:val="18"/>
                <w:lang w:val="en-US"/>
              </w:rPr>
              <w:t>.</w:t>
            </w:r>
            <w:r>
              <w:rPr>
                <w:sz w:val="18"/>
                <w:szCs w:val="18"/>
                <w:lang w:val="en-US"/>
              </w:rPr>
              <w:t>70</w:t>
            </w:r>
            <w:r w:rsidRPr="00DE32D1">
              <w:rPr>
                <w:sz w:val="18"/>
                <w:szCs w:val="18"/>
                <w:lang w:val="en-US"/>
              </w:rPr>
              <w:t>)</w:t>
            </w:r>
          </w:p>
        </w:tc>
        <w:tc>
          <w:tcPr>
            <w:tcW w:w="327" w:type="pct"/>
            <w:tcBorders>
              <w:top w:val="nil"/>
              <w:bottom w:val="single" w:sz="8" w:space="0" w:color="auto"/>
            </w:tcBorders>
            <w:tcMar>
              <w:left w:w="0" w:type="dxa"/>
              <w:right w:w="0" w:type="dxa"/>
            </w:tcMar>
            <w:vAlign w:val="center"/>
          </w:tcPr>
          <w:p w14:paraId="18351E3F" w14:textId="77777777" w:rsidR="00182448" w:rsidRPr="00DE32D1" w:rsidRDefault="00182448" w:rsidP="00502FEE">
            <w:pPr>
              <w:spacing w:before="40" w:after="40"/>
              <w:jc w:val="center"/>
              <w:rPr>
                <w:sz w:val="18"/>
                <w:szCs w:val="18"/>
                <w:lang w:val="en-US"/>
              </w:rPr>
            </w:pPr>
          </w:p>
        </w:tc>
        <w:tc>
          <w:tcPr>
            <w:tcW w:w="337" w:type="pct"/>
            <w:tcBorders>
              <w:top w:val="nil"/>
              <w:bottom w:val="single" w:sz="8" w:space="0" w:color="auto"/>
            </w:tcBorders>
            <w:tcMar>
              <w:left w:w="0" w:type="dxa"/>
              <w:right w:w="0" w:type="dxa"/>
            </w:tcMar>
            <w:vAlign w:val="center"/>
          </w:tcPr>
          <w:p w14:paraId="48D60EDC" w14:textId="77777777" w:rsidR="00182448" w:rsidRPr="00DE32D1" w:rsidRDefault="00182448" w:rsidP="00502FEE">
            <w:pPr>
              <w:spacing w:before="40" w:after="40"/>
              <w:jc w:val="center"/>
              <w:rPr>
                <w:sz w:val="18"/>
                <w:szCs w:val="18"/>
                <w:lang w:val="en-US"/>
              </w:rPr>
            </w:pPr>
          </w:p>
        </w:tc>
        <w:tc>
          <w:tcPr>
            <w:tcW w:w="336" w:type="pct"/>
            <w:tcBorders>
              <w:top w:val="nil"/>
              <w:bottom w:val="single" w:sz="8" w:space="0" w:color="auto"/>
            </w:tcBorders>
            <w:tcMar>
              <w:left w:w="0" w:type="dxa"/>
              <w:right w:w="0" w:type="dxa"/>
            </w:tcMar>
            <w:vAlign w:val="center"/>
          </w:tcPr>
          <w:p w14:paraId="5704DBB2" w14:textId="77777777" w:rsidR="00182448" w:rsidRPr="00DE32D1" w:rsidRDefault="00182448" w:rsidP="00502FEE">
            <w:pPr>
              <w:spacing w:before="40" w:after="40"/>
              <w:jc w:val="center"/>
              <w:rPr>
                <w:sz w:val="18"/>
                <w:szCs w:val="18"/>
                <w:lang w:val="en-US"/>
              </w:rPr>
            </w:pPr>
          </w:p>
        </w:tc>
        <w:tc>
          <w:tcPr>
            <w:tcW w:w="336" w:type="pct"/>
            <w:tcBorders>
              <w:top w:val="nil"/>
              <w:bottom w:val="single" w:sz="8" w:space="0" w:color="auto"/>
            </w:tcBorders>
            <w:tcMar>
              <w:left w:w="0" w:type="dxa"/>
              <w:right w:w="0" w:type="dxa"/>
            </w:tcMar>
            <w:vAlign w:val="center"/>
          </w:tcPr>
          <w:p w14:paraId="706D2A55" w14:textId="77777777" w:rsidR="00182448" w:rsidRPr="00DE32D1" w:rsidRDefault="00182448" w:rsidP="00502FEE">
            <w:pPr>
              <w:spacing w:before="40" w:after="40"/>
              <w:jc w:val="center"/>
              <w:rPr>
                <w:sz w:val="18"/>
                <w:szCs w:val="18"/>
              </w:rPr>
            </w:pPr>
          </w:p>
        </w:tc>
        <w:tc>
          <w:tcPr>
            <w:tcW w:w="346" w:type="pct"/>
            <w:tcBorders>
              <w:top w:val="nil"/>
              <w:bottom w:val="single" w:sz="8" w:space="0" w:color="auto"/>
            </w:tcBorders>
          </w:tcPr>
          <w:p w14:paraId="26FDE396" w14:textId="77777777" w:rsidR="00182448" w:rsidRPr="00DE32D1" w:rsidRDefault="00182448" w:rsidP="00502FEE">
            <w:pPr>
              <w:spacing w:before="40" w:after="40"/>
              <w:jc w:val="center"/>
              <w:rPr>
                <w:sz w:val="18"/>
                <w:szCs w:val="18"/>
              </w:rPr>
            </w:pPr>
          </w:p>
        </w:tc>
        <w:tc>
          <w:tcPr>
            <w:tcW w:w="560" w:type="pct"/>
            <w:tcBorders>
              <w:top w:val="nil"/>
              <w:bottom w:val="single" w:sz="8" w:space="0" w:color="auto"/>
            </w:tcBorders>
            <w:tcMar>
              <w:left w:w="0" w:type="dxa"/>
              <w:right w:w="0" w:type="dxa"/>
            </w:tcMar>
            <w:vAlign w:val="center"/>
          </w:tcPr>
          <w:p w14:paraId="7510A9C3" w14:textId="77777777" w:rsidR="00182448" w:rsidRPr="00DE32D1" w:rsidRDefault="00182448" w:rsidP="00502FEE">
            <w:pPr>
              <w:spacing w:before="40" w:after="40"/>
              <w:jc w:val="center"/>
              <w:rPr>
                <w:b/>
                <w:sz w:val="18"/>
                <w:szCs w:val="18"/>
              </w:rPr>
            </w:pPr>
          </w:p>
        </w:tc>
        <w:tc>
          <w:tcPr>
            <w:tcW w:w="604" w:type="pct"/>
            <w:tcBorders>
              <w:top w:val="nil"/>
              <w:bottom w:val="single" w:sz="8" w:space="0" w:color="auto"/>
            </w:tcBorders>
            <w:tcMar>
              <w:left w:w="0" w:type="dxa"/>
              <w:right w:w="0" w:type="dxa"/>
            </w:tcMar>
            <w:vAlign w:val="center"/>
          </w:tcPr>
          <w:p w14:paraId="1B4D877E" w14:textId="2C2F92F8" w:rsidR="00182448" w:rsidRPr="00DE32D1" w:rsidRDefault="00182448" w:rsidP="00502FEE">
            <w:pPr>
              <w:spacing w:before="40" w:after="40"/>
              <w:jc w:val="center"/>
              <w:rPr>
                <w:sz w:val="18"/>
                <w:szCs w:val="18"/>
              </w:rPr>
            </w:pPr>
            <w:r>
              <w:rPr>
                <w:sz w:val="18"/>
                <w:szCs w:val="18"/>
              </w:rPr>
              <w:t>(</w:t>
            </w:r>
            <w:r w:rsidR="008346FE">
              <w:rPr>
                <w:sz w:val="18"/>
                <w:szCs w:val="18"/>
              </w:rPr>
              <w:t>+</w:t>
            </w:r>
            <w:r>
              <w:rPr>
                <w:sz w:val="18"/>
                <w:szCs w:val="18"/>
              </w:rPr>
              <w:t>6.2</w:t>
            </w:r>
            <w:r w:rsidRPr="00DE32D1">
              <w:rPr>
                <w:sz w:val="18"/>
                <w:szCs w:val="18"/>
              </w:rPr>
              <w:t>%)</w:t>
            </w:r>
          </w:p>
        </w:tc>
        <w:tc>
          <w:tcPr>
            <w:tcW w:w="604" w:type="pct"/>
            <w:tcBorders>
              <w:top w:val="nil"/>
              <w:bottom w:val="single" w:sz="8" w:space="0" w:color="auto"/>
            </w:tcBorders>
            <w:tcMar>
              <w:left w:w="0" w:type="dxa"/>
              <w:right w:w="0" w:type="dxa"/>
            </w:tcMar>
          </w:tcPr>
          <w:p w14:paraId="0853A4C0" w14:textId="77777777" w:rsidR="00182448" w:rsidRPr="00DE32D1" w:rsidRDefault="00182448" w:rsidP="00502FEE">
            <w:pPr>
              <w:spacing w:before="40" w:after="40"/>
              <w:jc w:val="center"/>
              <w:rPr>
                <w:sz w:val="18"/>
                <w:szCs w:val="18"/>
              </w:rPr>
            </w:pPr>
          </w:p>
        </w:tc>
        <w:tc>
          <w:tcPr>
            <w:tcW w:w="383" w:type="pct"/>
            <w:tcBorders>
              <w:top w:val="nil"/>
              <w:bottom w:val="single" w:sz="8" w:space="0" w:color="auto"/>
            </w:tcBorders>
            <w:tcMar>
              <w:left w:w="0" w:type="dxa"/>
              <w:right w:w="0" w:type="dxa"/>
            </w:tcMar>
          </w:tcPr>
          <w:p w14:paraId="0BE4012A" w14:textId="77777777" w:rsidR="00182448" w:rsidRPr="00DE32D1" w:rsidRDefault="00182448" w:rsidP="00502FEE">
            <w:pPr>
              <w:spacing w:beforeLines="20" w:before="48" w:afterLines="20" w:after="48"/>
              <w:jc w:val="center"/>
              <w:rPr>
                <w:b/>
                <w:sz w:val="18"/>
                <w:szCs w:val="18"/>
              </w:rPr>
            </w:pPr>
          </w:p>
        </w:tc>
      </w:tr>
    </w:tbl>
    <w:p w14:paraId="60BEFF27" w14:textId="20CF33D2" w:rsidR="00AF0889" w:rsidRPr="00AF0889" w:rsidRDefault="00AF0889" w:rsidP="00502FEE">
      <w:pPr>
        <w:widowControl/>
        <w:spacing w:before="240" w:after="180"/>
        <w:rPr>
          <w:color w:val="000000"/>
          <w:sz w:val="20"/>
          <w:szCs w:val="20"/>
          <w:bdr w:val="none" w:sz="0" w:space="0" w:color="auto" w:frame="1"/>
          <w:shd w:val="clear" w:color="auto" w:fill="FFFFFF"/>
        </w:rPr>
      </w:pPr>
      <w:r w:rsidRPr="00AF0889">
        <w:rPr>
          <w:color w:val="000000"/>
          <w:sz w:val="20"/>
          <w:szCs w:val="20"/>
          <w:bdr w:val="none" w:sz="0" w:space="0" w:color="auto" w:frame="1"/>
          <w:shd w:val="clear" w:color="auto" w:fill="FFFFFF"/>
        </w:rPr>
        <w:t>The SMF portfolio is in full compliance with the SMF SRI policy regarding holdings in the active investments in Bingo, Inghams, Rio Tinto, Telstra and Westpac. This is demonstrated by a -7</w:t>
      </w:r>
      <w:r w:rsidR="00365D89">
        <w:rPr>
          <w:color w:val="000000"/>
          <w:sz w:val="20"/>
          <w:szCs w:val="20"/>
          <w:bdr w:val="none" w:sz="0" w:space="0" w:color="auto" w:frame="1"/>
          <w:shd w:val="clear" w:color="auto" w:fill="FFFFFF"/>
        </w:rPr>
        <w:t>1.1</w:t>
      </w:r>
      <w:r w:rsidRPr="00AF0889">
        <w:rPr>
          <w:color w:val="000000"/>
          <w:sz w:val="20"/>
          <w:szCs w:val="20"/>
          <w:bdr w:val="none" w:sz="0" w:space="0" w:color="auto" w:frame="1"/>
          <w:shd w:val="clear" w:color="auto" w:fill="FFFFFF"/>
        </w:rPr>
        <w:t>% reduction in carbon intensity against the required -25%, and a 14.9% improvement in ESG score against a required 10%.  </w:t>
      </w:r>
    </w:p>
    <w:p w14:paraId="1A4F6C6D" w14:textId="3964CEFF" w:rsidR="00AF0889" w:rsidRPr="00AF0889" w:rsidRDefault="00AF0889" w:rsidP="00AF0889">
      <w:pPr>
        <w:spacing w:line="240" w:lineRule="auto"/>
        <w:rPr>
          <w:color w:val="000000"/>
          <w:sz w:val="20"/>
          <w:szCs w:val="20"/>
          <w:bdr w:val="none" w:sz="0" w:space="0" w:color="auto" w:frame="1"/>
          <w:shd w:val="clear" w:color="auto" w:fill="FFFFFF"/>
        </w:rPr>
      </w:pPr>
      <w:r w:rsidRPr="00AF0889">
        <w:rPr>
          <w:color w:val="000000"/>
          <w:sz w:val="20"/>
          <w:szCs w:val="20"/>
          <w:bdr w:val="none" w:sz="0" w:space="0" w:color="auto" w:frame="1"/>
          <w:shd w:val="clear" w:color="auto" w:fill="FFFFFF"/>
        </w:rPr>
        <w:t>Conditions four and five</w:t>
      </w:r>
      <w:r w:rsidR="008346FE">
        <w:rPr>
          <w:color w:val="000000"/>
          <w:sz w:val="20"/>
          <w:szCs w:val="20"/>
          <w:bdr w:val="none" w:sz="0" w:space="0" w:color="auto" w:frame="1"/>
          <w:shd w:val="clear" w:color="auto" w:fill="FFFFFF"/>
        </w:rPr>
        <w:t xml:space="preserve"> as </w:t>
      </w:r>
      <w:r w:rsidRPr="00AF0889">
        <w:rPr>
          <w:color w:val="000000"/>
          <w:sz w:val="20"/>
          <w:szCs w:val="20"/>
          <w:bdr w:val="none" w:sz="0" w:space="0" w:color="auto" w:frame="1"/>
          <w:shd w:val="clear" w:color="auto" w:fill="FFFFFF"/>
        </w:rPr>
        <w:t xml:space="preserve">listed above are continuously evaluated by the Fund regarding both current active investments, and throughout the analysis of candidate stock investments. This can be exemplified through the Fund’s decision to not pursue some prospective stocks on the basis that both the AAE and R&amp;C teams </w:t>
      </w:r>
      <w:r w:rsidR="008346FE">
        <w:rPr>
          <w:color w:val="000000"/>
          <w:sz w:val="20"/>
          <w:szCs w:val="20"/>
          <w:bdr w:val="none" w:sz="0" w:space="0" w:color="auto" w:frame="1"/>
          <w:shd w:val="clear" w:color="auto" w:fill="FFFFFF"/>
        </w:rPr>
        <w:t>concluded</w:t>
      </w:r>
      <w:r w:rsidRPr="00AF0889">
        <w:rPr>
          <w:color w:val="000000"/>
          <w:sz w:val="20"/>
          <w:szCs w:val="20"/>
          <w:bdr w:val="none" w:sz="0" w:space="0" w:color="auto" w:frame="1"/>
          <w:shd w:val="clear" w:color="auto" w:fill="FFFFFF"/>
        </w:rPr>
        <w:t xml:space="preserve"> that the companies may be causing social injury</w:t>
      </w:r>
      <w:r w:rsidR="008346FE">
        <w:rPr>
          <w:color w:val="000000"/>
          <w:sz w:val="20"/>
          <w:szCs w:val="20"/>
          <w:bdr w:val="none" w:sz="0" w:space="0" w:color="auto" w:frame="1"/>
          <w:shd w:val="clear" w:color="auto" w:fill="FFFFFF"/>
        </w:rPr>
        <w:t xml:space="preserve"> while producing</w:t>
      </w:r>
      <w:r w:rsidRPr="00AF0889">
        <w:rPr>
          <w:color w:val="000000"/>
          <w:sz w:val="20"/>
          <w:szCs w:val="20"/>
          <w:bdr w:val="none" w:sz="0" w:space="0" w:color="auto" w:frame="1"/>
          <w:shd w:val="clear" w:color="auto" w:fill="FFFFFF"/>
        </w:rPr>
        <w:t xml:space="preserve"> minimal social benefit. Once the AAE </w:t>
      </w:r>
      <w:r w:rsidR="006815AF">
        <w:rPr>
          <w:color w:val="000000"/>
          <w:sz w:val="20"/>
          <w:szCs w:val="20"/>
          <w:bdr w:val="none" w:sz="0" w:space="0" w:color="auto" w:frame="1"/>
          <w:shd w:val="clear" w:color="auto" w:fill="FFFFFF"/>
        </w:rPr>
        <w:t>p</w:t>
      </w:r>
      <w:r w:rsidRPr="00AF0889">
        <w:rPr>
          <w:color w:val="000000"/>
          <w:sz w:val="20"/>
          <w:szCs w:val="20"/>
          <w:bdr w:val="none" w:sz="0" w:space="0" w:color="auto" w:frame="1"/>
          <w:shd w:val="clear" w:color="auto" w:fill="FFFFFF"/>
        </w:rPr>
        <w:t>ortfolio is fully invested in active stock positions, as against its current partial exposure to the S&amp;P/ASX200 ETF, the AAE portfolio will progress towards complete compliance with the elements of the SMF SRI policy.</w:t>
      </w:r>
    </w:p>
    <w:p w14:paraId="4DFC8AAF" w14:textId="3C31120E" w:rsidR="006E0BB3" w:rsidRDefault="00182448" w:rsidP="00AF0889">
      <w:pPr>
        <w:widowControl/>
        <w:spacing w:before="0" w:after="160" w:line="259" w:lineRule="auto"/>
        <w:rPr>
          <w:b/>
          <w:bCs/>
          <w:iCs/>
          <w:color w:val="5B9BD5" w:themeColor="accent1"/>
          <w:szCs w:val="28"/>
        </w:rPr>
      </w:pPr>
      <w:r>
        <w:rPr>
          <w:b/>
          <w:bCs/>
          <w:iCs/>
          <w:color w:val="5B9BD5" w:themeColor="accent1"/>
          <w:szCs w:val="28"/>
        </w:rPr>
        <w:br w:type="page"/>
      </w:r>
    </w:p>
    <w:p w14:paraId="6D68BD11" w14:textId="206469FE" w:rsidR="008D112D" w:rsidRPr="008D112D" w:rsidRDefault="008D112D" w:rsidP="008D112D">
      <w:pPr>
        <w:pStyle w:val="Heading1"/>
        <w:jc w:val="center"/>
        <w:rPr>
          <w:rFonts w:ascii="Segoe UI" w:eastAsia="Times New Roman" w:hAnsi="Segoe UI" w:cs="Segoe UI"/>
          <w:sz w:val="18"/>
          <w:szCs w:val="18"/>
          <w:lang w:eastAsia="en-AU"/>
        </w:rPr>
      </w:pPr>
      <w:bookmarkStart w:id="26" w:name="_Toc13642413"/>
      <w:r w:rsidRPr="008D112D">
        <w:rPr>
          <w:rFonts w:eastAsia="Times New Roman"/>
          <w:lang w:eastAsia="en-AU"/>
        </w:rPr>
        <w:lastRenderedPageBreak/>
        <w:t>APPENDIX</w:t>
      </w:r>
      <w:bookmarkEnd w:id="26"/>
    </w:p>
    <w:p w14:paraId="662A3500" w14:textId="465046A4" w:rsidR="008D112D" w:rsidRPr="008D112D" w:rsidRDefault="008D112D" w:rsidP="005E089A">
      <w:pPr>
        <w:pStyle w:val="Heading3"/>
        <w:rPr>
          <w:rFonts w:ascii="Segoe UI" w:eastAsia="Times New Roman" w:hAnsi="Segoe UI" w:cs="Segoe UI"/>
          <w:sz w:val="18"/>
          <w:szCs w:val="18"/>
          <w:lang w:eastAsia="en-AU"/>
        </w:rPr>
      </w:pPr>
      <w:bookmarkStart w:id="27" w:name="_Toc13642414"/>
      <w:r>
        <w:rPr>
          <w:rFonts w:eastAsia="Times New Roman"/>
          <w:lang w:eastAsia="en-AU"/>
        </w:rPr>
        <w:t>SMF Activities during Semester 1, 2019</w:t>
      </w:r>
      <w:bookmarkEnd w:id="27"/>
      <w:r w:rsidRPr="008D112D">
        <w:rPr>
          <w:rFonts w:eastAsia="Times New Roman"/>
          <w:lang w:eastAsia="en-AU"/>
        </w:rPr>
        <w:t> </w:t>
      </w:r>
    </w:p>
    <w:p w14:paraId="7C403CB4" w14:textId="77777777" w:rsidR="008D112D" w:rsidRPr="008D112D" w:rsidRDefault="008D112D" w:rsidP="005E089A">
      <w:pPr>
        <w:widowControl/>
        <w:spacing w:after="0"/>
        <w:textAlignment w:val="baseline"/>
        <w:rPr>
          <w:rFonts w:eastAsia="Times New Roman"/>
          <w:sz w:val="20"/>
          <w:szCs w:val="20"/>
          <w:lang w:eastAsia="en-AU"/>
        </w:rPr>
      </w:pPr>
      <w:r w:rsidRPr="008D112D">
        <w:rPr>
          <w:rFonts w:eastAsia="Times New Roman"/>
          <w:i/>
          <w:iCs/>
          <w:sz w:val="20"/>
          <w:szCs w:val="20"/>
          <w:lang w:eastAsia="en-AU"/>
        </w:rPr>
        <w:t>SMF student team make-up</w:t>
      </w:r>
      <w:r w:rsidRPr="008D112D">
        <w:rPr>
          <w:rFonts w:eastAsia="Times New Roman"/>
          <w:sz w:val="20"/>
          <w:szCs w:val="20"/>
          <w:lang w:eastAsia="en-AU"/>
        </w:rPr>
        <w:t> </w:t>
      </w:r>
    </w:p>
    <w:p w14:paraId="4765C152" w14:textId="2B23D72E" w:rsidR="008D112D" w:rsidRPr="008D112D" w:rsidRDefault="008D112D" w:rsidP="005E089A">
      <w:pPr>
        <w:widowControl/>
        <w:numPr>
          <w:ilvl w:val="0"/>
          <w:numId w:val="13"/>
        </w:numPr>
        <w:spacing w:before="60" w:after="60"/>
        <w:ind w:left="216" w:hanging="216"/>
        <w:textAlignment w:val="baseline"/>
        <w:rPr>
          <w:rFonts w:eastAsia="Times New Roman"/>
          <w:sz w:val="20"/>
          <w:szCs w:val="20"/>
          <w:lang w:eastAsia="en-AU"/>
        </w:rPr>
      </w:pPr>
      <w:r>
        <w:rPr>
          <w:rFonts w:eastAsia="Times New Roman"/>
          <w:sz w:val="20"/>
          <w:szCs w:val="20"/>
          <w:lang w:eastAsia="en-AU"/>
        </w:rPr>
        <w:t xml:space="preserve">The SMF had 18 members </w:t>
      </w:r>
      <w:r w:rsidRPr="008D112D">
        <w:rPr>
          <w:rFonts w:eastAsia="Times New Roman"/>
          <w:sz w:val="20"/>
          <w:szCs w:val="20"/>
          <w:lang w:eastAsia="en-AU"/>
        </w:rPr>
        <w:t>during the semester, comprising </w:t>
      </w:r>
      <w:r>
        <w:rPr>
          <w:rFonts w:eastAsia="Times New Roman"/>
          <w:sz w:val="20"/>
          <w:szCs w:val="20"/>
          <w:lang w:eastAsia="en-AU"/>
        </w:rPr>
        <w:t>seven</w:t>
      </w:r>
      <w:r w:rsidRPr="008D112D">
        <w:rPr>
          <w:rFonts w:eastAsia="Times New Roman"/>
          <w:sz w:val="20"/>
          <w:szCs w:val="20"/>
          <w:lang w:eastAsia="en-AU"/>
        </w:rPr>
        <w:t> se</w:t>
      </w:r>
      <w:r>
        <w:rPr>
          <w:rFonts w:eastAsia="Times New Roman"/>
          <w:sz w:val="20"/>
          <w:szCs w:val="20"/>
          <w:lang w:eastAsia="en-AU"/>
        </w:rPr>
        <w:t>niors continuing from Semester 2</w:t>
      </w:r>
      <w:r w:rsidRPr="008D112D">
        <w:rPr>
          <w:rFonts w:eastAsia="Times New Roman"/>
          <w:sz w:val="20"/>
          <w:szCs w:val="20"/>
          <w:lang w:eastAsia="en-AU"/>
        </w:rPr>
        <w:t> </w:t>
      </w:r>
      <w:r w:rsidR="004A253E">
        <w:rPr>
          <w:rFonts w:eastAsia="Times New Roman"/>
          <w:sz w:val="20"/>
          <w:szCs w:val="20"/>
          <w:lang w:eastAsia="en-AU"/>
        </w:rPr>
        <w:t>and twelve</w:t>
      </w:r>
      <w:r w:rsidRPr="008D112D">
        <w:rPr>
          <w:rFonts w:eastAsia="Times New Roman"/>
          <w:sz w:val="20"/>
          <w:szCs w:val="20"/>
          <w:lang w:eastAsia="en-AU"/>
        </w:rPr>
        <w:t xml:space="preserve"> juniors joining the Fund.  </w:t>
      </w:r>
    </w:p>
    <w:p w14:paraId="25B6516A" w14:textId="3A8D0501" w:rsidR="008D112D" w:rsidRPr="008D112D" w:rsidRDefault="008D112D" w:rsidP="005E089A">
      <w:pPr>
        <w:widowControl/>
        <w:numPr>
          <w:ilvl w:val="0"/>
          <w:numId w:val="13"/>
        </w:numPr>
        <w:spacing w:before="60" w:after="60"/>
        <w:ind w:left="216" w:hanging="216"/>
        <w:textAlignment w:val="baseline"/>
        <w:rPr>
          <w:rFonts w:eastAsia="Times New Roman"/>
          <w:sz w:val="20"/>
          <w:szCs w:val="20"/>
          <w:lang w:eastAsia="en-AU"/>
        </w:rPr>
      </w:pPr>
      <w:r w:rsidRPr="008D112D">
        <w:rPr>
          <w:rFonts w:eastAsia="Times New Roman"/>
          <w:sz w:val="20"/>
          <w:szCs w:val="20"/>
          <w:lang w:eastAsia="en-AU"/>
        </w:rPr>
        <w:t>The Fund will ex</w:t>
      </w:r>
      <w:r>
        <w:rPr>
          <w:rFonts w:eastAsia="Times New Roman"/>
          <w:sz w:val="20"/>
          <w:szCs w:val="20"/>
          <w:lang w:eastAsia="en-AU"/>
        </w:rPr>
        <w:t>pand to 19 members</w:t>
      </w:r>
      <w:r w:rsidR="00FE03B2">
        <w:rPr>
          <w:rFonts w:eastAsia="Times New Roman"/>
          <w:sz w:val="20"/>
          <w:szCs w:val="20"/>
          <w:lang w:eastAsia="en-AU"/>
        </w:rPr>
        <w:t xml:space="preserve"> </w:t>
      </w:r>
      <w:r>
        <w:rPr>
          <w:rFonts w:eastAsia="Times New Roman"/>
          <w:sz w:val="20"/>
          <w:szCs w:val="20"/>
          <w:lang w:eastAsia="en-AU"/>
        </w:rPr>
        <w:t>in Semester 2</w:t>
      </w:r>
      <w:r w:rsidR="004A253E">
        <w:rPr>
          <w:rFonts w:eastAsia="Times New Roman"/>
          <w:sz w:val="20"/>
          <w:szCs w:val="20"/>
          <w:lang w:eastAsia="en-AU"/>
        </w:rPr>
        <w:t xml:space="preserve"> 2019. This will </w:t>
      </w:r>
      <w:r w:rsidR="008346FE">
        <w:rPr>
          <w:rFonts w:eastAsia="Times New Roman"/>
          <w:sz w:val="20"/>
          <w:szCs w:val="20"/>
          <w:lang w:eastAsia="en-AU"/>
        </w:rPr>
        <w:t>comprise</w:t>
      </w:r>
      <w:r w:rsidR="004A253E">
        <w:rPr>
          <w:rFonts w:eastAsia="Times New Roman"/>
          <w:sz w:val="20"/>
          <w:szCs w:val="20"/>
          <w:lang w:eastAsia="en-AU"/>
        </w:rPr>
        <w:t> eleven</w:t>
      </w:r>
      <w:r w:rsidRPr="008D112D">
        <w:rPr>
          <w:rFonts w:eastAsia="Times New Roman"/>
          <w:sz w:val="20"/>
          <w:szCs w:val="20"/>
          <w:lang w:eastAsia="en-AU"/>
        </w:rPr>
        <w:t> senior stu</w:t>
      </w:r>
      <w:r w:rsidR="004A253E">
        <w:rPr>
          <w:rFonts w:eastAsia="Times New Roman"/>
          <w:sz w:val="20"/>
          <w:szCs w:val="20"/>
          <w:lang w:eastAsia="en-AU"/>
        </w:rPr>
        <w:t>dents and the introduction of eight</w:t>
      </w:r>
      <w:r w:rsidRPr="008D112D">
        <w:rPr>
          <w:rFonts w:eastAsia="Times New Roman"/>
          <w:sz w:val="20"/>
          <w:szCs w:val="20"/>
          <w:lang w:eastAsia="en-AU"/>
        </w:rPr>
        <w:t> juniors.  </w:t>
      </w:r>
    </w:p>
    <w:p w14:paraId="5E5E1531" w14:textId="1E8A42C9" w:rsidR="008D112D" w:rsidRPr="008D112D" w:rsidRDefault="004A253E" w:rsidP="00502FEE">
      <w:pPr>
        <w:widowControl/>
        <w:numPr>
          <w:ilvl w:val="0"/>
          <w:numId w:val="13"/>
        </w:numPr>
        <w:spacing w:before="60"/>
        <w:ind w:left="216" w:hanging="216"/>
        <w:textAlignment w:val="baseline"/>
        <w:rPr>
          <w:rFonts w:eastAsia="Times New Roman"/>
          <w:sz w:val="20"/>
          <w:szCs w:val="20"/>
          <w:lang w:eastAsia="en-AU"/>
        </w:rPr>
      </w:pPr>
      <w:r>
        <w:rPr>
          <w:rFonts w:eastAsia="Times New Roman"/>
          <w:sz w:val="20"/>
          <w:szCs w:val="20"/>
          <w:lang w:eastAsia="en-AU"/>
        </w:rPr>
        <w:t>Team compositions in 2019</w:t>
      </w:r>
      <w:r w:rsidR="008D112D" w:rsidRPr="008D112D">
        <w:rPr>
          <w:rFonts w:eastAsia="Times New Roman"/>
          <w:sz w:val="20"/>
          <w:szCs w:val="20"/>
          <w:lang w:eastAsia="en-AU"/>
        </w:rPr>
        <w:t>: </w:t>
      </w:r>
    </w:p>
    <w:tbl>
      <w:tblPr>
        <w:tblW w:w="0" w:type="dxa"/>
        <w:tblInd w:w="144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95"/>
        <w:gridCol w:w="1710"/>
        <w:gridCol w:w="1620"/>
      </w:tblGrid>
      <w:tr w:rsidR="008D112D" w:rsidRPr="008D112D" w14:paraId="46749119" w14:textId="77777777" w:rsidTr="008D112D">
        <w:tc>
          <w:tcPr>
            <w:tcW w:w="2595" w:type="dxa"/>
            <w:tcBorders>
              <w:top w:val="nil"/>
              <w:left w:val="nil"/>
              <w:bottom w:val="nil"/>
              <w:right w:val="nil"/>
            </w:tcBorders>
            <w:shd w:val="clear" w:color="auto" w:fill="auto"/>
            <w:hideMark/>
          </w:tcPr>
          <w:p w14:paraId="5A5FCFCB" w14:textId="77777777" w:rsidR="008D112D" w:rsidRPr="008D112D" w:rsidRDefault="008D112D" w:rsidP="005E089A">
            <w:pPr>
              <w:widowControl/>
              <w:spacing w:before="0" w:after="0"/>
              <w:ind w:left="90"/>
              <w:textAlignment w:val="baseline"/>
              <w:rPr>
                <w:rFonts w:eastAsia="Times New Roman"/>
                <w:lang w:eastAsia="en-AU"/>
              </w:rPr>
            </w:pPr>
            <w:r w:rsidRPr="008D112D">
              <w:rPr>
                <w:rFonts w:eastAsia="Times New Roman"/>
                <w:i/>
                <w:iCs/>
                <w:sz w:val="20"/>
                <w:szCs w:val="20"/>
                <w:lang w:eastAsia="en-AU"/>
              </w:rPr>
              <w:t>Team / Position</w:t>
            </w:r>
            <w:r w:rsidRPr="008D112D">
              <w:rPr>
                <w:rFonts w:eastAsia="Times New Roman"/>
                <w:sz w:val="20"/>
                <w:szCs w:val="20"/>
                <w:lang w:eastAsia="en-AU"/>
              </w:rPr>
              <w:t> </w:t>
            </w:r>
          </w:p>
        </w:tc>
        <w:tc>
          <w:tcPr>
            <w:tcW w:w="1710" w:type="dxa"/>
            <w:tcBorders>
              <w:top w:val="nil"/>
              <w:left w:val="nil"/>
              <w:bottom w:val="nil"/>
              <w:right w:val="nil"/>
            </w:tcBorders>
            <w:shd w:val="clear" w:color="auto" w:fill="auto"/>
            <w:hideMark/>
          </w:tcPr>
          <w:p w14:paraId="28B3742B" w14:textId="40B3DD9D" w:rsidR="008D112D" w:rsidRPr="008D112D" w:rsidRDefault="008D112D" w:rsidP="005E089A">
            <w:pPr>
              <w:widowControl/>
              <w:spacing w:before="0" w:after="0"/>
              <w:jc w:val="center"/>
              <w:textAlignment w:val="baseline"/>
              <w:rPr>
                <w:rFonts w:eastAsia="Times New Roman"/>
                <w:lang w:eastAsia="en-AU"/>
              </w:rPr>
            </w:pPr>
            <w:r>
              <w:rPr>
                <w:rFonts w:eastAsia="Times New Roman"/>
                <w:i/>
                <w:iCs/>
                <w:sz w:val="20"/>
                <w:szCs w:val="20"/>
                <w:lang w:eastAsia="en-AU"/>
              </w:rPr>
              <w:t>Semester 1, 2019</w:t>
            </w:r>
          </w:p>
        </w:tc>
        <w:tc>
          <w:tcPr>
            <w:tcW w:w="1620" w:type="dxa"/>
            <w:tcBorders>
              <w:top w:val="nil"/>
              <w:left w:val="nil"/>
              <w:bottom w:val="nil"/>
              <w:right w:val="nil"/>
            </w:tcBorders>
            <w:shd w:val="clear" w:color="auto" w:fill="auto"/>
            <w:hideMark/>
          </w:tcPr>
          <w:p w14:paraId="077C4BCC" w14:textId="4F499F89" w:rsidR="008D112D" w:rsidRPr="008D112D" w:rsidRDefault="008D112D" w:rsidP="005E089A">
            <w:pPr>
              <w:widowControl/>
              <w:spacing w:before="0" w:after="0"/>
              <w:jc w:val="center"/>
              <w:textAlignment w:val="baseline"/>
              <w:rPr>
                <w:rFonts w:eastAsia="Times New Roman"/>
                <w:lang w:eastAsia="en-AU"/>
              </w:rPr>
            </w:pPr>
            <w:r>
              <w:rPr>
                <w:rFonts w:eastAsia="Times New Roman"/>
                <w:i/>
                <w:iCs/>
                <w:sz w:val="20"/>
                <w:szCs w:val="20"/>
                <w:lang w:eastAsia="en-AU"/>
              </w:rPr>
              <w:t>Semester 2</w:t>
            </w:r>
            <w:r w:rsidRPr="008D112D">
              <w:rPr>
                <w:rFonts w:eastAsia="Times New Roman"/>
                <w:i/>
                <w:iCs/>
                <w:sz w:val="20"/>
                <w:szCs w:val="20"/>
                <w:lang w:eastAsia="en-AU"/>
              </w:rPr>
              <w:t>, 2019</w:t>
            </w:r>
          </w:p>
        </w:tc>
      </w:tr>
      <w:tr w:rsidR="008D112D" w:rsidRPr="008D112D" w14:paraId="47797165" w14:textId="77777777" w:rsidTr="008D112D">
        <w:tc>
          <w:tcPr>
            <w:tcW w:w="2595" w:type="dxa"/>
            <w:tcBorders>
              <w:top w:val="nil"/>
              <w:left w:val="nil"/>
              <w:bottom w:val="nil"/>
              <w:right w:val="nil"/>
            </w:tcBorders>
            <w:shd w:val="clear" w:color="auto" w:fill="auto"/>
            <w:hideMark/>
          </w:tcPr>
          <w:p w14:paraId="00EF4A92" w14:textId="77777777" w:rsidR="008D112D" w:rsidRPr="008D112D" w:rsidRDefault="008D112D" w:rsidP="005E089A">
            <w:pPr>
              <w:widowControl/>
              <w:spacing w:before="0" w:after="0"/>
              <w:ind w:left="90"/>
              <w:textAlignment w:val="baseline"/>
              <w:rPr>
                <w:rFonts w:eastAsia="Times New Roman"/>
                <w:lang w:eastAsia="en-AU"/>
              </w:rPr>
            </w:pPr>
            <w:r w:rsidRPr="008D112D">
              <w:rPr>
                <w:rFonts w:eastAsia="Times New Roman"/>
                <w:sz w:val="20"/>
                <w:szCs w:val="20"/>
                <w:lang w:eastAsia="en-AU"/>
              </w:rPr>
              <w:t>Chief Investment Officer </w:t>
            </w:r>
          </w:p>
        </w:tc>
        <w:tc>
          <w:tcPr>
            <w:tcW w:w="1710" w:type="dxa"/>
            <w:tcBorders>
              <w:top w:val="nil"/>
              <w:left w:val="nil"/>
              <w:bottom w:val="nil"/>
              <w:right w:val="nil"/>
            </w:tcBorders>
            <w:shd w:val="clear" w:color="auto" w:fill="auto"/>
            <w:hideMark/>
          </w:tcPr>
          <w:p w14:paraId="770C7863" w14:textId="567A19E5" w:rsidR="008D112D" w:rsidRPr="008D112D" w:rsidRDefault="008D112D" w:rsidP="005E089A">
            <w:pPr>
              <w:widowControl/>
              <w:spacing w:before="0" w:after="0"/>
              <w:jc w:val="center"/>
              <w:textAlignment w:val="baseline"/>
              <w:rPr>
                <w:rFonts w:eastAsia="Times New Roman"/>
                <w:lang w:eastAsia="en-AU"/>
              </w:rPr>
            </w:pPr>
            <w:r w:rsidRPr="008D112D">
              <w:rPr>
                <w:rFonts w:eastAsia="Times New Roman"/>
                <w:sz w:val="20"/>
                <w:szCs w:val="20"/>
                <w:lang w:eastAsia="en-AU"/>
              </w:rPr>
              <w:t>1</w:t>
            </w:r>
          </w:p>
        </w:tc>
        <w:tc>
          <w:tcPr>
            <w:tcW w:w="1620" w:type="dxa"/>
            <w:tcBorders>
              <w:top w:val="nil"/>
              <w:left w:val="nil"/>
              <w:bottom w:val="nil"/>
              <w:right w:val="nil"/>
            </w:tcBorders>
            <w:shd w:val="clear" w:color="auto" w:fill="auto"/>
            <w:hideMark/>
          </w:tcPr>
          <w:p w14:paraId="34735465" w14:textId="254038D7" w:rsidR="008D112D" w:rsidRPr="008D112D" w:rsidRDefault="008D112D" w:rsidP="005E089A">
            <w:pPr>
              <w:widowControl/>
              <w:spacing w:before="0" w:after="0"/>
              <w:jc w:val="center"/>
              <w:textAlignment w:val="baseline"/>
              <w:rPr>
                <w:rFonts w:eastAsia="Times New Roman"/>
                <w:lang w:eastAsia="en-AU"/>
              </w:rPr>
            </w:pPr>
            <w:r w:rsidRPr="008D112D">
              <w:rPr>
                <w:rFonts w:eastAsia="Times New Roman"/>
                <w:sz w:val="20"/>
                <w:szCs w:val="20"/>
                <w:lang w:eastAsia="en-AU"/>
              </w:rPr>
              <w:t>1</w:t>
            </w:r>
          </w:p>
        </w:tc>
      </w:tr>
      <w:tr w:rsidR="008D112D" w:rsidRPr="008D112D" w14:paraId="37530531" w14:textId="77777777" w:rsidTr="008D112D">
        <w:tc>
          <w:tcPr>
            <w:tcW w:w="2595" w:type="dxa"/>
            <w:tcBorders>
              <w:top w:val="nil"/>
              <w:left w:val="nil"/>
              <w:bottom w:val="nil"/>
              <w:right w:val="nil"/>
            </w:tcBorders>
            <w:shd w:val="clear" w:color="auto" w:fill="auto"/>
            <w:hideMark/>
          </w:tcPr>
          <w:p w14:paraId="19000D34" w14:textId="77777777" w:rsidR="008D112D" w:rsidRPr="008D112D" w:rsidRDefault="008D112D" w:rsidP="005E089A">
            <w:pPr>
              <w:widowControl/>
              <w:spacing w:before="0" w:after="0"/>
              <w:ind w:left="90"/>
              <w:textAlignment w:val="baseline"/>
              <w:rPr>
                <w:rFonts w:eastAsia="Times New Roman"/>
                <w:lang w:eastAsia="en-AU"/>
              </w:rPr>
            </w:pPr>
            <w:r w:rsidRPr="008D112D">
              <w:rPr>
                <w:rFonts w:eastAsia="Times New Roman"/>
                <w:sz w:val="20"/>
                <w:szCs w:val="20"/>
                <w:lang w:eastAsia="en-AU"/>
              </w:rPr>
              <w:t>Asset Allocation </w:t>
            </w:r>
          </w:p>
        </w:tc>
        <w:tc>
          <w:tcPr>
            <w:tcW w:w="1710" w:type="dxa"/>
            <w:tcBorders>
              <w:top w:val="nil"/>
              <w:left w:val="nil"/>
              <w:bottom w:val="nil"/>
              <w:right w:val="nil"/>
            </w:tcBorders>
            <w:shd w:val="clear" w:color="auto" w:fill="auto"/>
            <w:hideMark/>
          </w:tcPr>
          <w:p w14:paraId="320751BE" w14:textId="2BD150FF" w:rsidR="008D112D" w:rsidRPr="008D112D" w:rsidRDefault="008D112D" w:rsidP="005E089A">
            <w:pPr>
              <w:widowControl/>
              <w:spacing w:before="0" w:after="0"/>
              <w:jc w:val="center"/>
              <w:textAlignment w:val="baseline"/>
              <w:rPr>
                <w:rFonts w:eastAsia="Times New Roman"/>
                <w:lang w:eastAsia="en-AU"/>
              </w:rPr>
            </w:pPr>
            <w:r>
              <w:rPr>
                <w:rFonts w:eastAsia="Times New Roman"/>
                <w:sz w:val="20"/>
                <w:szCs w:val="20"/>
                <w:lang w:eastAsia="en-AU"/>
              </w:rPr>
              <w:t>5</w:t>
            </w:r>
          </w:p>
        </w:tc>
        <w:tc>
          <w:tcPr>
            <w:tcW w:w="1620" w:type="dxa"/>
            <w:tcBorders>
              <w:top w:val="nil"/>
              <w:left w:val="nil"/>
              <w:bottom w:val="nil"/>
              <w:right w:val="nil"/>
            </w:tcBorders>
            <w:shd w:val="clear" w:color="auto" w:fill="auto"/>
            <w:hideMark/>
          </w:tcPr>
          <w:p w14:paraId="5DD7B54C" w14:textId="181D05A7" w:rsidR="008D112D" w:rsidRPr="008D112D" w:rsidRDefault="008D112D" w:rsidP="005E089A">
            <w:pPr>
              <w:widowControl/>
              <w:spacing w:before="0" w:after="0"/>
              <w:jc w:val="center"/>
              <w:textAlignment w:val="baseline"/>
              <w:rPr>
                <w:rFonts w:eastAsia="Times New Roman"/>
                <w:lang w:eastAsia="en-AU"/>
              </w:rPr>
            </w:pPr>
            <w:r>
              <w:rPr>
                <w:rFonts w:eastAsia="Times New Roman"/>
                <w:sz w:val="20"/>
                <w:szCs w:val="20"/>
                <w:lang w:eastAsia="en-AU"/>
              </w:rPr>
              <w:t>3</w:t>
            </w:r>
          </w:p>
        </w:tc>
      </w:tr>
      <w:tr w:rsidR="008D112D" w:rsidRPr="008D112D" w14:paraId="53E206CB" w14:textId="77777777" w:rsidTr="008D112D">
        <w:tc>
          <w:tcPr>
            <w:tcW w:w="2595" w:type="dxa"/>
            <w:tcBorders>
              <w:top w:val="nil"/>
              <w:left w:val="nil"/>
              <w:bottom w:val="nil"/>
              <w:right w:val="nil"/>
            </w:tcBorders>
            <w:shd w:val="clear" w:color="auto" w:fill="auto"/>
            <w:hideMark/>
          </w:tcPr>
          <w:p w14:paraId="06FB07D0" w14:textId="77777777" w:rsidR="008D112D" w:rsidRPr="008D112D" w:rsidRDefault="008D112D" w:rsidP="005E089A">
            <w:pPr>
              <w:widowControl/>
              <w:spacing w:before="0" w:after="0"/>
              <w:ind w:left="90"/>
              <w:textAlignment w:val="baseline"/>
              <w:rPr>
                <w:rFonts w:eastAsia="Times New Roman"/>
                <w:lang w:eastAsia="en-AU"/>
              </w:rPr>
            </w:pPr>
            <w:r w:rsidRPr="008D112D">
              <w:rPr>
                <w:rFonts w:eastAsia="Times New Roman"/>
                <w:sz w:val="20"/>
                <w:szCs w:val="20"/>
                <w:lang w:eastAsia="en-AU"/>
              </w:rPr>
              <w:t>Active Australian Equities </w:t>
            </w:r>
          </w:p>
        </w:tc>
        <w:tc>
          <w:tcPr>
            <w:tcW w:w="1710" w:type="dxa"/>
            <w:tcBorders>
              <w:top w:val="nil"/>
              <w:left w:val="nil"/>
              <w:bottom w:val="nil"/>
              <w:right w:val="nil"/>
            </w:tcBorders>
            <w:shd w:val="clear" w:color="auto" w:fill="auto"/>
            <w:hideMark/>
          </w:tcPr>
          <w:p w14:paraId="67677653" w14:textId="2C6EA84B" w:rsidR="008D112D" w:rsidRPr="008D112D" w:rsidRDefault="008D112D" w:rsidP="005E089A">
            <w:pPr>
              <w:widowControl/>
              <w:spacing w:before="0" w:after="0"/>
              <w:jc w:val="center"/>
              <w:textAlignment w:val="baseline"/>
              <w:rPr>
                <w:rFonts w:eastAsia="Times New Roman"/>
                <w:lang w:eastAsia="en-AU"/>
              </w:rPr>
            </w:pPr>
            <w:r w:rsidRPr="008D112D">
              <w:rPr>
                <w:rFonts w:eastAsia="Times New Roman"/>
                <w:sz w:val="20"/>
                <w:szCs w:val="20"/>
                <w:lang w:eastAsia="en-AU"/>
              </w:rPr>
              <w:t>8</w:t>
            </w:r>
          </w:p>
        </w:tc>
        <w:tc>
          <w:tcPr>
            <w:tcW w:w="1620" w:type="dxa"/>
            <w:tcBorders>
              <w:top w:val="nil"/>
              <w:left w:val="nil"/>
              <w:bottom w:val="nil"/>
              <w:right w:val="nil"/>
            </w:tcBorders>
            <w:shd w:val="clear" w:color="auto" w:fill="auto"/>
            <w:hideMark/>
          </w:tcPr>
          <w:p w14:paraId="07333E19" w14:textId="2C3B09CF" w:rsidR="008D112D" w:rsidRPr="008D112D" w:rsidRDefault="008D112D" w:rsidP="005E089A">
            <w:pPr>
              <w:widowControl/>
              <w:spacing w:before="0" w:after="0"/>
              <w:jc w:val="center"/>
              <w:textAlignment w:val="baseline"/>
              <w:rPr>
                <w:rFonts w:eastAsia="Times New Roman"/>
                <w:lang w:eastAsia="en-AU"/>
              </w:rPr>
            </w:pPr>
            <w:r>
              <w:rPr>
                <w:rFonts w:eastAsia="Times New Roman"/>
                <w:sz w:val="20"/>
                <w:szCs w:val="20"/>
                <w:lang w:eastAsia="en-AU"/>
              </w:rPr>
              <w:t>9</w:t>
            </w:r>
          </w:p>
        </w:tc>
      </w:tr>
      <w:tr w:rsidR="008D112D" w:rsidRPr="008D112D" w14:paraId="33919C8E" w14:textId="77777777" w:rsidTr="008D112D">
        <w:tc>
          <w:tcPr>
            <w:tcW w:w="2595" w:type="dxa"/>
            <w:tcBorders>
              <w:top w:val="nil"/>
              <w:left w:val="nil"/>
              <w:bottom w:val="nil"/>
              <w:right w:val="nil"/>
            </w:tcBorders>
            <w:shd w:val="clear" w:color="auto" w:fill="auto"/>
            <w:hideMark/>
          </w:tcPr>
          <w:p w14:paraId="212B7F0D" w14:textId="77777777" w:rsidR="008D112D" w:rsidRPr="008D112D" w:rsidRDefault="008D112D" w:rsidP="005E089A">
            <w:pPr>
              <w:widowControl/>
              <w:spacing w:before="0" w:after="0"/>
              <w:ind w:left="90"/>
              <w:textAlignment w:val="baseline"/>
              <w:rPr>
                <w:rFonts w:eastAsia="Times New Roman"/>
                <w:lang w:eastAsia="en-AU"/>
              </w:rPr>
            </w:pPr>
            <w:r w:rsidRPr="008D112D">
              <w:rPr>
                <w:rFonts w:eastAsia="Times New Roman"/>
                <w:sz w:val="20"/>
                <w:szCs w:val="20"/>
                <w:lang w:eastAsia="en-AU"/>
              </w:rPr>
              <w:t>Risk and Compliance </w:t>
            </w:r>
          </w:p>
        </w:tc>
        <w:tc>
          <w:tcPr>
            <w:tcW w:w="1710" w:type="dxa"/>
            <w:tcBorders>
              <w:top w:val="nil"/>
              <w:left w:val="nil"/>
              <w:bottom w:val="nil"/>
              <w:right w:val="nil"/>
            </w:tcBorders>
            <w:shd w:val="clear" w:color="auto" w:fill="auto"/>
            <w:hideMark/>
          </w:tcPr>
          <w:p w14:paraId="1CB5DF61" w14:textId="6FF40564" w:rsidR="008D112D" w:rsidRPr="008D112D" w:rsidRDefault="008D112D" w:rsidP="005E089A">
            <w:pPr>
              <w:widowControl/>
              <w:spacing w:before="0" w:after="0"/>
              <w:jc w:val="center"/>
              <w:textAlignment w:val="baseline"/>
              <w:rPr>
                <w:rFonts w:eastAsia="Times New Roman"/>
                <w:lang w:eastAsia="en-AU"/>
              </w:rPr>
            </w:pPr>
            <w:r>
              <w:rPr>
                <w:rFonts w:eastAsia="Times New Roman"/>
                <w:sz w:val="20"/>
                <w:szCs w:val="20"/>
                <w:lang w:eastAsia="en-AU"/>
              </w:rPr>
              <w:t>2.5</w:t>
            </w:r>
          </w:p>
        </w:tc>
        <w:tc>
          <w:tcPr>
            <w:tcW w:w="1620" w:type="dxa"/>
            <w:tcBorders>
              <w:top w:val="nil"/>
              <w:left w:val="nil"/>
              <w:bottom w:val="nil"/>
              <w:right w:val="nil"/>
            </w:tcBorders>
            <w:shd w:val="clear" w:color="auto" w:fill="auto"/>
            <w:hideMark/>
          </w:tcPr>
          <w:p w14:paraId="084754EC" w14:textId="7F7FBA32" w:rsidR="008D112D" w:rsidRPr="008D112D" w:rsidRDefault="008D112D" w:rsidP="005E089A">
            <w:pPr>
              <w:widowControl/>
              <w:spacing w:before="0" w:after="0"/>
              <w:jc w:val="center"/>
              <w:textAlignment w:val="baseline"/>
              <w:rPr>
                <w:rFonts w:eastAsia="Times New Roman"/>
                <w:lang w:eastAsia="en-AU"/>
              </w:rPr>
            </w:pPr>
            <w:r>
              <w:rPr>
                <w:rFonts w:eastAsia="Times New Roman"/>
                <w:sz w:val="20"/>
                <w:szCs w:val="20"/>
                <w:lang w:eastAsia="en-AU"/>
              </w:rPr>
              <w:t>3</w:t>
            </w:r>
            <w:r w:rsidRPr="008D112D">
              <w:rPr>
                <w:rFonts w:eastAsia="Times New Roman"/>
                <w:sz w:val="20"/>
                <w:szCs w:val="20"/>
                <w:lang w:eastAsia="en-AU"/>
              </w:rPr>
              <w:t>.5</w:t>
            </w:r>
          </w:p>
        </w:tc>
      </w:tr>
      <w:tr w:rsidR="008D112D" w:rsidRPr="008D112D" w14:paraId="288D2BD1" w14:textId="77777777" w:rsidTr="008D112D">
        <w:trPr>
          <w:trHeight w:val="45"/>
        </w:trPr>
        <w:tc>
          <w:tcPr>
            <w:tcW w:w="2595" w:type="dxa"/>
            <w:tcBorders>
              <w:top w:val="nil"/>
              <w:left w:val="nil"/>
              <w:bottom w:val="nil"/>
              <w:right w:val="nil"/>
            </w:tcBorders>
            <w:shd w:val="clear" w:color="auto" w:fill="auto"/>
            <w:hideMark/>
          </w:tcPr>
          <w:p w14:paraId="742FBD9D" w14:textId="77777777" w:rsidR="008D112D" w:rsidRPr="008D112D" w:rsidRDefault="008D112D" w:rsidP="005E089A">
            <w:pPr>
              <w:widowControl/>
              <w:spacing w:before="0" w:after="0"/>
              <w:ind w:left="90"/>
              <w:textAlignment w:val="baseline"/>
              <w:rPr>
                <w:rFonts w:eastAsia="Times New Roman"/>
                <w:lang w:eastAsia="en-AU"/>
              </w:rPr>
            </w:pPr>
            <w:r w:rsidRPr="008D112D">
              <w:rPr>
                <w:rFonts w:eastAsia="Times New Roman"/>
                <w:sz w:val="20"/>
                <w:szCs w:val="20"/>
                <w:lang w:eastAsia="en-AU"/>
              </w:rPr>
              <w:t>Relationship </w:t>
            </w:r>
          </w:p>
        </w:tc>
        <w:tc>
          <w:tcPr>
            <w:tcW w:w="1710" w:type="dxa"/>
            <w:tcBorders>
              <w:top w:val="nil"/>
              <w:left w:val="nil"/>
              <w:bottom w:val="nil"/>
              <w:right w:val="nil"/>
            </w:tcBorders>
            <w:shd w:val="clear" w:color="auto" w:fill="auto"/>
            <w:hideMark/>
          </w:tcPr>
          <w:p w14:paraId="668A1B8E" w14:textId="62170D84" w:rsidR="008D112D" w:rsidRPr="008D112D" w:rsidRDefault="008D112D" w:rsidP="005E089A">
            <w:pPr>
              <w:widowControl/>
              <w:spacing w:before="0" w:after="0"/>
              <w:jc w:val="center"/>
              <w:textAlignment w:val="baseline"/>
              <w:rPr>
                <w:rFonts w:eastAsia="Times New Roman"/>
                <w:lang w:eastAsia="en-AU"/>
              </w:rPr>
            </w:pPr>
            <w:r>
              <w:rPr>
                <w:rFonts w:eastAsia="Times New Roman"/>
                <w:sz w:val="20"/>
                <w:szCs w:val="20"/>
                <w:lang w:eastAsia="en-AU"/>
              </w:rPr>
              <w:t>1</w:t>
            </w:r>
            <w:r w:rsidRPr="008D112D">
              <w:rPr>
                <w:rFonts w:eastAsia="Times New Roman"/>
                <w:sz w:val="20"/>
                <w:szCs w:val="20"/>
                <w:lang w:eastAsia="en-AU"/>
              </w:rPr>
              <w:t>.5</w:t>
            </w:r>
          </w:p>
        </w:tc>
        <w:tc>
          <w:tcPr>
            <w:tcW w:w="1620" w:type="dxa"/>
            <w:tcBorders>
              <w:top w:val="nil"/>
              <w:left w:val="nil"/>
              <w:bottom w:val="nil"/>
              <w:right w:val="nil"/>
            </w:tcBorders>
            <w:shd w:val="clear" w:color="auto" w:fill="auto"/>
            <w:hideMark/>
          </w:tcPr>
          <w:p w14:paraId="5B500999" w14:textId="296E7CD0" w:rsidR="008D112D" w:rsidRPr="008D112D" w:rsidRDefault="008D112D" w:rsidP="005E089A">
            <w:pPr>
              <w:widowControl/>
              <w:spacing w:before="0" w:after="0"/>
              <w:jc w:val="center"/>
              <w:textAlignment w:val="baseline"/>
              <w:rPr>
                <w:rFonts w:eastAsia="Times New Roman"/>
                <w:lang w:eastAsia="en-AU"/>
              </w:rPr>
            </w:pPr>
            <w:r>
              <w:rPr>
                <w:rFonts w:eastAsia="Times New Roman"/>
                <w:sz w:val="20"/>
                <w:szCs w:val="20"/>
                <w:lang w:eastAsia="en-AU"/>
              </w:rPr>
              <w:t>2</w:t>
            </w:r>
            <w:r w:rsidRPr="008D112D">
              <w:rPr>
                <w:rFonts w:eastAsia="Times New Roman"/>
                <w:sz w:val="20"/>
                <w:szCs w:val="20"/>
                <w:lang w:eastAsia="en-AU"/>
              </w:rPr>
              <w:t>.5</w:t>
            </w:r>
          </w:p>
        </w:tc>
      </w:tr>
      <w:tr w:rsidR="008D112D" w:rsidRPr="008D112D" w14:paraId="383B667B" w14:textId="77777777" w:rsidTr="008D112D">
        <w:tc>
          <w:tcPr>
            <w:tcW w:w="2595" w:type="dxa"/>
            <w:tcBorders>
              <w:top w:val="nil"/>
              <w:left w:val="nil"/>
              <w:bottom w:val="nil"/>
              <w:right w:val="nil"/>
            </w:tcBorders>
            <w:shd w:val="clear" w:color="auto" w:fill="auto"/>
            <w:hideMark/>
          </w:tcPr>
          <w:p w14:paraId="4AD6C6B8" w14:textId="77777777" w:rsidR="008D112D" w:rsidRPr="008D112D" w:rsidRDefault="008D112D" w:rsidP="005E089A">
            <w:pPr>
              <w:widowControl/>
              <w:spacing w:before="0" w:after="0"/>
              <w:ind w:left="90"/>
              <w:textAlignment w:val="baseline"/>
              <w:rPr>
                <w:rFonts w:eastAsia="Times New Roman"/>
                <w:lang w:eastAsia="en-AU"/>
              </w:rPr>
            </w:pPr>
            <w:r w:rsidRPr="008D112D">
              <w:rPr>
                <w:rFonts w:eastAsia="Times New Roman"/>
                <w:i/>
                <w:iCs/>
                <w:sz w:val="20"/>
                <w:szCs w:val="20"/>
                <w:lang w:eastAsia="en-AU"/>
              </w:rPr>
              <w:t>Total</w:t>
            </w:r>
            <w:r w:rsidRPr="008D112D">
              <w:rPr>
                <w:rFonts w:eastAsia="Times New Roman"/>
                <w:sz w:val="20"/>
                <w:szCs w:val="20"/>
                <w:lang w:eastAsia="en-AU"/>
              </w:rPr>
              <w:t> </w:t>
            </w:r>
          </w:p>
        </w:tc>
        <w:tc>
          <w:tcPr>
            <w:tcW w:w="1710" w:type="dxa"/>
            <w:tcBorders>
              <w:top w:val="nil"/>
              <w:left w:val="nil"/>
              <w:bottom w:val="nil"/>
              <w:right w:val="nil"/>
            </w:tcBorders>
            <w:shd w:val="clear" w:color="auto" w:fill="auto"/>
            <w:hideMark/>
          </w:tcPr>
          <w:p w14:paraId="2C9259DC" w14:textId="0EB6F4B5" w:rsidR="008D112D" w:rsidRPr="008D112D" w:rsidRDefault="008D112D" w:rsidP="005E089A">
            <w:pPr>
              <w:widowControl/>
              <w:spacing w:before="0" w:after="0"/>
              <w:jc w:val="center"/>
              <w:textAlignment w:val="baseline"/>
              <w:rPr>
                <w:rFonts w:eastAsia="Times New Roman"/>
                <w:lang w:eastAsia="en-AU"/>
              </w:rPr>
            </w:pPr>
            <w:r>
              <w:rPr>
                <w:rFonts w:eastAsia="Times New Roman"/>
                <w:i/>
                <w:iCs/>
                <w:sz w:val="20"/>
                <w:szCs w:val="20"/>
                <w:lang w:eastAsia="en-AU"/>
              </w:rPr>
              <w:t>18</w:t>
            </w:r>
          </w:p>
        </w:tc>
        <w:tc>
          <w:tcPr>
            <w:tcW w:w="1620" w:type="dxa"/>
            <w:tcBorders>
              <w:top w:val="nil"/>
              <w:left w:val="nil"/>
              <w:bottom w:val="nil"/>
              <w:right w:val="nil"/>
            </w:tcBorders>
            <w:shd w:val="clear" w:color="auto" w:fill="auto"/>
            <w:hideMark/>
          </w:tcPr>
          <w:p w14:paraId="058E1EAC" w14:textId="1BD67FA0" w:rsidR="008D112D" w:rsidRPr="008D112D" w:rsidRDefault="008D112D" w:rsidP="005E089A">
            <w:pPr>
              <w:widowControl/>
              <w:spacing w:before="0" w:after="0"/>
              <w:jc w:val="center"/>
              <w:textAlignment w:val="baseline"/>
              <w:rPr>
                <w:rFonts w:eastAsia="Times New Roman"/>
                <w:lang w:eastAsia="en-AU"/>
              </w:rPr>
            </w:pPr>
            <w:r w:rsidRPr="008D112D">
              <w:rPr>
                <w:rFonts w:eastAsia="Times New Roman"/>
                <w:i/>
                <w:iCs/>
                <w:sz w:val="20"/>
                <w:szCs w:val="20"/>
                <w:lang w:eastAsia="en-AU"/>
              </w:rPr>
              <w:t>19</w:t>
            </w:r>
          </w:p>
        </w:tc>
      </w:tr>
    </w:tbl>
    <w:p w14:paraId="59D746C9" w14:textId="77777777" w:rsidR="008D112D" w:rsidRPr="008D112D" w:rsidRDefault="008D112D" w:rsidP="005E089A">
      <w:pPr>
        <w:widowControl/>
        <w:spacing w:after="0"/>
        <w:textAlignment w:val="baseline"/>
        <w:rPr>
          <w:rFonts w:eastAsia="Times New Roman"/>
          <w:sz w:val="20"/>
          <w:szCs w:val="20"/>
          <w:lang w:eastAsia="en-AU"/>
        </w:rPr>
      </w:pPr>
      <w:r w:rsidRPr="008D112D">
        <w:rPr>
          <w:rFonts w:eastAsia="Times New Roman"/>
          <w:i/>
          <w:iCs/>
          <w:sz w:val="20"/>
          <w:szCs w:val="20"/>
          <w:lang w:eastAsia="en-AU"/>
        </w:rPr>
        <w:t>SMF meetings </w:t>
      </w:r>
      <w:r w:rsidRPr="008D112D">
        <w:rPr>
          <w:rFonts w:eastAsia="Times New Roman"/>
          <w:sz w:val="20"/>
          <w:szCs w:val="20"/>
          <w:lang w:eastAsia="en-AU"/>
        </w:rPr>
        <w:t> </w:t>
      </w:r>
    </w:p>
    <w:p w14:paraId="32C37F83" w14:textId="4A6723C5" w:rsidR="008D112D" w:rsidRPr="005E089A" w:rsidRDefault="008346FE" w:rsidP="005E089A">
      <w:pPr>
        <w:pStyle w:val="ListParagraph"/>
        <w:widowControl/>
        <w:numPr>
          <w:ilvl w:val="0"/>
          <w:numId w:val="14"/>
        </w:numPr>
        <w:spacing w:before="60" w:after="60"/>
        <w:ind w:left="216" w:hanging="216"/>
        <w:contextualSpacing w:val="0"/>
        <w:textAlignment w:val="baseline"/>
        <w:rPr>
          <w:rFonts w:eastAsia="Times New Roman"/>
          <w:sz w:val="20"/>
          <w:szCs w:val="20"/>
          <w:lang w:eastAsia="en-AU"/>
        </w:rPr>
      </w:pPr>
      <w:r>
        <w:rPr>
          <w:rFonts w:eastAsia="Times New Roman"/>
          <w:sz w:val="20"/>
          <w:szCs w:val="20"/>
          <w:lang w:eastAsia="en-AU"/>
        </w:rPr>
        <w:t>Nine</w:t>
      </w:r>
      <w:r w:rsidR="008D112D" w:rsidRPr="005E089A">
        <w:rPr>
          <w:rFonts w:eastAsia="Times New Roman"/>
          <w:sz w:val="20"/>
          <w:szCs w:val="20"/>
          <w:lang w:eastAsia="en-AU"/>
        </w:rPr>
        <w:t> weekly meetings were held throughout the semester on </w:t>
      </w:r>
      <w:r w:rsidR="004A253E" w:rsidRPr="005E089A">
        <w:rPr>
          <w:rFonts w:eastAsia="Times New Roman"/>
          <w:sz w:val="20"/>
          <w:szCs w:val="20"/>
          <w:lang w:eastAsia="en-AU"/>
        </w:rPr>
        <w:t>Mondays, 10 am</w:t>
      </w:r>
      <w:r w:rsidR="00AC7520">
        <w:rPr>
          <w:rFonts w:eastAsia="Times New Roman"/>
          <w:sz w:val="20"/>
          <w:szCs w:val="20"/>
          <w:lang w:eastAsia="en-AU"/>
        </w:rPr>
        <w:t xml:space="preserve"> </w:t>
      </w:r>
      <w:r w:rsidR="004A253E" w:rsidRPr="005E089A">
        <w:rPr>
          <w:rFonts w:eastAsia="Times New Roman"/>
          <w:sz w:val="20"/>
          <w:szCs w:val="20"/>
          <w:lang w:eastAsia="en-AU"/>
        </w:rPr>
        <w:t>- 1 pm</w:t>
      </w:r>
      <w:r w:rsidR="008D112D" w:rsidRPr="005E089A">
        <w:rPr>
          <w:rFonts w:eastAsia="Times New Roman"/>
          <w:sz w:val="20"/>
          <w:szCs w:val="20"/>
          <w:lang w:eastAsia="en-AU"/>
        </w:rPr>
        <w:t>, </w:t>
      </w:r>
      <w:r w:rsidR="004A253E" w:rsidRPr="005E089A">
        <w:rPr>
          <w:rFonts w:eastAsia="Times New Roman"/>
          <w:sz w:val="20"/>
          <w:szCs w:val="20"/>
          <w:lang w:eastAsia="en-AU"/>
        </w:rPr>
        <w:t>ARNDT TR1</w:t>
      </w:r>
      <w:r w:rsidR="008D112D" w:rsidRPr="005E089A">
        <w:rPr>
          <w:rFonts w:eastAsia="Times New Roman"/>
          <w:sz w:val="20"/>
          <w:szCs w:val="20"/>
          <w:lang w:eastAsia="en-AU"/>
        </w:rPr>
        <w:t>. </w:t>
      </w:r>
    </w:p>
    <w:p w14:paraId="10FF8D0C" w14:textId="0F3A0EEF" w:rsidR="008D112D" w:rsidRPr="005E089A" w:rsidRDefault="008D112D" w:rsidP="005E089A">
      <w:pPr>
        <w:pStyle w:val="ListParagraph"/>
        <w:widowControl/>
        <w:numPr>
          <w:ilvl w:val="0"/>
          <w:numId w:val="14"/>
        </w:numPr>
        <w:spacing w:before="60" w:after="60"/>
        <w:ind w:left="216" w:hanging="216"/>
        <w:contextualSpacing w:val="0"/>
        <w:textAlignment w:val="baseline"/>
        <w:rPr>
          <w:rFonts w:eastAsia="Times New Roman"/>
          <w:sz w:val="20"/>
          <w:szCs w:val="20"/>
          <w:lang w:eastAsia="en-AU"/>
        </w:rPr>
      </w:pPr>
      <w:r w:rsidRPr="005E089A">
        <w:rPr>
          <w:rFonts w:eastAsia="Times New Roman"/>
          <w:sz w:val="20"/>
          <w:szCs w:val="20"/>
          <w:lang w:eastAsia="en-AU"/>
        </w:rPr>
        <w:t>The SMF celebrated its achievements and welcomed new members at an </w:t>
      </w:r>
      <w:r w:rsidR="008346FE">
        <w:rPr>
          <w:rFonts w:eastAsia="Times New Roman"/>
          <w:sz w:val="20"/>
          <w:szCs w:val="20"/>
          <w:lang w:eastAsia="en-AU"/>
        </w:rPr>
        <w:t>e</w:t>
      </w:r>
      <w:r w:rsidRPr="005E089A">
        <w:rPr>
          <w:rFonts w:eastAsia="Times New Roman"/>
          <w:sz w:val="20"/>
          <w:szCs w:val="20"/>
          <w:lang w:eastAsia="en-AU"/>
        </w:rPr>
        <w:t>nd-of-semester</w:t>
      </w:r>
      <w:r w:rsidR="004A253E" w:rsidRPr="005E089A">
        <w:rPr>
          <w:rFonts w:eastAsia="Times New Roman"/>
          <w:sz w:val="20"/>
          <w:szCs w:val="20"/>
          <w:lang w:eastAsia="en-AU"/>
        </w:rPr>
        <w:t xml:space="preserve"> get-together on 3 June 2019</w:t>
      </w:r>
      <w:r w:rsidRPr="005E089A">
        <w:rPr>
          <w:rFonts w:eastAsia="Times New Roman"/>
          <w:sz w:val="20"/>
          <w:szCs w:val="20"/>
          <w:lang w:eastAsia="en-AU"/>
        </w:rPr>
        <w:t>.  </w:t>
      </w:r>
    </w:p>
    <w:p w14:paraId="36D2D1A3" w14:textId="41E5219B" w:rsidR="008D112D" w:rsidRPr="008D112D" w:rsidRDefault="008D112D" w:rsidP="005E089A">
      <w:pPr>
        <w:widowControl/>
        <w:spacing w:after="0"/>
        <w:textAlignment w:val="baseline"/>
        <w:rPr>
          <w:rFonts w:eastAsia="Times New Roman"/>
          <w:sz w:val="20"/>
          <w:szCs w:val="20"/>
          <w:lang w:eastAsia="en-AU"/>
        </w:rPr>
      </w:pPr>
      <w:r w:rsidRPr="008D112D">
        <w:rPr>
          <w:rFonts w:eastAsia="Times New Roman"/>
          <w:i/>
          <w:iCs/>
          <w:sz w:val="20"/>
          <w:szCs w:val="20"/>
          <w:lang w:eastAsia="en-AU"/>
        </w:rPr>
        <w:t>SMF Investment Advisory Committee (IAC) meetings</w:t>
      </w:r>
      <w:r w:rsidR="00D7134D">
        <w:rPr>
          <w:rFonts w:eastAsia="Times New Roman"/>
          <w:i/>
          <w:iCs/>
          <w:sz w:val="20"/>
          <w:szCs w:val="20"/>
          <w:lang w:eastAsia="en-AU"/>
        </w:rPr>
        <w:t xml:space="preserve"> and subsequent transactions</w:t>
      </w:r>
      <w:r w:rsidRPr="008D112D">
        <w:rPr>
          <w:rFonts w:eastAsia="Times New Roman"/>
          <w:sz w:val="20"/>
          <w:szCs w:val="20"/>
          <w:lang w:eastAsia="en-AU"/>
        </w:rPr>
        <w:t> </w:t>
      </w:r>
    </w:p>
    <w:p w14:paraId="50C1309B" w14:textId="70C2BE95" w:rsidR="008D112D" w:rsidRPr="008D112D" w:rsidRDefault="008D112D" w:rsidP="005E089A">
      <w:pPr>
        <w:widowControl/>
        <w:numPr>
          <w:ilvl w:val="0"/>
          <w:numId w:val="5"/>
        </w:numPr>
        <w:tabs>
          <w:tab w:val="clear" w:pos="720"/>
        </w:tabs>
        <w:spacing w:before="60" w:after="60"/>
        <w:ind w:left="216" w:hanging="216"/>
        <w:textAlignment w:val="baseline"/>
        <w:rPr>
          <w:rFonts w:eastAsia="Times New Roman"/>
          <w:sz w:val="20"/>
          <w:szCs w:val="20"/>
          <w:lang w:eastAsia="en-AU"/>
        </w:rPr>
      </w:pPr>
      <w:r w:rsidRPr="008D112D">
        <w:rPr>
          <w:rFonts w:eastAsia="Times New Roman"/>
          <w:sz w:val="20"/>
          <w:szCs w:val="20"/>
          <w:lang w:eastAsia="en-AU"/>
        </w:rPr>
        <w:t>Two IAC meetings occurred during the semester.  </w:t>
      </w:r>
    </w:p>
    <w:p w14:paraId="1E7294B6" w14:textId="70AE827A" w:rsidR="008D112D" w:rsidRPr="008D112D" w:rsidRDefault="008D112D" w:rsidP="005E089A">
      <w:pPr>
        <w:widowControl/>
        <w:numPr>
          <w:ilvl w:val="0"/>
          <w:numId w:val="6"/>
        </w:numPr>
        <w:tabs>
          <w:tab w:val="clear" w:pos="720"/>
        </w:tabs>
        <w:spacing w:before="60" w:after="60"/>
        <w:ind w:left="216" w:hanging="216"/>
        <w:textAlignment w:val="baseline"/>
        <w:rPr>
          <w:rFonts w:eastAsia="Times New Roman"/>
          <w:sz w:val="20"/>
          <w:szCs w:val="20"/>
          <w:lang w:eastAsia="en-AU"/>
        </w:rPr>
      </w:pPr>
      <w:r w:rsidRPr="008D112D">
        <w:rPr>
          <w:rFonts w:eastAsia="Times New Roman"/>
          <w:sz w:val="20"/>
          <w:szCs w:val="20"/>
          <w:lang w:eastAsia="en-AU"/>
        </w:rPr>
        <w:t>The first IAC meeti</w:t>
      </w:r>
      <w:r w:rsidR="004A253E">
        <w:rPr>
          <w:rFonts w:eastAsia="Times New Roman"/>
          <w:sz w:val="20"/>
          <w:szCs w:val="20"/>
          <w:lang w:eastAsia="en-AU"/>
        </w:rPr>
        <w:t>ng was held on 3 May 2019</w:t>
      </w:r>
      <w:r w:rsidR="00D7134D">
        <w:rPr>
          <w:rFonts w:eastAsia="Times New Roman"/>
          <w:sz w:val="20"/>
          <w:szCs w:val="20"/>
          <w:lang w:eastAsia="en-AU"/>
        </w:rPr>
        <w:t>. T</w:t>
      </w:r>
      <w:r w:rsidR="004A253E">
        <w:rPr>
          <w:rFonts w:eastAsia="Times New Roman"/>
          <w:sz w:val="20"/>
          <w:szCs w:val="20"/>
          <w:lang w:eastAsia="en-AU"/>
        </w:rPr>
        <w:t>he AAE team propose</w:t>
      </w:r>
      <w:r w:rsidR="00D7134D">
        <w:rPr>
          <w:rFonts w:eastAsia="Times New Roman"/>
          <w:sz w:val="20"/>
          <w:szCs w:val="20"/>
          <w:lang w:eastAsia="en-AU"/>
        </w:rPr>
        <w:t>d</w:t>
      </w:r>
      <w:r w:rsidR="004A253E">
        <w:rPr>
          <w:rFonts w:eastAsia="Times New Roman"/>
          <w:sz w:val="20"/>
          <w:szCs w:val="20"/>
          <w:lang w:eastAsia="en-AU"/>
        </w:rPr>
        <w:t xml:space="preserve"> the addition of Inghams </w:t>
      </w:r>
      <w:r w:rsidR="00D7134D">
        <w:rPr>
          <w:rFonts w:eastAsia="Times New Roman"/>
          <w:sz w:val="20"/>
          <w:szCs w:val="20"/>
          <w:lang w:eastAsia="en-AU"/>
        </w:rPr>
        <w:t>Group at a 10% target weigh</w:t>
      </w:r>
      <w:r w:rsidR="00AC7520">
        <w:rPr>
          <w:rFonts w:eastAsia="Times New Roman"/>
          <w:sz w:val="20"/>
          <w:szCs w:val="20"/>
          <w:lang w:eastAsia="en-AU"/>
        </w:rPr>
        <w:t>t</w:t>
      </w:r>
      <w:r w:rsidR="00D7134D">
        <w:rPr>
          <w:rFonts w:eastAsia="Times New Roman"/>
          <w:sz w:val="20"/>
          <w:szCs w:val="20"/>
          <w:lang w:eastAsia="en-AU"/>
        </w:rPr>
        <w:t xml:space="preserve"> within the AAE portfolio funded via a reduction of the iShares Core </w:t>
      </w:r>
      <w:r w:rsidR="00D7134D" w:rsidRPr="008D112D">
        <w:rPr>
          <w:rFonts w:eastAsia="Times New Roman"/>
          <w:sz w:val="20"/>
          <w:szCs w:val="20"/>
          <w:lang w:eastAsia="en-AU"/>
        </w:rPr>
        <w:t>S&amp;P/ASX200 ETF</w:t>
      </w:r>
      <w:r w:rsidR="00D7134D">
        <w:rPr>
          <w:rFonts w:eastAsia="Times New Roman"/>
          <w:sz w:val="20"/>
          <w:szCs w:val="20"/>
          <w:lang w:eastAsia="en-AU"/>
        </w:rPr>
        <w:t xml:space="preserve">, </w:t>
      </w:r>
      <w:r w:rsidR="004A253E">
        <w:rPr>
          <w:rFonts w:eastAsia="Times New Roman"/>
          <w:sz w:val="20"/>
          <w:szCs w:val="20"/>
          <w:lang w:eastAsia="en-AU"/>
        </w:rPr>
        <w:t xml:space="preserve">and a reduced </w:t>
      </w:r>
      <w:r w:rsidR="00D7134D">
        <w:rPr>
          <w:rFonts w:eastAsia="Times New Roman"/>
          <w:sz w:val="20"/>
          <w:szCs w:val="20"/>
          <w:lang w:eastAsia="en-AU"/>
        </w:rPr>
        <w:t xml:space="preserve">target </w:t>
      </w:r>
      <w:r w:rsidR="004A253E">
        <w:rPr>
          <w:rFonts w:eastAsia="Times New Roman"/>
          <w:sz w:val="20"/>
          <w:szCs w:val="20"/>
          <w:lang w:eastAsia="en-AU"/>
        </w:rPr>
        <w:t>weigh</w:t>
      </w:r>
      <w:r w:rsidR="00AC7520">
        <w:rPr>
          <w:rFonts w:eastAsia="Times New Roman"/>
          <w:sz w:val="20"/>
          <w:szCs w:val="20"/>
          <w:lang w:eastAsia="en-AU"/>
        </w:rPr>
        <w:t>t</w:t>
      </w:r>
      <w:r w:rsidR="004A253E">
        <w:rPr>
          <w:rFonts w:eastAsia="Times New Roman"/>
          <w:sz w:val="20"/>
          <w:szCs w:val="20"/>
          <w:lang w:eastAsia="en-AU"/>
        </w:rPr>
        <w:t xml:space="preserve"> in Bingo</w:t>
      </w:r>
      <w:r w:rsidR="00D7134D">
        <w:rPr>
          <w:rFonts w:eastAsia="Times New Roman"/>
          <w:sz w:val="20"/>
          <w:szCs w:val="20"/>
          <w:lang w:eastAsia="en-AU"/>
        </w:rPr>
        <w:t xml:space="preserve"> from 10% to 6%. </w:t>
      </w:r>
      <w:r w:rsidR="00821193">
        <w:rPr>
          <w:rFonts w:eastAsia="Times New Roman"/>
          <w:sz w:val="20"/>
          <w:szCs w:val="20"/>
          <w:lang w:eastAsia="en-AU"/>
        </w:rPr>
        <w:t xml:space="preserve">The IAC endorsed both proposals. The </w:t>
      </w:r>
      <w:r w:rsidR="00D7134D">
        <w:rPr>
          <w:rFonts w:eastAsia="Times New Roman"/>
          <w:sz w:val="20"/>
          <w:szCs w:val="20"/>
          <w:lang w:eastAsia="en-AU"/>
        </w:rPr>
        <w:t xml:space="preserve">related </w:t>
      </w:r>
      <w:r w:rsidR="00821193">
        <w:rPr>
          <w:rFonts w:eastAsia="Times New Roman"/>
          <w:sz w:val="20"/>
          <w:szCs w:val="20"/>
          <w:lang w:eastAsia="en-AU"/>
        </w:rPr>
        <w:t>transactions were completed on 6 May 2019</w:t>
      </w:r>
      <w:r w:rsidR="00D7134D">
        <w:rPr>
          <w:rFonts w:eastAsia="Times New Roman"/>
          <w:sz w:val="20"/>
          <w:szCs w:val="20"/>
          <w:lang w:eastAsia="en-AU"/>
        </w:rPr>
        <w:t>; with the Inghams position implemented at a 6% weight due to SRI constraints.</w:t>
      </w:r>
      <w:r w:rsidR="00821193">
        <w:rPr>
          <w:rFonts w:eastAsia="Times New Roman"/>
          <w:sz w:val="20"/>
          <w:szCs w:val="20"/>
          <w:lang w:eastAsia="en-AU"/>
        </w:rPr>
        <w:t xml:space="preserve"> </w:t>
      </w:r>
    </w:p>
    <w:p w14:paraId="2CBFBAE6" w14:textId="4B607AA1" w:rsidR="008D112D" w:rsidRPr="008D112D" w:rsidRDefault="004A253E" w:rsidP="005E089A">
      <w:pPr>
        <w:widowControl/>
        <w:numPr>
          <w:ilvl w:val="0"/>
          <w:numId w:val="6"/>
        </w:numPr>
        <w:tabs>
          <w:tab w:val="clear" w:pos="720"/>
        </w:tabs>
        <w:spacing w:before="60" w:after="60"/>
        <w:ind w:left="216" w:hanging="216"/>
        <w:textAlignment w:val="baseline"/>
        <w:rPr>
          <w:rFonts w:eastAsia="Times New Roman"/>
          <w:sz w:val="20"/>
          <w:szCs w:val="20"/>
          <w:lang w:eastAsia="en-AU"/>
        </w:rPr>
      </w:pPr>
      <w:r>
        <w:rPr>
          <w:rFonts w:eastAsia="Times New Roman"/>
          <w:sz w:val="20"/>
          <w:szCs w:val="20"/>
          <w:lang w:eastAsia="en-AU"/>
        </w:rPr>
        <w:t xml:space="preserve">The second IAC meeting </w:t>
      </w:r>
      <w:r w:rsidR="00D7134D">
        <w:rPr>
          <w:rFonts w:eastAsia="Times New Roman"/>
          <w:sz w:val="20"/>
          <w:szCs w:val="20"/>
          <w:lang w:eastAsia="en-AU"/>
        </w:rPr>
        <w:t xml:space="preserve">was held </w:t>
      </w:r>
      <w:r>
        <w:rPr>
          <w:rFonts w:eastAsia="Times New Roman"/>
          <w:sz w:val="20"/>
          <w:szCs w:val="20"/>
          <w:lang w:eastAsia="en-AU"/>
        </w:rPr>
        <w:t>on 4</w:t>
      </w:r>
      <w:r w:rsidR="008D112D" w:rsidRPr="008D112D">
        <w:rPr>
          <w:rFonts w:eastAsia="Times New Roman"/>
          <w:sz w:val="16"/>
          <w:szCs w:val="16"/>
          <w:vertAlign w:val="superscript"/>
          <w:lang w:eastAsia="en-AU"/>
        </w:rPr>
        <w:t> </w:t>
      </w:r>
      <w:r>
        <w:rPr>
          <w:rFonts w:eastAsia="Times New Roman"/>
          <w:sz w:val="20"/>
          <w:szCs w:val="20"/>
          <w:lang w:eastAsia="en-AU"/>
        </w:rPr>
        <w:t>June 2019</w:t>
      </w:r>
      <w:r w:rsidR="00D7134D">
        <w:rPr>
          <w:rFonts w:eastAsia="Times New Roman"/>
          <w:sz w:val="20"/>
          <w:szCs w:val="20"/>
          <w:lang w:eastAsia="en-AU"/>
        </w:rPr>
        <w:t>. T</w:t>
      </w:r>
      <w:r w:rsidR="008D112D" w:rsidRPr="008D112D">
        <w:rPr>
          <w:rFonts w:eastAsia="Times New Roman"/>
          <w:sz w:val="20"/>
          <w:szCs w:val="20"/>
          <w:lang w:eastAsia="en-AU"/>
        </w:rPr>
        <w:t>he AAE team propose</w:t>
      </w:r>
      <w:r w:rsidR="00D7134D">
        <w:rPr>
          <w:rFonts w:eastAsia="Times New Roman"/>
          <w:sz w:val="20"/>
          <w:szCs w:val="20"/>
          <w:lang w:eastAsia="en-AU"/>
        </w:rPr>
        <w:t>d</w:t>
      </w:r>
      <w:r w:rsidR="008D112D" w:rsidRPr="008D112D">
        <w:rPr>
          <w:rFonts w:eastAsia="Times New Roman"/>
          <w:sz w:val="20"/>
          <w:szCs w:val="20"/>
          <w:lang w:eastAsia="en-AU"/>
        </w:rPr>
        <w:t> t</w:t>
      </w:r>
      <w:r>
        <w:rPr>
          <w:rFonts w:eastAsia="Times New Roman"/>
          <w:sz w:val="20"/>
          <w:szCs w:val="20"/>
          <w:lang w:eastAsia="en-AU"/>
        </w:rPr>
        <w:t xml:space="preserve">he </w:t>
      </w:r>
      <w:r w:rsidR="00D7134D">
        <w:rPr>
          <w:rFonts w:eastAsia="Times New Roman"/>
          <w:sz w:val="20"/>
          <w:szCs w:val="20"/>
          <w:lang w:eastAsia="en-AU"/>
        </w:rPr>
        <w:t>addition of</w:t>
      </w:r>
      <w:r>
        <w:rPr>
          <w:rFonts w:eastAsia="Times New Roman"/>
          <w:sz w:val="20"/>
          <w:szCs w:val="20"/>
          <w:lang w:eastAsia="en-AU"/>
        </w:rPr>
        <w:t xml:space="preserve"> Westpac</w:t>
      </w:r>
      <w:r w:rsidR="00D7134D">
        <w:rPr>
          <w:rFonts w:eastAsia="Times New Roman"/>
          <w:sz w:val="20"/>
          <w:szCs w:val="20"/>
          <w:lang w:eastAsia="en-AU"/>
        </w:rPr>
        <w:t xml:space="preserve"> Banking Corporation at a 10% target weight within the AAE </w:t>
      </w:r>
      <w:r>
        <w:rPr>
          <w:rFonts w:eastAsia="Times New Roman"/>
          <w:sz w:val="20"/>
          <w:szCs w:val="20"/>
          <w:lang w:eastAsia="en-AU"/>
        </w:rPr>
        <w:t xml:space="preserve">portfolio </w:t>
      </w:r>
      <w:r w:rsidR="008D112D" w:rsidRPr="008D112D">
        <w:rPr>
          <w:rFonts w:eastAsia="Times New Roman"/>
          <w:sz w:val="20"/>
          <w:szCs w:val="20"/>
          <w:lang w:eastAsia="en-AU"/>
        </w:rPr>
        <w:t>funded via a reduction of the iShares Core S&amp;P/A</w:t>
      </w:r>
      <w:r w:rsidR="00821193">
        <w:rPr>
          <w:rFonts w:eastAsia="Times New Roman"/>
          <w:sz w:val="20"/>
          <w:szCs w:val="20"/>
          <w:lang w:eastAsia="en-AU"/>
        </w:rPr>
        <w:t>SX200 ETF. The IAC endorsed the proposal</w:t>
      </w:r>
      <w:r w:rsidR="008D112D" w:rsidRPr="008D112D">
        <w:rPr>
          <w:rFonts w:eastAsia="Times New Roman"/>
          <w:sz w:val="20"/>
          <w:szCs w:val="20"/>
          <w:lang w:eastAsia="en-AU"/>
        </w:rPr>
        <w:t xml:space="preserve">. The subsequent </w:t>
      </w:r>
      <w:r w:rsidR="00821193">
        <w:rPr>
          <w:rFonts w:eastAsia="Times New Roman"/>
          <w:sz w:val="20"/>
          <w:szCs w:val="20"/>
          <w:lang w:eastAsia="en-AU"/>
        </w:rPr>
        <w:t>transaction was completed on 5 June 2019</w:t>
      </w:r>
      <w:r w:rsidR="008D112D" w:rsidRPr="008D112D">
        <w:rPr>
          <w:rFonts w:eastAsia="Times New Roman"/>
          <w:sz w:val="20"/>
          <w:szCs w:val="20"/>
          <w:lang w:eastAsia="en-AU"/>
        </w:rPr>
        <w:t>. </w:t>
      </w:r>
      <w:r w:rsidR="00D7134D">
        <w:rPr>
          <w:rFonts w:eastAsia="Times New Roman"/>
          <w:sz w:val="20"/>
          <w:szCs w:val="20"/>
          <w:lang w:eastAsia="en-AU"/>
        </w:rPr>
        <w:t>The inclusion of Westpac in the portfolio permitted the Inghams Group holding to be increased to its target weight of 10%, with the associated transaction also completed on 5 June 2019.</w:t>
      </w:r>
    </w:p>
    <w:p w14:paraId="5271C68C" w14:textId="77777777" w:rsidR="008D112D" w:rsidRPr="008D112D" w:rsidRDefault="008D112D" w:rsidP="005E089A">
      <w:pPr>
        <w:widowControl/>
        <w:spacing w:after="0"/>
        <w:textAlignment w:val="baseline"/>
        <w:rPr>
          <w:rFonts w:eastAsia="Times New Roman"/>
          <w:sz w:val="20"/>
          <w:szCs w:val="20"/>
          <w:lang w:eastAsia="en-AU"/>
        </w:rPr>
      </w:pPr>
      <w:r w:rsidRPr="008D112D">
        <w:rPr>
          <w:rFonts w:eastAsia="Times New Roman"/>
          <w:i/>
          <w:iCs/>
          <w:sz w:val="20"/>
          <w:szCs w:val="20"/>
          <w:lang w:eastAsia="en-AU"/>
        </w:rPr>
        <w:t>Guest speakers</w:t>
      </w:r>
      <w:r w:rsidRPr="008D112D">
        <w:rPr>
          <w:rFonts w:eastAsia="Times New Roman"/>
          <w:sz w:val="20"/>
          <w:szCs w:val="20"/>
          <w:lang w:eastAsia="en-AU"/>
        </w:rPr>
        <w:t> </w:t>
      </w:r>
    </w:p>
    <w:p w14:paraId="71DABD27" w14:textId="55B96A4B" w:rsidR="008D112D" w:rsidRPr="005E089A" w:rsidRDefault="00821193" w:rsidP="005E089A">
      <w:pPr>
        <w:pStyle w:val="ListParagraph"/>
        <w:widowControl/>
        <w:numPr>
          <w:ilvl w:val="0"/>
          <w:numId w:val="15"/>
        </w:numPr>
        <w:spacing w:before="60" w:after="60"/>
        <w:ind w:left="216" w:hanging="216"/>
        <w:contextualSpacing w:val="0"/>
        <w:textAlignment w:val="baseline"/>
        <w:rPr>
          <w:rFonts w:eastAsia="Times New Roman"/>
          <w:sz w:val="20"/>
          <w:szCs w:val="20"/>
          <w:lang w:eastAsia="en-AU"/>
        </w:rPr>
      </w:pPr>
      <w:r w:rsidRPr="005E089A">
        <w:rPr>
          <w:rFonts w:eastAsia="Times New Roman"/>
          <w:sz w:val="20"/>
          <w:szCs w:val="20"/>
          <w:lang w:eastAsia="en-AU"/>
        </w:rPr>
        <w:t>Dr Don Hamson, Plato Investment Management, Monday 29</w:t>
      </w:r>
      <w:r w:rsidR="008D112D" w:rsidRPr="005E089A">
        <w:rPr>
          <w:rFonts w:eastAsia="Times New Roman"/>
          <w:sz w:val="16"/>
          <w:szCs w:val="16"/>
          <w:vertAlign w:val="superscript"/>
          <w:lang w:eastAsia="en-AU"/>
        </w:rPr>
        <w:t> </w:t>
      </w:r>
      <w:r w:rsidRPr="005E089A">
        <w:rPr>
          <w:rFonts w:eastAsia="Times New Roman"/>
          <w:sz w:val="20"/>
          <w:szCs w:val="20"/>
          <w:lang w:eastAsia="en-AU"/>
        </w:rPr>
        <w:t>April 2019</w:t>
      </w:r>
      <w:r w:rsidR="008D112D" w:rsidRPr="005E089A">
        <w:rPr>
          <w:rFonts w:eastAsia="Times New Roman"/>
          <w:sz w:val="20"/>
          <w:szCs w:val="20"/>
          <w:lang w:eastAsia="en-AU"/>
        </w:rPr>
        <w:t> </w:t>
      </w:r>
    </w:p>
    <w:p w14:paraId="6F976844" w14:textId="67810097" w:rsidR="008D112D" w:rsidRPr="005E089A" w:rsidRDefault="00821193" w:rsidP="005E089A">
      <w:pPr>
        <w:pStyle w:val="ListParagraph"/>
        <w:widowControl/>
        <w:numPr>
          <w:ilvl w:val="0"/>
          <w:numId w:val="15"/>
        </w:numPr>
        <w:spacing w:before="60" w:after="60"/>
        <w:ind w:left="216" w:hanging="216"/>
        <w:contextualSpacing w:val="0"/>
        <w:textAlignment w:val="baseline"/>
        <w:rPr>
          <w:rFonts w:eastAsia="Times New Roman"/>
          <w:sz w:val="20"/>
          <w:szCs w:val="20"/>
          <w:lang w:eastAsia="en-AU"/>
        </w:rPr>
      </w:pPr>
      <w:r w:rsidRPr="005E089A">
        <w:rPr>
          <w:rFonts w:eastAsia="Times New Roman"/>
          <w:sz w:val="20"/>
          <w:szCs w:val="20"/>
          <w:lang w:eastAsia="en-AU"/>
        </w:rPr>
        <w:t>John Hempton</w:t>
      </w:r>
      <w:r w:rsidR="008D112D" w:rsidRPr="005E089A">
        <w:rPr>
          <w:rFonts w:eastAsia="Times New Roman"/>
          <w:sz w:val="20"/>
          <w:szCs w:val="20"/>
          <w:lang w:eastAsia="en-AU"/>
        </w:rPr>
        <w:t>, </w:t>
      </w:r>
      <w:r w:rsidRPr="005E089A">
        <w:rPr>
          <w:rFonts w:eastAsia="Times New Roman"/>
          <w:sz w:val="20"/>
          <w:szCs w:val="20"/>
          <w:lang w:eastAsia="en-AU"/>
        </w:rPr>
        <w:t>Bronte Capital, Monday 13 May 2019</w:t>
      </w:r>
      <w:r w:rsidR="008D112D" w:rsidRPr="005E089A">
        <w:rPr>
          <w:rFonts w:eastAsia="Times New Roman"/>
          <w:sz w:val="20"/>
          <w:szCs w:val="20"/>
          <w:lang w:eastAsia="en-AU"/>
        </w:rPr>
        <w:t> </w:t>
      </w:r>
    </w:p>
    <w:p w14:paraId="25A7E667" w14:textId="77777777" w:rsidR="008D112D" w:rsidRPr="008D112D" w:rsidRDefault="008D112D" w:rsidP="005E089A">
      <w:pPr>
        <w:widowControl/>
        <w:spacing w:after="0"/>
        <w:textAlignment w:val="baseline"/>
        <w:rPr>
          <w:rFonts w:eastAsia="Times New Roman"/>
          <w:sz w:val="20"/>
          <w:szCs w:val="20"/>
          <w:lang w:eastAsia="en-AU"/>
        </w:rPr>
      </w:pPr>
      <w:r w:rsidRPr="008D112D">
        <w:rPr>
          <w:rFonts w:eastAsia="Times New Roman"/>
          <w:i/>
          <w:iCs/>
          <w:sz w:val="20"/>
          <w:szCs w:val="20"/>
          <w:lang w:eastAsia="en-AU"/>
        </w:rPr>
        <w:t>Reports finalised</w:t>
      </w:r>
      <w:r w:rsidRPr="008D112D">
        <w:rPr>
          <w:rFonts w:eastAsia="Times New Roman"/>
          <w:sz w:val="20"/>
          <w:szCs w:val="20"/>
          <w:lang w:eastAsia="en-AU"/>
        </w:rPr>
        <w:t>  </w:t>
      </w:r>
    </w:p>
    <w:p w14:paraId="353EBB89" w14:textId="53F11B9C" w:rsidR="008D112D" w:rsidRPr="008D112D" w:rsidRDefault="00821193" w:rsidP="005E089A">
      <w:pPr>
        <w:widowControl/>
        <w:numPr>
          <w:ilvl w:val="0"/>
          <w:numId w:val="9"/>
        </w:numPr>
        <w:tabs>
          <w:tab w:val="clear" w:pos="720"/>
        </w:tabs>
        <w:spacing w:before="60" w:after="60"/>
        <w:ind w:left="216" w:hanging="216"/>
        <w:textAlignment w:val="baseline"/>
        <w:rPr>
          <w:rFonts w:eastAsia="Times New Roman"/>
          <w:sz w:val="20"/>
          <w:szCs w:val="20"/>
          <w:lang w:eastAsia="en-AU"/>
        </w:rPr>
      </w:pPr>
      <w:r>
        <w:rPr>
          <w:rFonts w:eastAsia="Times New Roman"/>
          <w:sz w:val="20"/>
          <w:szCs w:val="20"/>
          <w:lang w:eastAsia="en-AU"/>
        </w:rPr>
        <w:t>Reports on Inghams</w:t>
      </w:r>
      <w:r w:rsidR="00D7134D">
        <w:rPr>
          <w:rFonts w:eastAsia="Times New Roman"/>
          <w:sz w:val="20"/>
          <w:szCs w:val="20"/>
          <w:lang w:eastAsia="en-AU"/>
        </w:rPr>
        <w:t xml:space="preserve"> Group</w:t>
      </w:r>
      <w:r>
        <w:rPr>
          <w:rFonts w:eastAsia="Times New Roman"/>
          <w:sz w:val="20"/>
          <w:szCs w:val="20"/>
          <w:lang w:eastAsia="en-AU"/>
        </w:rPr>
        <w:t>, Bingo </w:t>
      </w:r>
      <w:r w:rsidR="00D7134D">
        <w:rPr>
          <w:rFonts w:eastAsia="Times New Roman"/>
          <w:sz w:val="20"/>
          <w:szCs w:val="20"/>
          <w:lang w:eastAsia="en-AU"/>
        </w:rPr>
        <w:t>Industries (</w:t>
      </w:r>
      <w:r w:rsidR="00AC7520">
        <w:rPr>
          <w:rFonts w:eastAsia="Times New Roman"/>
          <w:sz w:val="20"/>
          <w:szCs w:val="20"/>
          <w:lang w:eastAsia="en-AU"/>
        </w:rPr>
        <w:t xml:space="preserve">an </w:t>
      </w:r>
      <w:r w:rsidR="00D7134D">
        <w:rPr>
          <w:rFonts w:eastAsia="Times New Roman"/>
          <w:sz w:val="20"/>
          <w:szCs w:val="20"/>
          <w:lang w:eastAsia="en-AU"/>
        </w:rPr>
        <w:t xml:space="preserve">update) </w:t>
      </w:r>
      <w:r>
        <w:rPr>
          <w:rFonts w:eastAsia="Times New Roman"/>
          <w:sz w:val="20"/>
          <w:szCs w:val="20"/>
          <w:lang w:eastAsia="en-AU"/>
        </w:rPr>
        <w:t>and Westpac</w:t>
      </w:r>
      <w:r w:rsidR="008D112D" w:rsidRPr="008D112D">
        <w:rPr>
          <w:rFonts w:eastAsia="Times New Roman"/>
          <w:sz w:val="20"/>
          <w:szCs w:val="20"/>
          <w:lang w:eastAsia="en-AU"/>
        </w:rPr>
        <w:t xml:space="preserve"> </w:t>
      </w:r>
      <w:r w:rsidR="00D7134D">
        <w:rPr>
          <w:rFonts w:eastAsia="Times New Roman"/>
          <w:sz w:val="20"/>
          <w:szCs w:val="20"/>
          <w:lang w:eastAsia="en-AU"/>
        </w:rPr>
        <w:t xml:space="preserve">Banking Corporation </w:t>
      </w:r>
      <w:r w:rsidR="008D112D" w:rsidRPr="008D112D">
        <w:rPr>
          <w:rFonts w:eastAsia="Times New Roman"/>
          <w:sz w:val="20"/>
          <w:szCs w:val="20"/>
          <w:lang w:eastAsia="en-AU"/>
        </w:rPr>
        <w:t>were created in support of the investment recommendations.   </w:t>
      </w:r>
    </w:p>
    <w:p w14:paraId="0B903E27" w14:textId="77777777" w:rsidR="008D112D" w:rsidRPr="008D112D" w:rsidRDefault="008D112D" w:rsidP="00502FEE">
      <w:pPr>
        <w:widowControl/>
        <w:spacing w:after="0"/>
        <w:textAlignment w:val="baseline"/>
        <w:rPr>
          <w:rFonts w:eastAsia="Times New Roman"/>
          <w:sz w:val="20"/>
          <w:szCs w:val="20"/>
          <w:lang w:eastAsia="en-AU"/>
        </w:rPr>
      </w:pPr>
      <w:r w:rsidRPr="008D112D">
        <w:rPr>
          <w:rFonts w:eastAsia="Times New Roman"/>
          <w:i/>
          <w:iCs/>
          <w:sz w:val="20"/>
          <w:szCs w:val="20"/>
          <w:lang w:eastAsia="en-AU"/>
        </w:rPr>
        <w:t>Other notable items</w:t>
      </w:r>
      <w:r w:rsidRPr="008D112D">
        <w:rPr>
          <w:rFonts w:eastAsia="Times New Roman"/>
          <w:sz w:val="20"/>
          <w:szCs w:val="20"/>
          <w:lang w:eastAsia="en-AU"/>
        </w:rPr>
        <w:t> </w:t>
      </w:r>
    </w:p>
    <w:p w14:paraId="37AD14DE" w14:textId="77777777" w:rsidR="008D112D" w:rsidRPr="005E089A" w:rsidRDefault="008D112D" w:rsidP="005E089A">
      <w:pPr>
        <w:pStyle w:val="ListParagraph"/>
        <w:widowControl/>
        <w:numPr>
          <w:ilvl w:val="0"/>
          <w:numId w:val="16"/>
        </w:numPr>
        <w:spacing w:before="60" w:after="60"/>
        <w:ind w:left="216" w:hanging="216"/>
        <w:contextualSpacing w:val="0"/>
        <w:textAlignment w:val="baseline"/>
        <w:rPr>
          <w:rFonts w:eastAsia="Times New Roman"/>
          <w:sz w:val="20"/>
          <w:szCs w:val="20"/>
          <w:lang w:eastAsia="en-AU"/>
        </w:rPr>
      </w:pPr>
      <w:r w:rsidRPr="005E089A">
        <w:rPr>
          <w:rFonts w:eastAsia="Times New Roman"/>
          <w:sz w:val="20"/>
          <w:szCs w:val="20"/>
          <w:lang w:eastAsia="en-AU"/>
        </w:rPr>
        <w:t>Significant progress was made across the SMF to ensure documents and processes have appropriate user guides and manuals to ensure the legacy of the Fund.  </w:t>
      </w:r>
    </w:p>
    <w:p w14:paraId="7500B29D" w14:textId="302F400A" w:rsidR="007700AE" w:rsidRPr="005E089A" w:rsidRDefault="008D112D" w:rsidP="005E089A">
      <w:pPr>
        <w:pStyle w:val="ListParagraph"/>
        <w:widowControl/>
        <w:numPr>
          <w:ilvl w:val="0"/>
          <w:numId w:val="16"/>
        </w:numPr>
        <w:spacing w:before="60" w:after="60"/>
        <w:ind w:left="216" w:hanging="216"/>
        <w:contextualSpacing w:val="0"/>
        <w:textAlignment w:val="baseline"/>
        <w:rPr>
          <w:rFonts w:eastAsia="Times New Roman"/>
          <w:sz w:val="20"/>
          <w:szCs w:val="20"/>
          <w:lang w:eastAsia="en-AU"/>
        </w:rPr>
      </w:pPr>
      <w:r w:rsidRPr="005E089A">
        <w:rPr>
          <w:rFonts w:eastAsia="Times New Roman"/>
          <w:sz w:val="20"/>
          <w:szCs w:val="20"/>
          <w:lang w:eastAsia="en-AU"/>
        </w:rPr>
        <w:t xml:space="preserve">The </w:t>
      </w:r>
      <w:r w:rsidR="007700AE" w:rsidRPr="005E089A">
        <w:rPr>
          <w:rFonts w:eastAsia="Times New Roman"/>
          <w:sz w:val="20"/>
          <w:szCs w:val="20"/>
          <w:lang w:eastAsia="en-AU"/>
        </w:rPr>
        <w:t xml:space="preserve">first </w:t>
      </w:r>
      <w:r w:rsidR="0071735F" w:rsidRPr="000200D2">
        <w:rPr>
          <w:sz w:val="20"/>
          <w:szCs w:val="20"/>
        </w:rPr>
        <w:t>RSFAS Student Managed Fund Equity Scholarship</w:t>
      </w:r>
      <w:r w:rsidR="0071735F" w:rsidRPr="005E089A">
        <w:rPr>
          <w:rFonts w:eastAsia="Times New Roman"/>
          <w:sz w:val="20"/>
          <w:szCs w:val="20"/>
          <w:lang w:eastAsia="en-AU"/>
        </w:rPr>
        <w:t xml:space="preserve"> </w:t>
      </w:r>
      <w:r w:rsidR="0071735F">
        <w:rPr>
          <w:rFonts w:eastAsia="Times New Roman"/>
          <w:sz w:val="20"/>
          <w:szCs w:val="20"/>
          <w:lang w:eastAsia="en-AU"/>
        </w:rPr>
        <w:t xml:space="preserve">was awarded, with the </w:t>
      </w:r>
      <w:r w:rsidR="007700AE" w:rsidRPr="005E089A">
        <w:rPr>
          <w:rFonts w:eastAsia="Times New Roman"/>
          <w:sz w:val="20"/>
          <w:szCs w:val="20"/>
          <w:lang w:eastAsia="en-AU"/>
        </w:rPr>
        <w:t xml:space="preserve">recipient </w:t>
      </w:r>
      <w:r w:rsidR="0071735F">
        <w:rPr>
          <w:rFonts w:eastAsia="Times New Roman"/>
          <w:sz w:val="20"/>
          <w:szCs w:val="20"/>
          <w:lang w:eastAsia="en-AU"/>
        </w:rPr>
        <w:t xml:space="preserve">being </w:t>
      </w:r>
      <w:r w:rsidR="007700AE" w:rsidRPr="005E089A">
        <w:rPr>
          <w:rFonts w:eastAsia="Times New Roman"/>
          <w:sz w:val="20"/>
          <w:szCs w:val="20"/>
          <w:lang w:eastAsia="en-AU"/>
        </w:rPr>
        <w:t>Maliha Hoque.</w:t>
      </w:r>
    </w:p>
    <w:p w14:paraId="3BAD01B9" w14:textId="77777777" w:rsidR="008D112D" w:rsidRPr="008D112D" w:rsidRDefault="008D112D" w:rsidP="005E089A">
      <w:pPr>
        <w:widowControl/>
        <w:spacing w:before="0" w:after="0" w:line="240" w:lineRule="auto"/>
        <w:textAlignment w:val="baseline"/>
        <w:rPr>
          <w:rFonts w:ascii="Segoe UI" w:eastAsia="Times New Roman" w:hAnsi="Segoe UI" w:cs="Segoe UI"/>
          <w:b/>
          <w:bCs/>
          <w:color w:val="4472C4"/>
          <w:sz w:val="18"/>
          <w:szCs w:val="18"/>
          <w:lang w:eastAsia="en-AU"/>
        </w:rPr>
      </w:pPr>
      <w:r w:rsidRPr="008D112D">
        <w:rPr>
          <w:rFonts w:eastAsia="Times New Roman"/>
          <w:b/>
          <w:bCs/>
          <w:color w:val="4472C4"/>
          <w:sz w:val="22"/>
          <w:szCs w:val="22"/>
          <w:lang w:eastAsia="en-AU"/>
        </w:rPr>
        <w:t> </w:t>
      </w:r>
    </w:p>
    <w:p w14:paraId="7727F48A" w14:textId="77777777" w:rsidR="008D112D" w:rsidRPr="008D112D" w:rsidRDefault="008D112D" w:rsidP="008D112D">
      <w:pPr>
        <w:widowControl/>
        <w:spacing w:before="0" w:after="0" w:line="240" w:lineRule="auto"/>
        <w:textAlignment w:val="baseline"/>
        <w:rPr>
          <w:rFonts w:ascii="Segoe UI" w:eastAsia="Times New Roman" w:hAnsi="Segoe UI" w:cs="Segoe UI"/>
          <w:sz w:val="18"/>
          <w:szCs w:val="18"/>
          <w:lang w:eastAsia="en-AU"/>
        </w:rPr>
      </w:pPr>
      <w:r w:rsidRPr="008D112D">
        <w:rPr>
          <w:rFonts w:eastAsia="Times New Roman"/>
          <w:lang w:eastAsia="en-AU"/>
        </w:rPr>
        <w:t> </w:t>
      </w:r>
    </w:p>
    <w:p w14:paraId="2111DD14" w14:textId="40305F15" w:rsidR="008D112D" w:rsidRDefault="008D112D" w:rsidP="008D112D">
      <w:pPr>
        <w:widowControl/>
        <w:spacing w:before="0" w:after="0" w:line="240" w:lineRule="auto"/>
        <w:textAlignment w:val="baseline"/>
        <w:rPr>
          <w:rFonts w:eastAsia="Times New Roman"/>
          <w:lang w:eastAsia="en-AU"/>
        </w:rPr>
      </w:pPr>
      <w:r w:rsidRPr="008D112D">
        <w:rPr>
          <w:rFonts w:eastAsia="Times New Roman"/>
          <w:lang w:eastAsia="en-AU"/>
        </w:rPr>
        <w:t> </w:t>
      </w:r>
    </w:p>
    <w:p w14:paraId="1ABC7163" w14:textId="4A56A4C0" w:rsidR="007700AE" w:rsidRDefault="007700AE" w:rsidP="008D112D">
      <w:pPr>
        <w:widowControl/>
        <w:spacing w:before="0" w:after="0" w:line="240" w:lineRule="auto"/>
        <w:textAlignment w:val="baseline"/>
        <w:rPr>
          <w:rFonts w:eastAsia="Times New Roman"/>
          <w:lang w:eastAsia="en-AU"/>
        </w:rPr>
      </w:pPr>
    </w:p>
    <w:p w14:paraId="78FB4605" w14:textId="5ABA19B6" w:rsidR="007700AE" w:rsidRDefault="007700AE" w:rsidP="008D112D">
      <w:pPr>
        <w:widowControl/>
        <w:spacing w:before="0" w:after="0" w:line="240" w:lineRule="auto"/>
        <w:textAlignment w:val="baseline"/>
        <w:rPr>
          <w:rFonts w:eastAsia="Times New Roman"/>
          <w:lang w:eastAsia="en-AU"/>
        </w:rPr>
      </w:pPr>
    </w:p>
    <w:p w14:paraId="3C1A22C0" w14:textId="51B3E6C8" w:rsidR="007700AE" w:rsidRPr="00821193" w:rsidRDefault="007700AE" w:rsidP="008D112D">
      <w:pPr>
        <w:widowControl/>
        <w:spacing w:before="0" w:after="0" w:line="240" w:lineRule="auto"/>
        <w:textAlignment w:val="baseline"/>
        <w:rPr>
          <w:rFonts w:ascii="Segoe UI" w:eastAsia="Times New Roman" w:hAnsi="Segoe UI" w:cs="Segoe UI"/>
          <w:sz w:val="18"/>
          <w:szCs w:val="18"/>
          <w:lang w:eastAsia="en-AU"/>
        </w:rPr>
      </w:pPr>
    </w:p>
    <w:p w14:paraId="79E0224E" w14:textId="77777777" w:rsidR="005E089A" w:rsidRDefault="005E089A">
      <w:pPr>
        <w:widowControl/>
        <w:spacing w:before="0" w:after="160" w:line="259" w:lineRule="auto"/>
        <w:jc w:val="left"/>
        <w:rPr>
          <w:rFonts w:eastAsia="Times New Roman"/>
          <w:b/>
          <w:color w:val="5B9BD5" w:themeColor="accent1"/>
          <w:spacing w:val="15"/>
          <w:szCs w:val="32"/>
          <w:lang w:eastAsia="en-AU"/>
        </w:rPr>
      </w:pPr>
      <w:r>
        <w:rPr>
          <w:rFonts w:eastAsia="Times New Roman"/>
          <w:lang w:eastAsia="en-AU"/>
        </w:rPr>
        <w:br w:type="page"/>
      </w:r>
    </w:p>
    <w:p w14:paraId="0DDDB3E4" w14:textId="7A5A6BA2" w:rsidR="008D112D" w:rsidRPr="00821193" w:rsidRDefault="008D112D" w:rsidP="005E089A">
      <w:pPr>
        <w:pStyle w:val="Heading1"/>
        <w:rPr>
          <w:rFonts w:ascii="Segoe UI" w:eastAsia="Times New Roman" w:hAnsi="Segoe UI" w:cs="Segoe UI"/>
          <w:sz w:val="14"/>
          <w:szCs w:val="18"/>
          <w:lang w:eastAsia="en-AU"/>
        </w:rPr>
      </w:pPr>
      <w:bookmarkStart w:id="28" w:name="_Toc13642415"/>
      <w:r w:rsidRPr="00821193">
        <w:rPr>
          <w:rFonts w:eastAsia="Times New Roman"/>
          <w:sz w:val="24"/>
          <w:lang w:eastAsia="en-AU"/>
        </w:rPr>
        <w:lastRenderedPageBreak/>
        <w:t>SMF Team Membership</w:t>
      </w:r>
      <w:bookmarkEnd w:id="28"/>
      <w:r w:rsidRPr="00821193">
        <w:rPr>
          <w:rFonts w:eastAsia="Times New Roman"/>
          <w:sz w:val="24"/>
          <w:lang w:eastAsia="en-AU"/>
        </w:rPr>
        <w:t> </w:t>
      </w:r>
    </w:p>
    <w:p w14:paraId="0D4AD7BF" w14:textId="39E451A1" w:rsidR="008D112D" w:rsidRPr="008D112D" w:rsidRDefault="007700AE" w:rsidP="005E089A">
      <w:pPr>
        <w:pStyle w:val="Heading3"/>
        <w:spacing w:after="120"/>
        <w:rPr>
          <w:rFonts w:ascii="Segoe UI" w:eastAsia="Times New Roman" w:hAnsi="Segoe UI" w:cs="Segoe UI"/>
          <w:sz w:val="18"/>
          <w:szCs w:val="18"/>
          <w:lang w:eastAsia="en-AU"/>
        </w:rPr>
      </w:pPr>
      <w:bookmarkStart w:id="29" w:name="_Toc13642416"/>
      <w:r>
        <w:rPr>
          <w:rFonts w:eastAsia="Times New Roman"/>
          <w:lang w:eastAsia="en-AU"/>
        </w:rPr>
        <w:t>Members for Semester 1, 2019</w:t>
      </w:r>
      <w:bookmarkEnd w:id="29"/>
      <w:r w:rsidR="008D112D" w:rsidRPr="008D112D">
        <w:rPr>
          <w:rFonts w:eastAsia="Times New Roman"/>
          <w:lang w:eastAsia="en-AU"/>
        </w:rPr>
        <w:t> </w:t>
      </w:r>
    </w:p>
    <w:p w14:paraId="0B436A6B" w14:textId="77777777" w:rsidR="008D112D" w:rsidRPr="008D112D" w:rsidRDefault="008D112D" w:rsidP="005E089A">
      <w:pPr>
        <w:widowControl/>
        <w:spacing w:before="180" w:after="60"/>
        <w:textAlignment w:val="baseline"/>
        <w:rPr>
          <w:rFonts w:ascii="Segoe UI" w:eastAsia="Times New Roman" w:hAnsi="Segoe UI" w:cs="Segoe UI"/>
          <w:sz w:val="18"/>
          <w:szCs w:val="18"/>
          <w:lang w:eastAsia="en-AU"/>
        </w:rPr>
      </w:pPr>
      <w:r w:rsidRPr="008D112D">
        <w:rPr>
          <w:rFonts w:eastAsia="Times New Roman"/>
          <w:i/>
          <w:iCs/>
          <w:sz w:val="20"/>
          <w:szCs w:val="20"/>
          <w:lang w:eastAsia="en-AU"/>
        </w:rPr>
        <w:t>Chief Investment Officer</w:t>
      </w:r>
      <w:r w:rsidRPr="008D112D">
        <w:rPr>
          <w:rFonts w:eastAsia="Times New Roman"/>
          <w:sz w:val="20"/>
          <w:szCs w:val="20"/>
          <w:lang w:eastAsia="en-AU"/>
        </w:rPr>
        <w:t> </w:t>
      </w:r>
    </w:p>
    <w:p w14:paraId="34564EE8" w14:textId="1F789049" w:rsidR="008D112D" w:rsidRPr="008D112D" w:rsidRDefault="007700AE" w:rsidP="005E089A">
      <w:pPr>
        <w:widowControl/>
        <w:spacing w:before="0" w:after="0"/>
        <w:textAlignment w:val="baseline"/>
        <w:rPr>
          <w:rFonts w:ascii="Segoe UI" w:eastAsia="Times New Roman" w:hAnsi="Segoe UI" w:cs="Segoe UI"/>
          <w:sz w:val="18"/>
          <w:szCs w:val="18"/>
          <w:lang w:eastAsia="en-AU"/>
        </w:rPr>
      </w:pPr>
      <w:r>
        <w:rPr>
          <w:rFonts w:eastAsia="Times New Roman"/>
          <w:sz w:val="20"/>
          <w:szCs w:val="20"/>
          <w:lang w:eastAsia="en-AU"/>
        </w:rPr>
        <w:t>Saurav Patel</w:t>
      </w:r>
    </w:p>
    <w:p w14:paraId="6E1DF16C" w14:textId="77777777" w:rsidR="008D112D" w:rsidRPr="008D112D" w:rsidRDefault="008D112D" w:rsidP="005E089A">
      <w:pPr>
        <w:widowControl/>
        <w:spacing w:before="180" w:after="60"/>
        <w:textAlignment w:val="baseline"/>
        <w:rPr>
          <w:rFonts w:ascii="Segoe UI" w:eastAsia="Times New Roman" w:hAnsi="Segoe UI" w:cs="Segoe UI"/>
          <w:sz w:val="18"/>
          <w:szCs w:val="18"/>
          <w:lang w:eastAsia="en-AU"/>
        </w:rPr>
      </w:pPr>
      <w:r w:rsidRPr="008D112D">
        <w:rPr>
          <w:rFonts w:eastAsia="Times New Roman"/>
          <w:i/>
          <w:iCs/>
          <w:sz w:val="20"/>
          <w:szCs w:val="20"/>
          <w:lang w:eastAsia="en-AU"/>
        </w:rPr>
        <w:t>Risk and Compliance Team</w:t>
      </w:r>
      <w:r w:rsidRPr="008D112D">
        <w:rPr>
          <w:rFonts w:eastAsia="Times New Roman"/>
          <w:sz w:val="20"/>
          <w:szCs w:val="20"/>
          <w:lang w:eastAsia="en-AU"/>
        </w:rPr>
        <w:t> </w:t>
      </w:r>
    </w:p>
    <w:p w14:paraId="0DC39F98" w14:textId="32FAD646" w:rsidR="008D112D" w:rsidRPr="008D112D" w:rsidRDefault="007700AE" w:rsidP="005E089A">
      <w:pPr>
        <w:widowControl/>
        <w:tabs>
          <w:tab w:val="left" w:pos="2880"/>
        </w:tabs>
        <w:spacing w:before="0" w:after="0"/>
        <w:textAlignment w:val="baseline"/>
        <w:rPr>
          <w:rFonts w:ascii="Segoe UI" w:eastAsia="Times New Roman" w:hAnsi="Segoe UI" w:cs="Segoe UI"/>
          <w:sz w:val="18"/>
          <w:szCs w:val="18"/>
          <w:lang w:eastAsia="en-AU"/>
        </w:rPr>
      </w:pPr>
      <w:r>
        <w:rPr>
          <w:rFonts w:eastAsia="Times New Roman"/>
          <w:sz w:val="20"/>
          <w:szCs w:val="20"/>
          <w:lang w:eastAsia="en-AU"/>
        </w:rPr>
        <w:t>Azmina Hossain</w:t>
      </w:r>
      <w:r w:rsidR="005E089A">
        <w:rPr>
          <w:rFonts w:eastAsia="Times New Roman"/>
          <w:sz w:val="20"/>
          <w:szCs w:val="20"/>
          <w:lang w:eastAsia="en-AU"/>
        </w:rPr>
        <w:tab/>
      </w:r>
      <w:r w:rsidR="008D112D" w:rsidRPr="008D112D">
        <w:rPr>
          <w:rFonts w:eastAsia="Times New Roman"/>
          <w:sz w:val="20"/>
          <w:szCs w:val="20"/>
          <w:lang w:eastAsia="en-AU"/>
        </w:rPr>
        <w:t>Risk Officer </w:t>
      </w:r>
    </w:p>
    <w:p w14:paraId="1652B0A6" w14:textId="54831B74" w:rsidR="008D112D" w:rsidRPr="008D112D" w:rsidRDefault="0071735F" w:rsidP="005E089A">
      <w:pPr>
        <w:widowControl/>
        <w:tabs>
          <w:tab w:val="left" w:pos="2880"/>
        </w:tabs>
        <w:spacing w:before="0" w:after="0"/>
        <w:textAlignment w:val="baseline"/>
        <w:rPr>
          <w:rFonts w:ascii="Segoe UI" w:eastAsia="Times New Roman" w:hAnsi="Segoe UI" w:cs="Segoe UI"/>
          <w:sz w:val="18"/>
          <w:szCs w:val="18"/>
          <w:lang w:eastAsia="en-AU"/>
        </w:rPr>
      </w:pPr>
      <w:r>
        <w:rPr>
          <w:rFonts w:eastAsia="Times New Roman"/>
          <w:sz w:val="20"/>
          <w:szCs w:val="20"/>
          <w:lang w:eastAsia="en-AU"/>
        </w:rPr>
        <w:t>Chaoqi (</w:t>
      </w:r>
      <w:r w:rsidR="005E089A">
        <w:rPr>
          <w:rFonts w:eastAsia="Times New Roman"/>
          <w:sz w:val="20"/>
          <w:szCs w:val="20"/>
          <w:lang w:eastAsia="en-AU"/>
        </w:rPr>
        <w:t>Shawn</w:t>
      </w:r>
      <w:r>
        <w:rPr>
          <w:rFonts w:eastAsia="Times New Roman"/>
          <w:sz w:val="20"/>
          <w:szCs w:val="20"/>
          <w:lang w:eastAsia="en-AU"/>
        </w:rPr>
        <w:t>)</w:t>
      </w:r>
      <w:r w:rsidR="005E089A">
        <w:rPr>
          <w:rFonts w:eastAsia="Times New Roman"/>
          <w:sz w:val="20"/>
          <w:szCs w:val="20"/>
          <w:lang w:eastAsia="en-AU"/>
        </w:rPr>
        <w:t xml:space="preserve"> Lin</w:t>
      </w:r>
      <w:r w:rsidR="005E089A">
        <w:rPr>
          <w:rFonts w:eastAsia="Times New Roman"/>
          <w:sz w:val="20"/>
          <w:szCs w:val="20"/>
          <w:lang w:eastAsia="en-AU"/>
        </w:rPr>
        <w:tab/>
      </w:r>
      <w:r w:rsidR="008D112D" w:rsidRPr="008D112D">
        <w:rPr>
          <w:rFonts w:eastAsia="Times New Roman"/>
          <w:sz w:val="20"/>
          <w:szCs w:val="20"/>
          <w:lang w:eastAsia="en-AU"/>
        </w:rPr>
        <w:t>Analyst </w:t>
      </w:r>
    </w:p>
    <w:p w14:paraId="7D4F9F80" w14:textId="6B536A4F" w:rsidR="008D112D" w:rsidRPr="008D112D" w:rsidRDefault="005E089A" w:rsidP="005E089A">
      <w:pPr>
        <w:widowControl/>
        <w:tabs>
          <w:tab w:val="left" w:pos="2880"/>
        </w:tabs>
        <w:spacing w:before="0" w:after="0"/>
        <w:textAlignment w:val="baseline"/>
        <w:rPr>
          <w:rFonts w:ascii="Segoe UI" w:eastAsia="Times New Roman" w:hAnsi="Segoe UI" w:cs="Segoe UI"/>
          <w:sz w:val="18"/>
          <w:szCs w:val="18"/>
          <w:lang w:eastAsia="en-AU"/>
        </w:rPr>
      </w:pPr>
      <w:r>
        <w:rPr>
          <w:rFonts w:eastAsia="Times New Roman"/>
          <w:sz w:val="20"/>
          <w:szCs w:val="20"/>
          <w:lang w:eastAsia="en-AU"/>
        </w:rPr>
        <w:t>Alisha Nath</w:t>
      </w:r>
      <w:r>
        <w:rPr>
          <w:rFonts w:eastAsia="Times New Roman"/>
          <w:sz w:val="20"/>
          <w:szCs w:val="20"/>
          <w:lang w:eastAsia="en-AU"/>
        </w:rPr>
        <w:tab/>
      </w:r>
      <w:r w:rsidR="008D112D" w:rsidRPr="008D112D">
        <w:rPr>
          <w:rFonts w:eastAsia="Times New Roman"/>
          <w:sz w:val="20"/>
          <w:szCs w:val="20"/>
          <w:lang w:eastAsia="en-AU"/>
        </w:rPr>
        <w:t>Analyst (50%) </w:t>
      </w:r>
    </w:p>
    <w:p w14:paraId="72A6F17A" w14:textId="77777777" w:rsidR="008D112D" w:rsidRPr="008D112D" w:rsidRDefault="008D112D" w:rsidP="005E089A">
      <w:pPr>
        <w:widowControl/>
        <w:spacing w:before="180" w:after="60"/>
        <w:textAlignment w:val="baseline"/>
        <w:rPr>
          <w:rFonts w:ascii="Segoe UI" w:eastAsia="Times New Roman" w:hAnsi="Segoe UI" w:cs="Segoe UI"/>
          <w:sz w:val="18"/>
          <w:szCs w:val="18"/>
          <w:lang w:eastAsia="en-AU"/>
        </w:rPr>
      </w:pPr>
      <w:r w:rsidRPr="008D112D">
        <w:rPr>
          <w:rFonts w:eastAsia="Times New Roman"/>
          <w:i/>
          <w:iCs/>
          <w:sz w:val="20"/>
          <w:szCs w:val="20"/>
          <w:lang w:eastAsia="en-AU"/>
        </w:rPr>
        <w:t>Asset Allocation Team</w:t>
      </w:r>
      <w:r w:rsidRPr="008D112D">
        <w:rPr>
          <w:rFonts w:eastAsia="Times New Roman"/>
          <w:sz w:val="20"/>
          <w:szCs w:val="20"/>
          <w:lang w:eastAsia="en-AU"/>
        </w:rPr>
        <w:t> </w:t>
      </w:r>
    </w:p>
    <w:p w14:paraId="098AB874" w14:textId="36C3FAD1" w:rsidR="008D112D" w:rsidRPr="008D112D" w:rsidRDefault="007700AE" w:rsidP="005E089A">
      <w:pPr>
        <w:widowControl/>
        <w:tabs>
          <w:tab w:val="left" w:pos="2880"/>
        </w:tabs>
        <w:spacing w:before="0" w:after="0"/>
        <w:textAlignment w:val="baseline"/>
        <w:rPr>
          <w:rFonts w:ascii="Segoe UI" w:eastAsia="Times New Roman" w:hAnsi="Segoe UI" w:cs="Segoe UI"/>
          <w:sz w:val="18"/>
          <w:szCs w:val="18"/>
          <w:lang w:eastAsia="en-AU"/>
        </w:rPr>
      </w:pPr>
      <w:r>
        <w:rPr>
          <w:rFonts w:eastAsia="Times New Roman"/>
          <w:sz w:val="20"/>
          <w:szCs w:val="20"/>
          <w:lang w:eastAsia="en-AU"/>
        </w:rPr>
        <w:t>Jak Carty</w:t>
      </w:r>
      <w:r w:rsidR="005E089A">
        <w:rPr>
          <w:rFonts w:eastAsia="Times New Roman"/>
          <w:sz w:val="20"/>
          <w:szCs w:val="20"/>
          <w:lang w:eastAsia="en-AU"/>
        </w:rPr>
        <w:tab/>
      </w:r>
      <w:r w:rsidR="008D112D" w:rsidRPr="008D112D">
        <w:rPr>
          <w:rFonts w:eastAsia="Times New Roman"/>
          <w:sz w:val="20"/>
          <w:szCs w:val="20"/>
          <w:lang w:eastAsia="en-AU"/>
        </w:rPr>
        <w:t>Team Leader </w:t>
      </w:r>
    </w:p>
    <w:p w14:paraId="29D2F99B" w14:textId="51A5EB35" w:rsidR="008D112D" w:rsidRPr="008D112D" w:rsidRDefault="005E089A" w:rsidP="005E089A">
      <w:pPr>
        <w:widowControl/>
        <w:tabs>
          <w:tab w:val="left" w:pos="2880"/>
        </w:tabs>
        <w:spacing w:before="0" w:after="0"/>
        <w:textAlignment w:val="baseline"/>
        <w:rPr>
          <w:rFonts w:ascii="Segoe UI" w:eastAsia="Times New Roman" w:hAnsi="Segoe UI" w:cs="Segoe UI"/>
          <w:sz w:val="18"/>
          <w:szCs w:val="18"/>
          <w:lang w:eastAsia="en-AU"/>
        </w:rPr>
      </w:pPr>
      <w:r>
        <w:rPr>
          <w:rFonts w:eastAsia="Times New Roman"/>
          <w:sz w:val="20"/>
          <w:szCs w:val="20"/>
          <w:lang w:eastAsia="en-AU"/>
        </w:rPr>
        <w:t>Hongyi Xu</w:t>
      </w:r>
      <w:r>
        <w:rPr>
          <w:rFonts w:eastAsia="Times New Roman"/>
          <w:sz w:val="20"/>
          <w:szCs w:val="20"/>
          <w:lang w:eastAsia="en-AU"/>
        </w:rPr>
        <w:tab/>
      </w:r>
      <w:r w:rsidR="007700AE">
        <w:rPr>
          <w:rFonts w:eastAsia="Times New Roman"/>
          <w:sz w:val="20"/>
          <w:szCs w:val="20"/>
          <w:lang w:eastAsia="en-AU"/>
        </w:rPr>
        <w:t>Research Manager</w:t>
      </w:r>
      <w:r w:rsidR="008D112D" w:rsidRPr="008D112D">
        <w:rPr>
          <w:rFonts w:eastAsia="Times New Roman"/>
          <w:sz w:val="20"/>
          <w:szCs w:val="20"/>
          <w:lang w:eastAsia="en-AU"/>
        </w:rPr>
        <w:t> </w:t>
      </w:r>
    </w:p>
    <w:p w14:paraId="1DBE8361" w14:textId="45D60B67" w:rsidR="008D112D" w:rsidRPr="008D112D" w:rsidRDefault="005E089A" w:rsidP="005E089A">
      <w:pPr>
        <w:widowControl/>
        <w:tabs>
          <w:tab w:val="left" w:pos="2880"/>
        </w:tabs>
        <w:spacing w:before="0" w:after="0"/>
        <w:textAlignment w:val="baseline"/>
        <w:rPr>
          <w:rFonts w:ascii="Segoe UI" w:eastAsia="Times New Roman" w:hAnsi="Segoe UI" w:cs="Segoe UI"/>
          <w:sz w:val="18"/>
          <w:szCs w:val="18"/>
          <w:lang w:eastAsia="en-AU"/>
        </w:rPr>
      </w:pPr>
      <w:r>
        <w:rPr>
          <w:rFonts w:eastAsia="Times New Roman"/>
          <w:sz w:val="20"/>
          <w:szCs w:val="20"/>
          <w:lang w:eastAsia="en-AU"/>
        </w:rPr>
        <w:t>Dalton Tham</w:t>
      </w:r>
      <w:r>
        <w:rPr>
          <w:rFonts w:eastAsia="Times New Roman"/>
          <w:sz w:val="20"/>
          <w:szCs w:val="20"/>
          <w:lang w:eastAsia="en-AU"/>
        </w:rPr>
        <w:tab/>
      </w:r>
      <w:r w:rsidR="008D112D" w:rsidRPr="008D112D">
        <w:rPr>
          <w:rFonts w:eastAsia="Times New Roman"/>
          <w:sz w:val="20"/>
          <w:szCs w:val="20"/>
          <w:lang w:eastAsia="en-AU"/>
        </w:rPr>
        <w:t>Analyst </w:t>
      </w:r>
    </w:p>
    <w:p w14:paraId="30C2F270" w14:textId="73706F5C" w:rsidR="008D112D" w:rsidRDefault="0071735F" w:rsidP="005E089A">
      <w:pPr>
        <w:widowControl/>
        <w:tabs>
          <w:tab w:val="left" w:pos="2880"/>
        </w:tabs>
        <w:spacing w:before="0" w:after="0"/>
        <w:textAlignment w:val="baseline"/>
        <w:rPr>
          <w:rFonts w:eastAsia="Times New Roman"/>
          <w:sz w:val="20"/>
          <w:szCs w:val="20"/>
          <w:lang w:eastAsia="en-AU"/>
        </w:rPr>
      </w:pPr>
      <w:r>
        <w:rPr>
          <w:rFonts w:eastAsia="Times New Roman"/>
          <w:sz w:val="20"/>
          <w:szCs w:val="20"/>
          <w:lang w:eastAsia="en-AU"/>
        </w:rPr>
        <w:t>Jiaqi (</w:t>
      </w:r>
      <w:r w:rsidR="007700AE">
        <w:rPr>
          <w:rFonts w:eastAsia="Times New Roman"/>
          <w:sz w:val="20"/>
          <w:szCs w:val="20"/>
          <w:lang w:eastAsia="en-AU"/>
        </w:rPr>
        <w:t>Karen</w:t>
      </w:r>
      <w:r>
        <w:rPr>
          <w:rFonts w:eastAsia="Times New Roman"/>
          <w:sz w:val="20"/>
          <w:szCs w:val="20"/>
          <w:lang w:eastAsia="en-AU"/>
        </w:rPr>
        <w:t>)</w:t>
      </w:r>
      <w:r w:rsidR="007700AE">
        <w:rPr>
          <w:rFonts w:eastAsia="Times New Roman"/>
          <w:sz w:val="20"/>
          <w:szCs w:val="20"/>
          <w:lang w:eastAsia="en-AU"/>
        </w:rPr>
        <w:t xml:space="preserve"> Mao</w:t>
      </w:r>
      <w:r w:rsidR="005E089A">
        <w:rPr>
          <w:rFonts w:eastAsia="Times New Roman"/>
          <w:sz w:val="20"/>
          <w:szCs w:val="20"/>
          <w:lang w:eastAsia="en-AU"/>
        </w:rPr>
        <w:tab/>
      </w:r>
      <w:r w:rsidR="008D112D" w:rsidRPr="008D112D">
        <w:rPr>
          <w:rFonts w:eastAsia="Times New Roman"/>
          <w:sz w:val="20"/>
          <w:szCs w:val="20"/>
          <w:lang w:eastAsia="en-AU"/>
        </w:rPr>
        <w:t>Analyst </w:t>
      </w:r>
    </w:p>
    <w:p w14:paraId="466BCA4E" w14:textId="0CD3E76D" w:rsidR="007700AE" w:rsidRPr="008D112D" w:rsidRDefault="007700AE" w:rsidP="005E089A">
      <w:pPr>
        <w:widowControl/>
        <w:tabs>
          <w:tab w:val="left" w:pos="2880"/>
        </w:tabs>
        <w:spacing w:before="0" w:after="0"/>
        <w:textAlignment w:val="baseline"/>
        <w:rPr>
          <w:rFonts w:ascii="Segoe UI" w:eastAsia="Times New Roman" w:hAnsi="Segoe UI" w:cs="Segoe UI"/>
          <w:sz w:val="18"/>
          <w:szCs w:val="18"/>
          <w:lang w:eastAsia="en-AU"/>
        </w:rPr>
      </w:pPr>
      <w:r>
        <w:rPr>
          <w:rFonts w:eastAsia="Times New Roman"/>
          <w:sz w:val="20"/>
          <w:szCs w:val="20"/>
          <w:lang w:eastAsia="en-AU"/>
        </w:rPr>
        <w:t>Alaina Warwick</w:t>
      </w:r>
      <w:r w:rsidR="005E089A">
        <w:rPr>
          <w:rFonts w:eastAsia="Times New Roman"/>
          <w:sz w:val="20"/>
          <w:szCs w:val="20"/>
          <w:lang w:eastAsia="en-AU"/>
        </w:rPr>
        <w:tab/>
      </w:r>
      <w:r w:rsidRPr="008D112D">
        <w:rPr>
          <w:rFonts w:eastAsia="Times New Roman"/>
          <w:sz w:val="20"/>
          <w:szCs w:val="20"/>
          <w:lang w:eastAsia="en-AU"/>
        </w:rPr>
        <w:t>Analyst </w:t>
      </w:r>
    </w:p>
    <w:p w14:paraId="41DB7021" w14:textId="77777777" w:rsidR="008D112D" w:rsidRPr="008D112D" w:rsidRDefault="008D112D" w:rsidP="005E089A">
      <w:pPr>
        <w:widowControl/>
        <w:spacing w:before="180" w:after="60"/>
        <w:textAlignment w:val="baseline"/>
        <w:rPr>
          <w:rFonts w:ascii="Segoe UI" w:eastAsia="Times New Roman" w:hAnsi="Segoe UI" w:cs="Segoe UI"/>
          <w:sz w:val="18"/>
          <w:szCs w:val="18"/>
          <w:lang w:eastAsia="en-AU"/>
        </w:rPr>
      </w:pPr>
      <w:r w:rsidRPr="008D112D">
        <w:rPr>
          <w:rFonts w:eastAsia="Times New Roman"/>
          <w:i/>
          <w:iCs/>
          <w:sz w:val="20"/>
          <w:szCs w:val="20"/>
          <w:lang w:eastAsia="en-AU"/>
        </w:rPr>
        <w:t>Active Australian Equities Team</w:t>
      </w:r>
      <w:r w:rsidRPr="008D112D">
        <w:rPr>
          <w:rFonts w:eastAsia="Times New Roman"/>
          <w:sz w:val="20"/>
          <w:szCs w:val="20"/>
          <w:lang w:eastAsia="en-AU"/>
        </w:rPr>
        <w:t> </w:t>
      </w:r>
    </w:p>
    <w:p w14:paraId="1A6979BB" w14:textId="6B40BE20" w:rsidR="008D112D" w:rsidRPr="008D112D" w:rsidRDefault="0071735F" w:rsidP="005E089A">
      <w:pPr>
        <w:widowControl/>
        <w:tabs>
          <w:tab w:val="left" w:pos="2880"/>
        </w:tabs>
        <w:spacing w:before="0" w:after="0"/>
        <w:textAlignment w:val="baseline"/>
        <w:rPr>
          <w:rFonts w:ascii="Segoe UI" w:eastAsia="Times New Roman" w:hAnsi="Segoe UI" w:cs="Segoe UI"/>
          <w:sz w:val="18"/>
          <w:szCs w:val="18"/>
          <w:lang w:eastAsia="en-AU"/>
        </w:rPr>
      </w:pPr>
      <w:r>
        <w:rPr>
          <w:rFonts w:eastAsia="Times New Roman"/>
          <w:sz w:val="20"/>
          <w:szCs w:val="20"/>
          <w:lang w:eastAsia="en-AU"/>
        </w:rPr>
        <w:t>Chuxuan (</w:t>
      </w:r>
      <w:r w:rsidR="007700AE">
        <w:rPr>
          <w:rFonts w:eastAsia="Times New Roman"/>
          <w:sz w:val="20"/>
          <w:szCs w:val="20"/>
          <w:lang w:eastAsia="en-AU"/>
        </w:rPr>
        <w:t>Jessie</w:t>
      </w:r>
      <w:r>
        <w:rPr>
          <w:rFonts w:eastAsia="Times New Roman"/>
          <w:sz w:val="20"/>
          <w:szCs w:val="20"/>
          <w:lang w:eastAsia="en-AU"/>
        </w:rPr>
        <w:t>)</w:t>
      </w:r>
      <w:r w:rsidR="007700AE">
        <w:rPr>
          <w:rFonts w:eastAsia="Times New Roman"/>
          <w:sz w:val="20"/>
          <w:szCs w:val="20"/>
          <w:lang w:eastAsia="en-AU"/>
        </w:rPr>
        <w:t xml:space="preserve"> Jiang</w:t>
      </w:r>
      <w:r w:rsidR="005E089A">
        <w:rPr>
          <w:rFonts w:eastAsia="Times New Roman"/>
          <w:sz w:val="20"/>
          <w:szCs w:val="20"/>
          <w:lang w:eastAsia="en-AU"/>
        </w:rPr>
        <w:tab/>
      </w:r>
      <w:r w:rsidR="008D112D" w:rsidRPr="008D112D">
        <w:rPr>
          <w:rFonts w:eastAsia="Times New Roman"/>
          <w:sz w:val="20"/>
          <w:szCs w:val="20"/>
          <w:lang w:eastAsia="en-AU"/>
        </w:rPr>
        <w:t>Team Leader </w:t>
      </w:r>
    </w:p>
    <w:p w14:paraId="5B6FC94F" w14:textId="241D56AA" w:rsidR="008D112D" w:rsidRPr="008D112D" w:rsidRDefault="0071735F" w:rsidP="005E089A">
      <w:pPr>
        <w:widowControl/>
        <w:tabs>
          <w:tab w:val="left" w:pos="2880"/>
        </w:tabs>
        <w:spacing w:before="0" w:after="0"/>
        <w:textAlignment w:val="baseline"/>
        <w:rPr>
          <w:rFonts w:ascii="Segoe UI" w:eastAsia="Times New Roman" w:hAnsi="Segoe UI" w:cs="Segoe UI"/>
          <w:sz w:val="18"/>
          <w:szCs w:val="18"/>
          <w:lang w:eastAsia="en-AU"/>
        </w:rPr>
      </w:pPr>
      <w:r w:rsidRPr="0071735F">
        <w:rPr>
          <w:rFonts w:eastAsia="Times New Roman"/>
          <w:sz w:val="20"/>
          <w:szCs w:val="20"/>
          <w:lang w:eastAsia="en-AU"/>
        </w:rPr>
        <w:t xml:space="preserve">Chengxuan </w:t>
      </w:r>
      <w:r>
        <w:rPr>
          <w:rFonts w:eastAsia="Times New Roman"/>
          <w:sz w:val="20"/>
          <w:szCs w:val="20"/>
          <w:lang w:eastAsia="en-AU"/>
        </w:rPr>
        <w:t>(</w:t>
      </w:r>
      <w:r w:rsidR="005E089A">
        <w:rPr>
          <w:rFonts w:eastAsia="Times New Roman"/>
          <w:sz w:val="20"/>
          <w:szCs w:val="20"/>
          <w:lang w:eastAsia="en-AU"/>
        </w:rPr>
        <w:t>Charles</w:t>
      </w:r>
      <w:r>
        <w:rPr>
          <w:rFonts w:eastAsia="Times New Roman"/>
          <w:sz w:val="20"/>
          <w:szCs w:val="20"/>
          <w:lang w:eastAsia="en-AU"/>
        </w:rPr>
        <w:t>)</w:t>
      </w:r>
      <w:r w:rsidR="005E089A">
        <w:rPr>
          <w:rFonts w:eastAsia="Times New Roman"/>
          <w:sz w:val="20"/>
          <w:szCs w:val="20"/>
          <w:lang w:eastAsia="en-AU"/>
        </w:rPr>
        <w:t xml:space="preserve"> Zhang</w:t>
      </w:r>
      <w:r w:rsidR="005E089A">
        <w:rPr>
          <w:rFonts w:eastAsia="Times New Roman"/>
          <w:sz w:val="20"/>
          <w:szCs w:val="20"/>
          <w:lang w:eastAsia="en-AU"/>
        </w:rPr>
        <w:tab/>
      </w:r>
      <w:r w:rsidR="008D112D" w:rsidRPr="008D112D">
        <w:rPr>
          <w:rFonts w:eastAsia="Times New Roman"/>
          <w:sz w:val="20"/>
          <w:szCs w:val="20"/>
          <w:lang w:eastAsia="en-AU"/>
        </w:rPr>
        <w:t>Portfolio Manager </w:t>
      </w:r>
    </w:p>
    <w:p w14:paraId="6A8AB563" w14:textId="35996738" w:rsidR="008D112D" w:rsidRPr="008D112D" w:rsidRDefault="0071735F" w:rsidP="005E089A">
      <w:pPr>
        <w:widowControl/>
        <w:tabs>
          <w:tab w:val="left" w:pos="2880"/>
        </w:tabs>
        <w:spacing w:before="0" w:after="0"/>
        <w:textAlignment w:val="baseline"/>
        <w:rPr>
          <w:rFonts w:ascii="Segoe UI" w:eastAsia="Times New Roman" w:hAnsi="Segoe UI" w:cs="Segoe UI"/>
          <w:sz w:val="18"/>
          <w:szCs w:val="18"/>
          <w:lang w:eastAsia="en-AU"/>
        </w:rPr>
      </w:pPr>
      <w:r>
        <w:rPr>
          <w:rFonts w:eastAsia="Times New Roman"/>
          <w:sz w:val="20"/>
          <w:szCs w:val="20"/>
          <w:lang w:eastAsia="en-AU"/>
        </w:rPr>
        <w:t>Aiyun (</w:t>
      </w:r>
      <w:r w:rsidR="005E089A">
        <w:rPr>
          <w:rFonts w:eastAsia="Times New Roman"/>
          <w:sz w:val="20"/>
          <w:szCs w:val="20"/>
          <w:lang w:eastAsia="en-AU"/>
        </w:rPr>
        <w:t>Stephanie</w:t>
      </w:r>
      <w:r>
        <w:rPr>
          <w:rFonts w:eastAsia="Times New Roman"/>
          <w:sz w:val="20"/>
          <w:szCs w:val="20"/>
          <w:lang w:eastAsia="en-AU"/>
        </w:rPr>
        <w:t>)</w:t>
      </w:r>
      <w:r w:rsidR="005E089A">
        <w:rPr>
          <w:rFonts w:eastAsia="Times New Roman"/>
          <w:sz w:val="20"/>
          <w:szCs w:val="20"/>
          <w:lang w:eastAsia="en-AU"/>
        </w:rPr>
        <w:t xml:space="preserve"> Li</w:t>
      </w:r>
      <w:r w:rsidR="005E089A">
        <w:rPr>
          <w:rFonts w:eastAsia="Times New Roman"/>
          <w:sz w:val="20"/>
          <w:szCs w:val="20"/>
          <w:lang w:eastAsia="en-AU"/>
        </w:rPr>
        <w:tab/>
      </w:r>
      <w:r w:rsidR="007700AE">
        <w:rPr>
          <w:rFonts w:eastAsia="Times New Roman"/>
          <w:sz w:val="20"/>
          <w:szCs w:val="20"/>
          <w:lang w:eastAsia="en-AU"/>
        </w:rPr>
        <w:t>Senior Analyst</w:t>
      </w:r>
    </w:p>
    <w:p w14:paraId="665D8110" w14:textId="536B2F6F" w:rsidR="008D112D" w:rsidRPr="008D112D" w:rsidRDefault="005E089A" w:rsidP="005E089A">
      <w:pPr>
        <w:widowControl/>
        <w:tabs>
          <w:tab w:val="left" w:pos="2880"/>
        </w:tabs>
        <w:spacing w:before="0" w:after="0"/>
        <w:textAlignment w:val="baseline"/>
        <w:rPr>
          <w:rFonts w:ascii="Segoe UI" w:eastAsia="Times New Roman" w:hAnsi="Segoe UI" w:cs="Segoe UI"/>
          <w:sz w:val="18"/>
          <w:szCs w:val="18"/>
          <w:lang w:eastAsia="en-AU"/>
        </w:rPr>
      </w:pPr>
      <w:r>
        <w:rPr>
          <w:rFonts w:eastAsia="Times New Roman"/>
          <w:sz w:val="20"/>
          <w:szCs w:val="20"/>
          <w:lang w:eastAsia="en-AU"/>
        </w:rPr>
        <w:t>Sahibjeet Bains</w:t>
      </w:r>
      <w:r>
        <w:rPr>
          <w:rFonts w:eastAsia="Times New Roman"/>
          <w:sz w:val="20"/>
          <w:szCs w:val="20"/>
          <w:lang w:eastAsia="en-AU"/>
        </w:rPr>
        <w:tab/>
      </w:r>
      <w:r w:rsidR="008D112D" w:rsidRPr="008D112D">
        <w:rPr>
          <w:rFonts w:eastAsia="Times New Roman"/>
          <w:sz w:val="20"/>
          <w:szCs w:val="20"/>
          <w:lang w:eastAsia="en-AU"/>
        </w:rPr>
        <w:t>Analyst </w:t>
      </w:r>
    </w:p>
    <w:p w14:paraId="2C2D2472" w14:textId="00910B30" w:rsidR="008D112D" w:rsidRPr="008D112D" w:rsidRDefault="007700AE" w:rsidP="005E089A">
      <w:pPr>
        <w:widowControl/>
        <w:tabs>
          <w:tab w:val="left" w:pos="2880"/>
        </w:tabs>
        <w:spacing w:before="0" w:after="0"/>
        <w:textAlignment w:val="baseline"/>
        <w:rPr>
          <w:rFonts w:ascii="Segoe UI" w:eastAsia="Times New Roman" w:hAnsi="Segoe UI" w:cs="Segoe UI"/>
          <w:sz w:val="18"/>
          <w:szCs w:val="18"/>
          <w:lang w:eastAsia="en-AU"/>
        </w:rPr>
      </w:pPr>
      <w:r>
        <w:rPr>
          <w:rFonts w:eastAsia="Times New Roman"/>
          <w:sz w:val="20"/>
          <w:szCs w:val="20"/>
          <w:lang w:eastAsia="en-AU"/>
        </w:rPr>
        <w:t>Luke Farra</w:t>
      </w:r>
      <w:r w:rsidR="005E089A">
        <w:rPr>
          <w:rFonts w:eastAsia="Times New Roman"/>
          <w:sz w:val="20"/>
          <w:szCs w:val="20"/>
          <w:lang w:eastAsia="en-AU"/>
        </w:rPr>
        <w:t>r</w:t>
      </w:r>
      <w:r w:rsidR="005E089A">
        <w:rPr>
          <w:rFonts w:eastAsia="Times New Roman"/>
          <w:sz w:val="20"/>
          <w:szCs w:val="20"/>
          <w:lang w:eastAsia="en-AU"/>
        </w:rPr>
        <w:tab/>
      </w:r>
      <w:r w:rsidR="008D112D" w:rsidRPr="008D112D">
        <w:rPr>
          <w:rFonts w:eastAsia="Times New Roman"/>
          <w:sz w:val="20"/>
          <w:szCs w:val="20"/>
          <w:lang w:eastAsia="en-AU"/>
        </w:rPr>
        <w:t>Analyst </w:t>
      </w:r>
    </w:p>
    <w:p w14:paraId="5ADBF6E3" w14:textId="60AAEDB3" w:rsidR="008D112D" w:rsidRPr="008D112D" w:rsidRDefault="005E089A" w:rsidP="005E089A">
      <w:pPr>
        <w:widowControl/>
        <w:tabs>
          <w:tab w:val="left" w:pos="2880"/>
        </w:tabs>
        <w:spacing w:before="0" w:after="0"/>
        <w:textAlignment w:val="baseline"/>
        <w:rPr>
          <w:rFonts w:ascii="Segoe UI" w:eastAsia="Times New Roman" w:hAnsi="Segoe UI" w:cs="Segoe UI"/>
          <w:sz w:val="18"/>
          <w:szCs w:val="18"/>
          <w:lang w:eastAsia="en-AU"/>
        </w:rPr>
      </w:pPr>
      <w:r>
        <w:rPr>
          <w:rFonts w:eastAsia="Times New Roman"/>
          <w:sz w:val="20"/>
          <w:szCs w:val="20"/>
          <w:lang w:eastAsia="en-AU"/>
        </w:rPr>
        <w:t>Harrison McKenzie-McHarg</w:t>
      </w:r>
      <w:r>
        <w:rPr>
          <w:rFonts w:eastAsia="Times New Roman"/>
          <w:sz w:val="20"/>
          <w:szCs w:val="20"/>
          <w:lang w:eastAsia="en-AU"/>
        </w:rPr>
        <w:tab/>
      </w:r>
      <w:r w:rsidR="008D112D" w:rsidRPr="008D112D">
        <w:rPr>
          <w:rFonts w:eastAsia="Times New Roman"/>
          <w:sz w:val="20"/>
          <w:szCs w:val="20"/>
          <w:lang w:eastAsia="en-AU"/>
        </w:rPr>
        <w:t>Analyst </w:t>
      </w:r>
    </w:p>
    <w:p w14:paraId="439B5BA0" w14:textId="4E6D8429" w:rsidR="008D112D" w:rsidRPr="008D112D" w:rsidRDefault="005E089A" w:rsidP="005E089A">
      <w:pPr>
        <w:widowControl/>
        <w:tabs>
          <w:tab w:val="left" w:pos="2880"/>
        </w:tabs>
        <w:spacing w:before="0" w:after="0"/>
        <w:textAlignment w:val="baseline"/>
        <w:rPr>
          <w:rFonts w:ascii="Segoe UI" w:eastAsia="Times New Roman" w:hAnsi="Segoe UI" w:cs="Segoe UI"/>
          <w:sz w:val="18"/>
          <w:szCs w:val="18"/>
          <w:lang w:eastAsia="en-AU"/>
        </w:rPr>
      </w:pPr>
      <w:r>
        <w:rPr>
          <w:rFonts w:eastAsia="Times New Roman"/>
          <w:sz w:val="20"/>
          <w:szCs w:val="20"/>
          <w:lang w:eastAsia="en-AU"/>
        </w:rPr>
        <w:t>Khurshed Mehta</w:t>
      </w:r>
      <w:r>
        <w:rPr>
          <w:rFonts w:eastAsia="Times New Roman"/>
          <w:sz w:val="20"/>
          <w:szCs w:val="20"/>
          <w:lang w:eastAsia="en-AU"/>
        </w:rPr>
        <w:tab/>
      </w:r>
      <w:r w:rsidR="008D112D" w:rsidRPr="008D112D">
        <w:rPr>
          <w:rFonts w:eastAsia="Times New Roman"/>
          <w:sz w:val="20"/>
          <w:szCs w:val="20"/>
          <w:lang w:eastAsia="en-AU"/>
        </w:rPr>
        <w:t>Analyst </w:t>
      </w:r>
    </w:p>
    <w:p w14:paraId="3A16D7F3" w14:textId="1655DB4F" w:rsidR="008D112D" w:rsidRPr="008D112D" w:rsidRDefault="007700AE" w:rsidP="005E089A">
      <w:pPr>
        <w:widowControl/>
        <w:tabs>
          <w:tab w:val="left" w:pos="2880"/>
        </w:tabs>
        <w:spacing w:before="0" w:after="0"/>
        <w:textAlignment w:val="baseline"/>
        <w:rPr>
          <w:rFonts w:ascii="Segoe UI" w:eastAsia="Times New Roman" w:hAnsi="Segoe UI" w:cs="Segoe UI"/>
          <w:sz w:val="18"/>
          <w:szCs w:val="18"/>
          <w:lang w:eastAsia="en-AU"/>
        </w:rPr>
      </w:pPr>
      <w:r>
        <w:rPr>
          <w:rFonts w:eastAsia="Times New Roman"/>
          <w:sz w:val="20"/>
          <w:szCs w:val="20"/>
          <w:lang w:eastAsia="en-AU"/>
        </w:rPr>
        <w:t>Lachlan Phillips</w:t>
      </w:r>
      <w:r w:rsidR="005E089A">
        <w:rPr>
          <w:rFonts w:eastAsia="Times New Roman"/>
          <w:sz w:val="20"/>
          <w:szCs w:val="20"/>
          <w:lang w:eastAsia="en-AU"/>
        </w:rPr>
        <w:tab/>
      </w:r>
      <w:r w:rsidR="008D112D" w:rsidRPr="008D112D">
        <w:rPr>
          <w:rFonts w:eastAsia="Times New Roman"/>
          <w:sz w:val="20"/>
          <w:szCs w:val="20"/>
          <w:lang w:eastAsia="en-AU"/>
        </w:rPr>
        <w:t>Analyst </w:t>
      </w:r>
    </w:p>
    <w:p w14:paraId="1967626A" w14:textId="77777777" w:rsidR="008D112D" w:rsidRPr="008D112D" w:rsidRDefault="008D112D" w:rsidP="005E089A">
      <w:pPr>
        <w:widowControl/>
        <w:spacing w:before="180" w:after="60"/>
        <w:textAlignment w:val="baseline"/>
        <w:rPr>
          <w:rFonts w:ascii="Segoe UI" w:eastAsia="Times New Roman" w:hAnsi="Segoe UI" w:cs="Segoe UI"/>
          <w:sz w:val="18"/>
          <w:szCs w:val="18"/>
          <w:lang w:eastAsia="en-AU"/>
        </w:rPr>
      </w:pPr>
      <w:r w:rsidRPr="008D112D">
        <w:rPr>
          <w:rFonts w:eastAsia="Times New Roman"/>
          <w:i/>
          <w:iCs/>
          <w:sz w:val="20"/>
          <w:szCs w:val="20"/>
          <w:lang w:eastAsia="en-AU"/>
        </w:rPr>
        <w:t>Relationship Team </w:t>
      </w:r>
      <w:r w:rsidRPr="008D112D">
        <w:rPr>
          <w:rFonts w:eastAsia="Times New Roman"/>
          <w:sz w:val="20"/>
          <w:szCs w:val="20"/>
          <w:lang w:eastAsia="en-AU"/>
        </w:rPr>
        <w:t> </w:t>
      </w:r>
    </w:p>
    <w:p w14:paraId="2E374DE2" w14:textId="588D89E3" w:rsidR="008D112D" w:rsidRPr="008D112D" w:rsidRDefault="005E089A" w:rsidP="005E089A">
      <w:pPr>
        <w:widowControl/>
        <w:tabs>
          <w:tab w:val="left" w:pos="2880"/>
        </w:tabs>
        <w:spacing w:before="0" w:after="0"/>
        <w:textAlignment w:val="baseline"/>
        <w:rPr>
          <w:rFonts w:ascii="Segoe UI" w:eastAsia="Times New Roman" w:hAnsi="Segoe UI" w:cs="Segoe UI"/>
          <w:sz w:val="18"/>
          <w:szCs w:val="18"/>
          <w:lang w:eastAsia="en-AU"/>
        </w:rPr>
      </w:pPr>
      <w:r>
        <w:rPr>
          <w:rFonts w:eastAsia="Times New Roman"/>
          <w:sz w:val="20"/>
          <w:szCs w:val="20"/>
          <w:lang w:eastAsia="en-AU"/>
        </w:rPr>
        <w:t>Alisha Nath</w:t>
      </w:r>
      <w:r>
        <w:rPr>
          <w:rFonts w:eastAsia="Times New Roman"/>
          <w:sz w:val="20"/>
          <w:szCs w:val="20"/>
          <w:lang w:eastAsia="en-AU"/>
        </w:rPr>
        <w:tab/>
      </w:r>
      <w:r w:rsidR="008D112D" w:rsidRPr="008D112D">
        <w:rPr>
          <w:rFonts w:eastAsia="Times New Roman"/>
          <w:sz w:val="20"/>
          <w:szCs w:val="20"/>
          <w:lang w:eastAsia="en-AU"/>
        </w:rPr>
        <w:t>Relationship Officer (50%) </w:t>
      </w:r>
    </w:p>
    <w:p w14:paraId="1AB3949F" w14:textId="4DF14BD5" w:rsidR="008D112D" w:rsidRPr="008D112D" w:rsidRDefault="005E089A" w:rsidP="005E089A">
      <w:pPr>
        <w:widowControl/>
        <w:tabs>
          <w:tab w:val="left" w:pos="2880"/>
        </w:tabs>
        <w:spacing w:before="0" w:after="0"/>
        <w:textAlignment w:val="baseline"/>
        <w:rPr>
          <w:rFonts w:ascii="Segoe UI" w:eastAsia="Times New Roman" w:hAnsi="Segoe UI" w:cs="Segoe UI"/>
          <w:sz w:val="18"/>
          <w:szCs w:val="18"/>
          <w:lang w:eastAsia="en-AU"/>
        </w:rPr>
      </w:pPr>
      <w:r>
        <w:rPr>
          <w:rFonts w:eastAsia="Times New Roman"/>
          <w:sz w:val="20"/>
          <w:szCs w:val="20"/>
          <w:lang w:eastAsia="en-AU"/>
        </w:rPr>
        <w:t>Sophie Lebang</w:t>
      </w:r>
      <w:r>
        <w:rPr>
          <w:rFonts w:eastAsia="Times New Roman"/>
          <w:sz w:val="20"/>
          <w:szCs w:val="20"/>
          <w:lang w:eastAsia="en-AU"/>
        </w:rPr>
        <w:tab/>
      </w:r>
      <w:r w:rsidR="008D112D" w:rsidRPr="008D112D">
        <w:rPr>
          <w:rFonts w:eastAsia="Times New Roman"/>
          <w:sz w:val="20"/>
          <w:szCs w:val="20"/>
          <w:lang w:eastAsia="en-AU"/>
        </w:rPr>
        <w:t>Relationship Officer </w:t>
      </w:r>
    </w:p>
    <w:p w14:paraId="5B630C6D" w14:textId="77777777" w:rsidR="008D112D" w:rsidRPr="008D112D" w:rsidRDefault="008D112D" w:rsidP="0071735F">
      <w:pPr>
        <w:widowControl/>
        <w:spacing w:before="240" w:after="0"/>
        <w:textAlignment w:val="baseline"/>
        <w:rPr>
          <w:rFonts w:ascii="Segoe UI" w:eastAsia="Times New Roman" w:hAnsi="Segoe UI" w:cs="Segoe UI"/>
          <w:sz w:val="18"/>
          <w:szCs w:val="18"/>
          <w:lang w:eastAsia="en-AU"/>
        </w:rPr>
      </w:pPr>
      <w:r w:rsidRPr="008D112D">
        <w:rPr>
          <w:rFonts w:eastAsia="Times New Roman"/>
          <w:i/>
          <w:iCs/>
          <w:sz w:val="20"/>
          <w:szCs w:val="20"/>
          <w:lang w:eastAsia="en-AU"/>
        </w:rPr>
        <w:t>Convenors</w:t>
      </w:r>
      <w:r w:rsidRPr="008D112D">
        <w:rPr>
          <w:rFonts w:eastAsia="Times New Roman"/>
          <w:sz w:val="20"/>
          <w:szCs w:val="20"/>
          <w:lang w:eastAsia="en-AU"/>
        </w:rPr>
        <w:t> </w:t>
      </w:r>
    </w:p>
    <w:p w14:paraId="01E08BBE" w14:textId="3CF305A1" w:rsidR="008D112D" w:rsidRPr="008D112D" w:rsidRDefault="008D112D" w:rsidP="005E089A">
      <w:pPr>
        <w:widowControl/>
        <w:tabs>
          <w:tab w:val="left" w:pos="2880"/>
        </w:tabs>
        <w:spacing w:before="0" w:after="0"/>
        <w:textAlignment w:val="baseline"/>
        <w:rPr>
          <w:rFonts w:ascii="Segoe UI" w:eastAsia="Times New Roman" w:hAnsi="Segoe UI" w:cs="Segoe UI"/>
          <w:sz w:val="18"/>
          <w:szCs w:val="18"/>
          <w:lang w:eastAsia="en-AU"/>
        </w:rPr>
      </w:pPr>
      <w:r w:rsidRPr="008D112D">
        <w:rPr>
          <w:rFonts w:eastAsia="Times New Roman"/>
          <w:sz w:val="20"/>
          <w:szCs w:val="20"/>
          <w:lang w:eastAsia="en-AU"/>
        </w:rPr>
        <w:t>Anna von Reibnitz</w:t>
      </w:r>
      <w:r w:rsidR="005E089A">
        <w:rPr>
          <w:rFonts w:eastAsia="Times New Roman"/>
          <w:sz w:val="20"/>
          <w:szCs w:val="20"/>
          <w:lang w:eastAsia="en-AU"/>
        </w:rPr>
        <w:tab/>
      </w:r>
      <w:r w:rsidRPr="008D112D">
        <w:rPr>
          <w:rFonts w:eastAsia="Times New Roman"/>
          <w:sz w:val="20"/>
          <w:szCs w:val="20"/>
          <w:lang w:eastAsia="en-AU"/>
        </w:rPr>
        <w:t>Course Convenor </w:t>
      </w:r>
    </w:p>
    <w:p w14:paraId="1E5D98D8" w14:textId="73225BDB" w:rsidR="008D112D" w:rsidRPr="008D112D" w:rsidRDefault="008D112D" w:rsidP="005E089A">
      <w:pPr>
        <w:widowControl/>
        <w:tabs>
          <w:tab w:val="left" w:pos="2880"/>
        </w:tabs>
        <w:spacing w:before="0" w:after="0"/>
        <w:textAlignment w:val="baseline"/>
        <w:rPr>
          <w:rFonts w:ascii="Segoe UI" w:eastAsia="Times New Roman" w:hAnsi="Segoe UI" w:cs="Segoe UI"/>
          <w:sz w:val="18"/>
          <w:szCs w:val="18"/>
          <w:lang w:eastAsia="en-AU"/>
        </w:rPr>
      </w:pPr>
      <w:r w:rsidRPr="008D112D">
        <w:rPr>
          <w:rFonts w:eastAsia="Times New Roman"/>
          <w:sz w:val="20"/>
          <w:szCs w:val="20"/>
          <w:lang w:eastAsia="en-AU"/>
        </w:rPr>
        <w:t>Geoff Warren</w:t>
      </w:r>
      <w:r w:rsidR="007700AE">
        <w:rPr>
          <w:rFonts w:eastAsia="Times New Roman"/>
          <w:sz w:val="20"/>
          <w:szCs w:val="20"/>
          <w:lang w:eastAsia="en-AU"/>
        </w:rPr>
        <w:t xml:space="preserve"> </w:t>
      </w:r>
      <w:r w:rsidR="005E089A">
        <w:rPr>
          <w:rFonts w:eastAsia="Times New Roman"/>
          <w:sz w:val="20"/>
          <w:szCs w:val="20"/>
          <w:lang w:eastAsia="en-AU"/>
        </w:rPr>
        <w:tab/>
      </w:r>
      <w:r w:rsidR="000E793A">
        <w:rPr>
          <w:rFonts w:eastAsia="Times New Roman"/>
          <w:sz w:val="20"/>
          <w:szCs w:val="20"/>
          <w:lang w:eastAsia="en-AU"/>
        </w:rPr>
        <w:t xml:space="preserve">Fund </w:t>
      </w:r>
      <w:r w:rsidRPr="008D112D">
        <w:rPr>
          <w:rFonts w:eastAsia="Times New Roman"/>
          <w:sz w:val="20"/>
          <w:szCs w:val="20"/>
          <w:lang w:eastAsia="en-AU"/>
        </w:rPr>
        <w:t>Convenor </w:t>
      </w:r>
    </w:p>
    <w:p w14:paraId="07BD5F61" w14:textId="77777777" w:rsidR="008D112D" w:rsidRPr="008D112D" w:rsidRDefault="008D112D" w:rsidP="005E089A">
      <w:pPr>
        <w:widowControl/>
        <w:spacing w:before="0" w:after="0"/>
        <w:textAlignment w:val="baseline"/>
        <w:rPr>
          <w:rFonts w:ascii="Segoe UI" w:eastAsia="Times New Roman" w:hAnsi="Segoe UI" w:cs="Segoe UI"/>
          <w:sz w:val="18"/>
          <w:szCs w:val="18"/>
          <w:lang w:eastAsia="en-AU"/>
        </w:rPr>
      </w:pPr>
      <w:r w:rsidRPr="008D112D">
        <w:rPr>
          <w:rFonts w:eastAsia="Times New Roman"/>
          <w:sz w:val="20"/>
          <w:szCs w:val="20"/>
          <w:lang w:eastAsia="en-AU"/>
        </w:rPr>
        <w:t> </w:t>
      </w:r>
    </w:p>
    <w:p w14:paraId="0700CC9B" w14:textId="5D370315" w:rsidR="008D112D" w:rsidRPr="008D112D" w:rsidRDefault="00EA629A" w:rsidP="005E089A">
      <w:pPr>
        <w:pStyle w:val="Heading3"/>
        <w:spacing w:after="120"/>
        <w:rPr>
          <w:rFonts w:eastAsia="Times New Roman"/>
          <w:lang w:eastAsia="en-AU"/>
        </w:rPr>
      </w:pPr>
      <w:bookmarkStart w:id="30" w:name="_Toc13642417"/>
      <w:r w:rsidRPr="00EA629A">
        <w:rPr>
          <w:rFonts w:eastAsia="Times New Roman"/>
          <w:lang w:eastAsia="en-AU"/>
        </w:rPr>
        <w:t>New Team Members for Semester 2</w:t>
      </w:r>
      <w:r w:rsidR="008D112D" w:rsidRPr="00EA629A">
        <w:rPr>
          <w:rFonts w:eastAsia="Times New Roman"/>
          <w:lang w:eastAsia="en-AU"/>
        </w:rPr>
        <w:t>, 2019</w:t>
      </w:r>
      <w:bookmarkEnd w:id="30"/>
      <w:r w:rsidR="008D112D" w:rsidRPr="00EA629A">
        <w:rPr>
          <w:rFonts w:eastAsia="Times New Roman"/>
          <w:lang w:eastAsia="en-AU"/>
        </w:rPr>
        <w:t> </w:t>
      </w:r>
    </w:p>
    <w:p w14:paraId="44B60AE9" w14:textId="536ADE46" w:rsidR="008D112D" w:rsidRPr="008D112D" w:rsidRDefault="00EA629A" w:rsidP="005E089A">
      <w:pPr>
        <w:widowControl/>
        <w:tabs>
          <w:tab w:val="left" w:pos="2880"/>
        </w:tabs>
        <w:spacing w:before="0" w:after="0"/>
        <w:textAlignment w:val="baseline"/>
        <w:rPr>
          <w:rFonts w:ascii="Segoe UI" w:eastAsia="Times New Roman" w:hAnsi="Segoe UI" w:cs="Segoe UI"/>
          <w:sz w:val="18"/>
          <w:szCs w:val="18"/>
          <w:lang w:eastAsia="en-AU"/>
        </w:rPr>
      </w:pPr>
      <w:r>
        <w:rPr>
          <w:rFonts w:eastAsia="Times New Roman"/>
          <w:sz w:val="20"/>
          <w:szCs w:val="20"/>
          <w:lang w:eastAsia="en-AU"/>
        </w:rPr>
        <w:t>William Ranson-Smith</w:t>
      </w:r>
      <w:r w:rsidR="005E089A">
        <w:rPr>
          <w:rFonts w:eastAsia="Times New Roman"/>
          <w:sz w:val="20"/>
          <w:szCs w:val="20"/>
          <w:lang w:eastAsia="en-AU"/>
        </w:rPr>
        <w:tab/>
      </w:r>
      <w:r w:rsidR="008D112D" w:rsidRPr="008D112D">
        <w:rPr>
          <w:rFonts w:eastAsia="Times New Roman"/>
          <w:sz w:val="20"/>
          <w:szCs w:val="20"/>
          <w:lang w:eastAsia="en-AU"/>
        </w:rPr>
        <w:t>AAE Team </w:t>
      </w:r>
    </w:p>
    <w:p w14:paraId="16CD53C1" w14:textId="6971A644" w:rsidR="008D112D" w:rsidRPr="008D112D" w:rsidRDefault="005E089A" w:rsidP="005E089A">
      <w:pPr>
        <w:widowControl/>
        <w:tabs>
          <w:tab w:val="left" w:pos="2880"/>
        </w:tabs>
        <w:spacing w:before="0" w:after="0"/>
        <w:textAlignment w:val="baseline"/>
        <w:rPr>
          <w:rFonts w:ascii="Segoe UI" w:eastAsia="Times New Roman" w:hAnsi="Segoe UI" w:cs="Segoe UI"/>
          <w:sz w:val="18"/>
          <w:szCs w:val="18"/>
          <w:lang w:eastAsia="en-AU"/>
        </w:rPr>
      </w:pPr>
      <w:r>
        <w:rPr>
          <w:rFonts w:eastAsia="Times New Roman"/>
          <w:sz w:val="20"/>
          <w:szCs w:val="20"/>
          <w:lang w:eastAsia="en-AU"/>
        </w:rPr>
        <w:t>Todd O’Dea</w:t>
      </w:r>
      <w:r>
        <w:rPr>
          <w:rFonts w:eastAsia="Times New Roman"/>
          <w:sz w:val="20"/>
          <w:szCs w:val="20"/>
          <w:lang w:eastAsia="en-AU"/>
        </w:rPr>
        <w:tab/>
      </w:r>
      <w:r w:rsidR="008D112D" w:rsidRPr="008D112D">
        <w:rPr>
          <w:rFonts w:eastAsia="Times New Roman"/>
          <w:sz w:val="20"/>
          <w:szCs w:val="20"/>
          <w:lang w:val="fi-FI" w:eastAsia="en-AU"/>
        </w:rPr>
        <w:t>AAE Team</w:t>
      </w:r>
      <w:r w:rsidR="008D112D" w:rsidRPr="008D112D">
        <w:rPr>
          <w:rFonts w:eastAsia="Times New Roman"/>
          <w:sz w:val="20"/>
          <w:szCs w:val="20"/>
          <w:lang w:eastAsia="en-AU"/>
        </w:rPr>
        <w:t> </w:t>
      </w:r>
    </w:p>
    <w:p w14:paraId="5E12D50C" w14:textId="3225EF2E" w:rsidR="008D112D" w:rsidRPr="008D112D" w:rsidRDefault="0071735F" w:rsidP="005E089A">
      <w:pPr>
        <w:widowControl/>
        <w:tabs>
          <w:tab w:val="left" w:pos="2880"/>
        </w:tabs>
        <w:spacing w:before="0" w:after="0"/>
        <w:textAlignment w:val="baseline"/>
        <w:rPr>
          <w:rFonts w:ascii="Segoe UI" w:eastAsia="Times New Roman" w:hAnsi="Segoe UI" w:cs="Segoe UI"/>
          <w:sz w:val="18"/>
          <w:szCs w:val="18"/>
          <w:lang w:eastAsia="en-AU"/>
        </w:rPr>
      </w:pPr>
      <w:r w:rsidRPr="0071735F">
        <w:rPr>
          <w:rFonts w:eastAsia="Times New Roman"/>
          <w:sz w:val="20"/>
          <w:szCs w:val="20"/>
          <w:lang w:eastAsia="en-AU"/>
        </w:rPr>
        <w:t xml:space="preserve">Shengchang </w:t>
      </w:r>
      <w:r>
        <w:rPr>
          <w:rFonts w:eastAsia="Times New Roman"/>
          <w:sz w:val="20"/>
          <w:szCs w:val="20"/>
          <w:lang w:eastAsia="en-AU"/>
        </w:rPr>
        <w:t>(</w:t>
      </w:r>
      <w:r w:rsidR="005E089A">
        <w:rPr>
          <w:rFonts w:eastAsia="Times New Roman"/>
          <w:sz w:val="20"/>
          <w:szCs w:val="20"/>
          <w:lang w:eastAsia="en-AU"/>
        </w:rPr>
        <w:t>Albert</w:t>
      </w:r>
      <w:r>
        <w:rPr>
          <w:rFonts w:eastAsia="Times New Roman"/>
          <w:sz w:val="20"/>
          <w:szCs w:val="20"/>
          <w:lang w:eastAsia="en-AU"/>
        </w:rPr>
        <w:t>)</w:t>
      </w:r>
      <w:r w:rsidR="005E089A">
        <w:rPr>
          <w:rFonts w:eastAsia="Times New Roman"/>
          <w:sz w:val="20"/>
          <w:szCs w:val="20"/>
          <w:lang w:eastAsia="en-AU"/>
        </w:rPr>
        <w:t xml:space="preserve"> Zhang</w:t>
      </w:r>
      <w:r w:rsidR="005E089A">
        <w:rPr>
          <w:rFonts w:eastAsia="Times New Roman"/>
          <w:sz w:val="20"/>
          <w:szCs w:val="20"/>
          <w:lang w:eastAsia="en-AU"/>
        </w:rPr>
        <w:tab/>
      </w:r>
      <w:r w:rsidR="008D112D" w:rsidRPr="008D112D">
        <w:rPr>
          <w:rFonts w:eastAsia="Times New Roman"/>
          <w:sz w:val="20"/>
          <w:szCs w:val="20"/>
          <w:lang w:val="fi-FI" w:eastAsia="en-AU"/>
        </w:rPr>
        <w:t>AAE Team</w:t>
      </w:r>
      <w:r w:rsidR="008D112D" w:rsidRPr="008D112D">
        <w:rPr>
          <w:rFonts w:eastAsia="Times New Roman"/>
          <w:sz w:val="20"/>
          <w:szCs w:val="20"/>
          <w:lang w:eastAsia="en-AU"/>
        </w:rPr>
        <w:t>  </w:t>
      </w:r>
    </w:p>
    <w:p w14:paraId="13842792" w14:textId="3F840547" w:rsidR="008D112D" w:rsidRPr="008D112D" w:rsidRDefault="005E089A" w:rsidP="005E089A">
      <w:pPr>
        <w:widowControl/>
        <w:tabs>
          <w:tab w:val="left" w:pos="2880"/>
        </w:tabs>
        <w:spacing w:before="0" w:after="0"/>
        <w:textAlignment w:val="baseline"/>
        <w:rPr>
          <w:rFonts w:ascii="Segoe UI" w:eastAsia="Times New Roman" w:hAnsi="Segoe UI" w:cs="Segoe UI"/>
          <w:sz w:val="18"/>
          <w:szCs w:val="18"/>
          <w:lang w:eastAsia="en-AU"/>
        </w:rPr>
      </w:pPr>
      <w:r>
        <w:rPr>
          <w:rFonts w:eastAsia="Times New Roman"/>
          <w:sz w:val="20"/>
          <w:szCs w:val="20"/>
          <w:lang w:eastAsia="en-AU"/>
        </w:rPr>
        <w:t xml:space="preserve">Jia Jun </w:t>
      </w:r>
      <w:r w:rsidR="006815AF">
        <w:rPr>
          <w:rFonts w:eastAsia="Times New Roman"/>
          <w:sz w:val="20"/>
          <w:szCs w:val="20"/>
          <w:lang w:eastAsia="en-AU"/>
        </w:rPr>
        <w:t>(</w:t>
      </w:r>
      <w:r>
        <w:rPr>
          <w:rFonts w:eastAsia="Times New Roman"/>
          <w:sz w:val="20"/>
          <w:szCs w:val="20"/>
          <w:lang w:eastAsia="en-AU"/>
        </w:rPr>
        <w:t>Desmond</w:t>
      </w:r>
      <w:r w:rsidR="006815AF">
        <w:rPr>
          <w:rFonts w:eastAsia="Times New Roman"/>
          <w:sz w:val="20"/>
          <w:szCs w:val="20"/>
          <w:lang w:eastAsia="en-AU"/>
        </w:rPr>
        <w:t>)</w:t>
      </w:r>
      <w:r w:rsidR="0071735F">
        <w:rPr>
          <w:rFonts w:eastAsia="Times New Roman"/>
          <w:sz w:val="20"/>
          <w:szCs w:val="20"/>
          <w:lang w:eastAsia="en-AU"/>
        </w:rPr>
        <w:t xml:space="preserve"> </w:t>
      </w:r>
      <w:r w:rsidR="00EA629A">
        <w:rPr>
          <w:rFonts w:eastAsia="Times New Roman"/>
          <w:sz w:val="20"/>
          <w:szCs w:val="20"/>
          <w:lang w:eastAsia="en-AU"/>
        </w:rPr>
        <w:t>Ng</w:t>
      </w:r>
      <w:r w:rsidR="0071735F">
        <w:rPr>
          <w:rFonts w:eastAsia="Times New Roman"/>
          <w:sz w:val="20"/>
          <w:szCs w:val="20"/>
          <w:lang w:eastAsia="en-AU"/>
        </w:rPr>
        <w:tab/>
      </w:r>
      <w:r w:rsidR="008D112D" w:rsidRPr="008D112D">
        <w:rPr>
          <w:rFonts w:eastAsia="Times New Roman"/>
          <w:sz w:val="20"/>
          <w:szCs w:val="20"/>
          <w:lang w:eastAsia="en-AU"/>
        </w:rPr>
        <w:t>AAE Team </w:t>
      </w:r>
    </w:p>
    <w:p w14:paraId="16AE8BB0" w14:textId="74716D2C" w:rsidR="008D112D" w:rsidRPr="008D112D" w:rsidRDefault="005E089A" w:rsidP="005E089A">
      <w:pPr>
        <w:widowControl/>
        <w:tabs>
          <w:tab w:val="left" w:pos="2880"/>
        </w:tabs>
        <w:spacing w:before="0" w:after="0"/>
        <w:textAlignment w:val="baseline"/>
        <w:rPr>
          <w:rFonts w:ascii="Segoe UI" w:eastAsia="Times New Roman" w:hAnsi="Segoe UI" w:cs="Segoe UI"/>
          <w:sz w:val="18"/>
          <w:szCs w:val="18"/>
          <w:lang w:eastAsia="en-AU"/>
        </w:rPr>
      </w:pPr>
      <w:r>
        <w:rPr>
          <w:rFonts w:eastAsia="Times New Roman"/>
          <w:sz w:val="20"/>
          <w:szCs w:val="20"/>
          <w:lang w:eastAsia="en-AU"/>
        </w:rPr>
        <w:t>Rocky Lagudi</w:t>
      </w:r>
      <w:r>
        <w:rPr>
          <w:rFonts w:eastAsia="Times New Roman"/>
          <w:sz w:val="20"/>
          <w:szCs w:val="20"/>
          <w:lang w:eastAsia="en-AU"/>
        </w:rPr>
        <w:tab/>
      </w:r>
      <w:r w:rsidR="008D112D" w:rsidRPr="008D112D">
        <w:rPr>
          <w:rFonts w:eastAsia="Times New Roman"/>
          <w:sz w:val="20"/>
          <w:szCs w:val="20"/>
          <w:lang w:eastAsia="en-AU"/>
        </w:rPr>
        <w:t>AA Team </w:t>
      </w:r>
    </w:p>
    <w:p w14:paraId="681AFACD" w14:textId="07EB86E1" w:rsidR="008D112D" w:rsidRPr="008D112D" w:rsidRDefault="005E089A" w:rsidP="005E089A">
      <w:pPr>
        <w:widowControl/>
        <w:tabs>
          <w:tab w:val="left" w:pos="2880"/>
        </w:tabs>
        <w:spacing w:before="0" w:after="0"/>
        <w:textAlignment w:val="baseline"/>
        <w:rPr>
          <w:rFonts w:ascii="Segoe UI" w:eastAsia="Times New Roman" w:hAnsi="Segoe UI" w:cs="Segoe UI"/>
          <w:sz w:val="18"/>
          <w:szCs w:val="18"/>
          <w:lang w:eastAsia="en-AU"/>
        </w:rPr>
      </w:pPr>
      <w:r>
        <w:rPr>
          <w:rFonts w:eastAsia="Times New Roman"/>
          <w:sz w:val="20"/>
          <w:szCs w:val="20"/>
          <w:lang w:eastAsia="en-AU"/>
        </w:rPr>
        <w:t>Ashley White</w:t>
      </w:r>
      <w:r>
        <w:rPr>
          <w:rFonts w:eastAsia="Times New Roman"/>
          <w:sz w:val="20"/>
          <w:szCs w:val="20"/>
          <w:lang w:eastAsia="en-AU"/>
        </w:rPr>
        <w:tab/>
      </w:r>
      <w:r w:rsidR="008D112D" w:rsidRPr="008D112D">
        <w:rPr>
          <w:rFonts w:eastAsia="Times New Roman"/>
          <w:sz w:val="20"/>
          <w:szCs w:val="20"/>
          <w:lang w:eastAsia="en-AU"/>
        </w:rPr>
        <w:t>R&amp;C Team </w:t>
      </w:r>
    </w:p>
    <w:p w14:paraId="6E146EF3" w14:textId="2A85F8C5" w:rsidR="008D112D" w:rsidRPr="008D112D" w:rsidRDefault="005E089A" w:rsidP="005E089A">
      <w:pPr>
        <w:widowControl/>
        <w:tabs>
          <w:tab w:val="left" w:pos="2880"/>
        </w:tabs>
        <w:spacing w:before="0" w:after="0"/>
        <w:textAlignment w:val="baseline"/>
        <w:rPr>
          <w:rFonts w:ascii="Segoe UI" w:eastAsia="Times New Roman" w:hAnsi="Segoe UI" w:cs="Segoe UI"/>
          <w:sz w:val="18"/>
          <w:szCs w:val="18"/>
          <w:lang w:eastAsia="en-AU"/>
        </w:rPr>
      </w:pPr>
      <w:r>
        <w:rPr>
          <w:rFonts w:eastAsia="Times New Roman"/>
          <w:sz w:val="20"/>
          <w:szCs w:val="20"/>
          <w:lang w:eastAsia="en-AU"/>
        </w:rPr>
        <w:t>Charya Kannangara</w:t>
      </w:r>
      <w:r>
        <w:rPr>
          <w:rFonts w:eastAsia="Times New Roman"/>
          <w:sz w:val="20"/>
          <w:szCs w:val="20"/>
          <w:lang w:eastAsia="en-AU"/>
        </w:rPr>
        <w:tab/>
      </w:r>
      <w:r w:rsidR="008D112D" w:rsidRPr="008D112D">
        <w:rPr>
          <w:rFonts w:eastAsia="Times New Roman"/>
          <w:sz w:val="20"/>
          <w:szCs w:val="20"/>
          <w:lang w:eastAsia="en-AU"/>
        </w:rPr>
        <w:t>Relationship </w:t>
      </w:r>
      <w:r w:rsidR="00AC7520">
        <w:rPr>
          <w:rFonts w:eastAsia="Times New Roman"/>
          <w:sz w:val="20"/>
          <w:szCs w:val="20"/>
          <w:lang w:eastAsia="en-AU"/>
        </w:rPr>
        <w:t xml:space="preserve">(50%) </w:t>
      </w:r>
      <w:r w:rsidR="008D112D" w:rsidRPr="008D112D">
        <w:rPr>
          <w:rFonts w:eastAsia="Times New Roman"/>
          <w:sz w:val="20"/>
          <w:szCs w:val="20"/>
          <w:lang w:eastAsia="en-AU"/>
        </w:rPr>
        <w:t>and R&amp;C</w:t>
      </w:r>
      <w:r w:rsidR="00AC7520">
        <w:rPr>
          <w:rFonts w:eastAsia="Times New Roman"/>
          <w:sz w:val="20"/>
          <w:szCs w:val="20"/>
          <w:lang w:eastAsia="en-AU"/>
        </w:rPr>
        <w:t xml:space="preserve"> (50%)</w:t>
      </w:r>
      <w:r w:rsidR="008D112D" w:rsidRPr="008D112D">
        <w:rPr>
          <w:rFonts w:eastAsia="Times New Roman"/>
          <w:sz w:val="20"/>
          <w:szCs w:val="20"/>
          <w:lang w:eastAsia="en-AU"/>
        </w:rPr>
        <w:t xml:space="preserve"> Teams</w:t>
      </w:r>
    </w:p>
    <w:p w14:paraId="20F1505F" w14:textId="707FC16B" w:rsidR="008D112D" w:rsidRPr="008D112D" w:rsidRDefault="00EA629A" w:rsidP="005E089A">
      <w:pPr>
        <w:widowControl/>
        <w:tabs>
          <w:tab w:val="left" w:pos="2880"/>
        </w:tabs>
        <w:spacing w:before="0" w:after="0"/>
        <w:textAlignment w:val="baseline"/>
        <w:rPr>
          <w:rFonts w:ascii="Segoe UI" w:eastAsia="Times New Roman" w:hAnsi="Segoe UI" w:cs="Segoe UI"/>
          <w:sz w:val="18"/>
          <w:szCs w:val="18"/>
          <w:lang w:eastAsia="en-AU"/>
        </w:rPr>
      </w:pPr>
      <w:r>
        <w:rPr>
          <w:rFonts w:eastAsia="Times New Roman"/>
          <w:sz w:val="20"/>
          <w:szCs w:val="20"/>
          <w:lang w:eastAsia="en-AU"/>
        </w:rPr>
        <w:t>Yanfei</w:t>
      </w:r>
      <w:r w:rsidR="006815AF">
        <w:rPr>
          <w:rFonts w:eastAsia="Times New Roman"/>
          <w:sz w:val="20"/>
          <w:szCs w:val="20"/>
          <w:lang w:eastAsia="en-AU"/>
        </w:rPr>
        <w:t xml:space="preserve"> (Victoria)</w:t>
      </w:r>
      <w:r>
        <w:rPr>
          <w:rFonts w:eastAsia="Times New Roman"/>
          <w:sz w:val="20"/>
          <w:szCs w:val="20"/>
          <w:lang w:eastAsia="en-AU"/>
        </w:rPr>
        <w:t xml:space="preserve"> R</w:t>
      </w:r>
      <w:r w:rsidR="005E089A">
        <w:rPr>
          <w:rFonts w:eastAsia="Times New Roman"/>
          <w:sz w:val="20"/>
          <w:szCs w:val="20"/>
          <w:lang w:eastAsia="en-AU"/>
        </w:rPr>
        <w:t>ao</w:t>
      </w:r>
      <w:r w:rsidR="005E089A">
        <w:rPr>
          <w:rFonts w:eastAsia="Times New Roman"/>
          <w:sz w:val="20"/>
          <w:szCs w:val="20"/>
          <w:lang w:eastAsia="en-AU"/>
        </w:rPr>
        <w:tab/>
      </w:r>
      <w:r w:rsidR="008D112D" w:rsidRPr="008D112D">
        <w:rPr>
          <w:rFonts w:eastAsia="Times New Roman"/>
          <w:sz w:val="20"/>
          <w:szCs w:val="20"/>
          <w:lang w:eastAsia="en-AU"/>
        </w:rPr>
        <w:t>Relationship Team </w:t>
      </w:r>
    </w:p>
    <w:p w14:paraId="2898EEF1" w14:textId="77777777" w:rsidR="008D112D" w:rsidRDefault="008D112D">
      <w:pPr>
        <w:rPr>
          <w:b/>
          <w:bCs/>
          <w:iCs/>
          <w:color w:val="5B9BD5" w:themeColor="accent1"/>
          <w:szCs w:val="28"/>
        </w:rPr>
      </w:pPr>
    </w:p>
    <w:p w14:paraId="361A0693" w14:textId="0E3095DF" w:rsidR="00117212" w:rsidRPr="00FB58A9" w:rsidRDefault="00117212" w:rsidP="00FB58A9">
      <w:pPr>
        <w:widowControl/>
        <w:spacing w:before="0" w:after="160" w:line="259" w:lineRule="auto"/>
        <w:jc w:val="left"/>
        <w:rPr>
          <w:b/>
          <w:bCs/>
          <w:iCs/>
          <w:color w:val="5B9BD5" w:themeColor="accent1"/>
          <w:szCs w:val="28"/>
        </w:rPr>
      </w:pPr>
    </w:p>
    <w:sectPr w:rsidR="00117212" w:rsidRPr="00FB58A9" w:rsidSect="00867A98">
      <w:headerReference w:type="default" r:id="rId11"/>
      <w:footerReference w:type="even" r:id="rId12"/>
      <w:footerReference w:type="default" r:id="rId13"/>
      <w:pgSz w:w="11906" w:h="16838"/>
      <w:pgMar w:top="1152" w:right="1152" w:bottom="1008" w:left="1152" w:header="432" w:footer="144"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721C6D" w14:textId="77777777" w:rsidR="00B50C8C" w:rsidRDefault="00B50C8C" w:rsidP="00FB58A9">
      <w:pPr>
        <w:spacing w:before="0" w:after="0" w:line="240" w:lineRule="auto"/>
      </w:pPr>
      <w:r>
        <w:separator/>
      </w:r>
    </w:p>
  </w:endnote>
  <w:endnote w:type="continuationSeparator" w:id="0">
    <w:p w14:paraId="297B92CA" w14:textId="77777777" w:rsidR="00B50C8C" w:rsidRDefault="00B50C8C" w:rsidP="00FB58A9">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964042058"/>
      <w:docPartObj>
        <w:docPartGallery w:val="Page Numbers (Bottom of Page)"/>
        <w:docPartUnique/>
      </w:docPartObj>
    </w:sdtPr>
    <w:sdtContent>
      <w:p w14:paraId="5B248B97" w14:textId="7DE0CC04" w:rsidR="001478FA" w:rsidRDefault="001478FA" w:rsidP="00BB06F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675C404" w14:textId="77777777" w:rsidR="001478FA" w:rsidRDefault="001478FA" w:rsidP="00FB58A9">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614519698"/>
      <w:docPartObj>
        <w:docPartGallery w:val="Page Numbers (Bottom of Page)"/>
        <w:docPartUnique/>
      </w:docPartObj>
    </w:sdtPr>
    <w:sdtEndPr>
      <w:rPr>
        <w:rStyle w:val="PageNumber"/>
        <w:sz w:val="20"/>
        <w:szCs w:val="20"/>
      </w:rPr>
    </w:sdtEndPr>
    <w:sdtContent>
      <w:p w14:paraId="7DD4670F" w14:textId="4FC9835D" w:rsidR="001478FA" w:rsidRPr="00FB58A9" w:rsidRDefault="001478FA" w:rsidP="00BB06F4">
        <w:pPr>
          <w:pStyle w:val="Footer"/>
          <w:framePr w:wrap="none" w:vAnchor="text" w:hAnchor="margin" w:xAlign="right" w:y="1"/>
          <w:rPr>
            <w:rStyle w:val="PageNumber"/>
            <w:sz w:val="20"/>
            <w:szCs w:val="20"/>
          </w:rPr>
        </w:pPr>
        <w:r w:rsidRPr="00FB58A9">
          <w:rPr>
            <w:rStyle w:val="PageNumber"/>
            <w:sz w:val="20"/>
            <w:szCs w:val="20"/>
          </w:rPr>
          <w:fldChar w:fldCharType="begin"/>
        </w:r>
        <w:r w:rsidRPr="00FB58A9">
          <w:rPr>
            <w:rStyle w:val="PageNumber"/>
            <w:sz w:val="20"/>
            <w:szCs w:val="20"/>
          </w:rPr>
          <w:instrText xml:space="preserve"> PAGE </w:instrText>
        </w:r>
        <w:r w:rsidRPr="00FB58A9">
          <w:rPr>
            <w:rStyle w:val="PageNumber"/>
            <w:sz w:val="20"/>
            <w:szCs w:val="20"/>
          </w:rPr>
          <w:fldChar w:fldCharType="separate"/>
        </w:r>
        <w:r w:rsidR="009A6510">
          <w:rPr>
            <w:rStyle w:val="PageNumber"/>
            <w:noProof/>
            <w:sz w:val="20"/>
            <w:szCs w:val="20"/>
          </w:rPr>
          <w:t>2</w:t>
        </w:r>
        <w:r w:rsidRPr="00FB58A9">
          <w:rPr>
            <w:rStyle w:val="PageNumber"/>
            <w:sz w:val="20"/>
            <w:szCs w:val="20"/>
          </w:rPr>
          <w:fldChar w:fldCharType="end"/>
        </w:r>
      </w:p>
    </w:sdtContent>
  </w:sdt>
  <w:p w14:paraId="0BA5E501" w14:textId="237AC6E9" w:rsidR="001478FA" w:rsidRPr="00FB58A9" w:rsidRDefault="001478FA" w:rsidP="00867A98">
    <w:pPr>
      <w:pStyle w:val="Footer"/>
      <w:tabs>
        <w:tab w:val="clear" w:pos="4680"/>
        <w:tab w:val="clear" w:pos="9360"/>
        <w:tab w:val="center" w:pos="4621"/>
      </w:tabs>
      <w:ind w:right="360"/>
      <w:rPr>
        <w:sz w:val="20"/>
        <w:szCs w:val="20"/>
      </w:rPr>
    </w:pPr>
    <w:r w:rsidRPr="00FB58A9">
      <w:rPr>
        <w:sz w:val="20"/>
        <w:szCs w:val="20"/>
      </w:rPr>
      <w:t xml:space="preserve">ANU SMF: Report for End of Semester 1, 2019  </w:t>
    </w:r>
    <w:r>
      <w:rPr>
        <w:sz w:val="20"/>
        <w:szCs w:val="20"/>
      </w:rPr>
      <w:tab/>
    </w:r>
  </w:p>
  <w:p w14:paraId="7EB0747C" w14:textId="77777777" w:rsidR="001478FA" w:rsidRDefault="001478FA">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2B44B0" w14:textId="77777777" w:rsidR="00B50C8C" w:rsidRDefault="00B50C8C" w:rsidP="00FB58A9">
      <w:pPr>
        <w:spacing w:before="0" w:after="0" w:line="240" w:lineRule="auto"/>
      </w:pPr>
      <w:r>
        <w:separator/>
      </w:r>
    </w:p>
  </w:footnote>
  <w:footnote w:type="continuationSeparator" w:id="0">
    <w:p w14:paraId="48F3B7AE" w14:textId="77777777" w:rsidR="00B50C8C" w:rsidRDefault="00B50C8C" w:rsidP="00FB58A9">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AF4C5A" w14:textId="6204DF38" w:rsidR="001478FA" w:rsidRDefault="001478FA">
    <w:pPr>
      <w:pStyle w:val="Header"/>
    </w:pPr>
    <w:r>
      <w:rPr>
        <w:noProof/>
        <w:lang w:eastAsia="en-AU"/>
      </w:rPr>
      <w:drawing>
        <wp:inline distT="0" distB="0" distL="0" distR="0" wp14:anchorId="77005048" wp14:editId="137246E6">
          <wp:extent cx="1559858" cy="542503"/>
          <wp:effectExtent l="0" t="0" r="2540" b="0"/>
          <wp:docPr id="2" name="Picture 2" title="The Australian National Univers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eader-logo.wmf"/>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68260" cy="545425"/>
                  </a:xfrm>
                  <a:prstGeom prst="rect">
                    <a:avLst/>
                  </a:prstGeom>
                </pic:spPr>
              </pic:pic>
            </a:graphicData>
          </a:graphic>
        </wp:inline>
      </w:drawing>
    </w:r>
  </w:p>
  <w:p w14:paraId="6AD47B92" w14:textId="77777777" w:rsidR="001478FA" w:rsidRDefault="001478FA">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43C65"/>
    <w:multiLevelType w:val="multilevel"/>
    <w:tmpl w:val="6BD6855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 w15:restartNumberingAfterBreak="0">
    <w:nsid w:val="0B0F78B2"/>
    <w:multiLevelType w:val="multilevel"/>
    <w:tmpl w:val="405C55B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 w15:restartNumberingAfterBreak="0">
    <w:nsid w:val="18830C71"/>
    <w:multiLevelType w:val="multilevel"/>
    <w:tmpl w:val="E3C47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D8109A8"/>
    <w:multiLevelType w:val="multilevel"/>
    <w:tmpl w:val="28D6030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 w15:restartNumberingAfterBreak="0">
    <w:nsid w:val="206A2DCE"/>
    <w:multiLevelType w:val="hybridMultilevel"/>
    <w:tmpl w:val="F67ED65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5" w15:restartNumberingAfterBreak="0">
    <w:nsid w:val="26D609D1"/>
    <w:multiLevelType w:val="multilevel"/>
    <w:tmpl w:val="90C41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CD40A21"/>
    <w:multiLevelType w:val="hybridMultilevel"/>
    <w:tmpl w:val="A1ACDBD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7" w15:restartNumberingAfterBreak="0">
    <w:nsid w:val="362577AC"/>
    <w:multiLevelType w:val="hybridMultilevel"/>
    <w:tmpl w:val="C6A672A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8" w15:restartNumberingAfterBreak="0">
    <w:nsid w:val="376C5A04"/>
    <w:multiLevelType w:val="multilevel"/>
    <w:tmpl w:val="398C412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9" w15:restartNumberingAfterBreak="0">
    <w:nsid w:val="450768E3"/>
    <w:multiLevelType w:val="multilevel"/>
    <w:tmpl w:val="292864D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0" w15:restartNumberingAfterBreak="0">
    <w:nsid w:val="50F75998"/>
    <w:multiLevelType w:val="multilevel"/>
    <w:tmpl w:val="C9FEB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44C3EF9"/>
    <w:multiLevelType w:val="hybridMultilevel"/>
    <w:tmpl w:val="903A82F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84B05CE"/>
    <w:multiLevelType w:val="multilevel"/>
    <w:tmpl w:val="E402AA5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3" w15:restartNumberingAfterBreak="0">
    <w:nsid w:val="751B54DA"/>
    <w:multiLevelType w:val="hybridMultilevel"/>
    <w:tmpl w:val="F56236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7AE85A56"/>
    <w:multiLevelType w:val="multilevel"/>
    <w:tmpl w:val="E22089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7B6A64E4"/>
    <w:multiLevelType w:val="multilevel"/>
    <w:tmpl w:val="A21486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1"/>
  </w:num>
  <w:num w:numId="2">
    <w:abstractNumId w:val="10"/>
  </w:num>
  <w:num w:numId="3">
    <w:abstractNumId w:val="3"/>
  </w:num>
  <w:num w:numId="4">
    <w:abstractNumId w:val="0"/>
  </w:num>
  <w:num w:numId="5">
    <w:abstractNumId w:val="15"/>
  </w:num>
  <w:num w:numId="6">
    <w:abstractNumId w:val="5"/>
  </w:num>
  <w:num w:numId="7">
    <w:abstractNumId w:val="12"/>
  </w:num>
  <w:num w:numId="8">
    <w:abstractNumId w:val="1"/>
  </w:num>
  <w:num w:numId="9">
    <w:abstractNumId w:val="14"/>
  </w:num>
  <w:num w:numId="10">
    <w:abstractNumId w:val="9"/>
  </w:num>
  <w:num w:numId="11">
    <w:abstractNumId w:val="2"/>
  </w:num>
  <w:num w:numId="12">
    <w:abstractNumId w:val="8"/>
  </w:num>
  <w:num w:numId="13">
    <w:abstractNumId w:val="13"/>
  </w:num>
  <w:num w:numId="14">
    <w:abstractNumId w:val="7"/>
  </w:num>
  <w:num w:numId="15">
    <w:abstractNumId w:val="4"/>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032A"/>
    <w:rsid w:val="00047780"/>
    <w:rsid w:val="00060C5A"/>
    <w:rsid w:val="0006678B"/>
    <w:rsid w:val="000670BC"/>
    <w:rsid w:val="00074768"/>
    <w:rsid w:val="00087CAD"/>
    <w:rsid w:val="00090241"/>
    <w:rsid w:val="0009735E"/>
    <w:rsid w:val="000A2C58"/>
    <w:rsid w:val="000B3BF1"/>
    <w:rsid w:val="000B65F3"/>
    <w:rsid w:val="000E793A"/>
    <w:rsid w:val="001029F4"/>
    <w:rsid w:val="00105FFD"/>
    <w:rsid w:val="00117212"/>
    <w:rsid w:val="001343EC"/>
    <w:rsid w:val="00134F2F"/>
    <w:rsid w:val="001478FA"/>
    <w:rsid w:val="0015032A"/>
    <w:rsid w:val="00152EE5"/>
    <w:rsid w:val="00156BF7"/>
    <w:rsid w:val="00167088"/>
    <w:rsid w:val="00171F02"/>
    <w:rsid w:val="001816DD"/>
    <w:rsid w:val="00182448"/>
    <w:rsid w:val="001E09F4"/>
    <w:rsid w:val="001E302E"/>
    <w:rsid w:val="001E3D5E"/>
    <w:rsid w:val="00215377"/>
    <w:rsid w:val="0022709F"/>
    <w:rsid w:val="00231685"/>
    <w:rsid w:val="00242342"/>
    <w:rsid w:val="00257409"/>
    <w:rsid w:val="00261294"/>
    <w:rsid w:val="00265F84"/>
    <w:rsid w:val="0027415C"/>
    <w:rsid w:val="0028356D"/>
    <w:rsid w:val="002A1E3E"/>
    <w:rsid w:val="002C3451"/>
    <w:rsid w:val="003060F4"/>
    <w:rsid w:val="003119D8"/>
    <w:rsid w:val="0031309E"/>
    <w:rsid w:val="00316144"/>
    <w:rsid w:val="0033485C"/>
    <w:rsid w:val="003369DF"/>
    <w:rsid w:val="00342237"/>
    <w:rsid w:val="00365D89"/>
    <w:rsid w:val="00366123"/>
    <w:rsid w:val="00374714"/>
    <w:rsid w:val="00377535"/>
    <w:rsid w:val="003A5129"/>
    <w:rsid w:val="003A5682"/>
    <w:rsid w:val="003B1746"/>
    <w:rsid w:val="003B7A87"/>
    <w:rsid w:val="003C521C"/>
    <w:rsid w:val="003E3B7B"/>
    <w:rsid w:val="003E3C44"/>
    <w:rsid w:val="003E427B"/>
    <w:rsid w:val="00400AF3"/>
    <w:rsid w:val="00412687"/>
    <w:rsid w:val="00416789"/>
    <w:rsid w:val="0042068D"/>
    <w:rsid w:val="004239B1"/>
    <w:rsid w:val="00453071"/>
    <w:rsid w:val="00490B39"/>
    <w:rsid w:val="004A1DEF"/>
    <w:rsid w:val="004A253E"/>
    <w:rsid w:val="004A4D56"/>
    <w:rsid w:val="004B30EC"/>
    <w:rsid w:val="004B687D"/>
    <w:rsid w:val="004D1898"/>
    <w:rsid w:val="00502FEE"/>
    <w:rsid w:val="00522F97"/>
    <w:rsid w:val="00527139"/>
    <w:rsid w:val="005367E6"/>
    <w:rsid w:val="005410C9"/>
    <w:rsid w:val="00557AE5"/>
    <w:rsid w:val="00564769"/>
    <w:rsid w:val="00576EA1"/>
    <w:rsid w:val="005A64F3"/>
    <w:rsid w:val="005B4241"/>
    <w:rsid w:val="005C1793"/>
    <w:rsid w:val="005D265B"/>
    <w:rsid w:val="005E089A"/>
    <w:rsid w:val="005F3380"/>
    <w:rsid w:val="006030E3"/>
    <w:rsid w:val="00610DE8"/>
    <w:rsid w:val="00617AED"/>
    <w:rsid w:val="00665C75"/>
    <w:rsid w:val="00672FD9"/>
    <w:rsid w:val="006815AF"/>
    <w:rsid w:val="006870C2"/>
    <w:rsid w:val="006A0489"/>
    <w:rsid w:val="006D76F9"/>
    <w:rsid w:val="006D7941"/>
    <w:rsid w:val="006E0BB3"/>
    <w:rsid w:val="006F3507"/>
    <w:rsid w:val="007045DA"/>
    <w:rsid w:val="007159E5"/>
    <w:rsid w:val="0071735F"/>
    <w:rsid w:val="007230BC"/>
    <w:rsid w:val="00725ACD"/>
    <w:rsid w:val="00760A44"/>
    <w:rsid w:val="00763CD0"/>
    <w:rsid w:val="007700AE"/>
    <w:rsid w:val="00775EC9"/>
    <w:rsid w:val="00785FD5"/>
    <w:rsid w:val="00793D5D"/>
    <w:rsid w:val="00795A39"/>
    <w:rsid w:val="007B07E6"/>
    <w:rsid w:val="007B43B3"/>
    <w:rsid w:val="007C5E24"/>
    <w:rsid w:val="007C779F"/>
    <w:rsid w:val="007C7A95"/>
    <w:rsid w:val="007D6B1E"/>
    <w:rsid w:val="007E3546"/>
    <w:rsid w:val="007F3AA7"/>
    <w:rsid w:val="007F5E48"/>
    <w:rsid w:val="0081221C"/>
    <w:rsid w:val="00821193"/>
    <w:rsid w:val="00821A80"/>
    <w:rsid w:val="00833452"/>
    <w:rsid w:val="008346FE"/>
    <w:rsid w:val="00860542"/>
    <w:rsid w:val="00866A51"/>
    <w:rsid w:val="00867A98"/>
    <w:rsid w:val="00877528"/>
    <w:rsid w:val="008820A4"/>
    <w:rsid w:val="00892BEB"/>
    <w:rsid w:val="0089523B"/>
    <w:rsid w:val="00897D85"/>
    <w:rsid w:val="008A7B83"/>
    <w:rsid w:val="008B0C09"/>
    <w:rsid w:val="008B6043"/>
    <w:rsid w:val="008D112D"/>
    <w:rsid w:val="008D244C"/>
    <w:rsid w:val="008D3A0F"/>
    <w:rsid w:val="008F0EDB"/>
    <w:rsid w:val="008F740B"/>
    <w:rsid w:val="009051C0"/>
    <w:rsid w:val="00911038"/>
    <w:rsid w:val="0091516F"/>
    <w:rsid w:val="0092765D"/>
    <w:rsid w:val="00937725"/>
    <w:rsid w:val="009433C0"/>
    <w:rsid w:val="00967D12"/>
    <w:rsid w:val="00974DDA"/>
    <w:rsid w:val="009801AC"/>
    <w:rsid w:val="009A6510"/>
    <w:rsid w:val="009B43AA"/>
    <w:rsid w:val="009B6972"/>
    <w:rsid w:val="009B757C"/>
    <w:rsid w:val="009C07BE"/>
    <w:rsid w:val="009C2A93"/>
    <w:rsid w:val="009C3D46"/>
    <w:rsid w:val="009E1BB6"/>
    <w:rsid w:val="009E344E"/>
    <w:rsid w:val="009E3D56"/>
    <w:rsid w:val="009F05B5"/>
    <w:rsid w:val="009F1C1A"/>
    <w:rsid w:val="00A05B9A"/>
    <w:rsid w:val="00A2188A"/>
    <w:rsid w:val="00A35896"/>
    <w:rsid w:val="00A40287"/>
    <w:rsid w:val="00A5218C"/>
    <w:rsid w:val="00A57FFB"/>
    <w:rsid w:val="00A62B4A"/>
    <w:rsid w:val="00A857DA"/>
    <w:rsid w:val="00AB1473"/>
    <w:rsid w:val="00AB7BCA"/>
    <w:rsid w:val="00AC7520"/>
    <w:rsid w:val="00AE11DA"/>
    <w:rsid w:val="00AE289C"/>
    <w:rsid w:val="00AF0889"/>
    <w:rsid w:val="00AF325D"/>
    <w:rsid w:val="00AF3DAA"/>
    <w:rsid w:val="00AF3E26"/>
    <w:rsid w:val="00B0514C"/>
    <w:rsid w:val="00B12FF5"/>
    <w:rsid w:val="00B175AD"/>
    <w:rsid w:val="00B45E0A"/>
    <w:rsid w:val="00B471B7"/>
    <w:rsid w:val="00B503E8"/>
    <w:rsid w:val="00B50C8C"/>
    <w:rsid w:val="00B622CD"/>
    <w:rsid w:val="00B70A28"/>
    <w:rsid w:val="00B81DE2"/>
    <w:rsid w:val="00BA6E04"/>
    <w:rsid w:val="00BA70F3"/>
    <w:rsid w:val="00BB06F4"/>
    <w:rsid w:val="00BD5C63"/>
    <w:rsid w:val="00BE4838"/>
    <w:rsid w:val="00C00397"/>
    <w:rsid w:val="00C04C9B"/>
    <w:rsid w:val="00C16B51"/>
    <w:rsid w:val="00C25464"/>
    <w:rsid w:val="00C27110"/>
    <w:rsid w:val="00C439B5"/>
    <w:rsid w:val="00C658D7"/>
    <w:rsid w:val="00C771A1"/>
    <w:rsid w:val="00C83261"/>
    <w:rsid w:val="00C85895"/>
    <w:rsid w:val="00C9318D"/>
    <w:rsid w:val="00C93436"/>
    <w:rsid w:val="00CA3707"/>
    <w:rsid w:val="00CA7AC1"/>
    <w:rsid w:val="00CB2D7C"/>
    <w:rsid w:val="00CB3A72"/>
    <w:rsid w:val="00CB72CD"/>
    <w:rsid w:val="00CC4A9C"/>
    <w:rsid w:val="00D05497"/>
    <w:rsid w:val="00D161FE"/>
    <w:rsid w:val="00D2573E"/>
    <w:rsid w:val="00D2673E"/>
    <w:rsid w:val="00D43F86"/>
    <w:rsid w:val="00D44E09"/>
    <w:rsid w:val="00D473B0"/>
    <w:rsid w:val="00D669BD"/>
    <w:rsid w:val="00D7134D"/>
    <w:rsid w:val="00D77A3C"/>
    <w:rsid w:val="00DA28F2"/>
    <w:rsid w:val="00DA692E"/>
    <w:rsid w:val="00DB2F4B"/>
    <w:rsid w:val="00DB7B17"/>
    <w:rsid w:val="00DC1DE9"/>
    <w:rsid w:val="00DD1D7E"/>
    <w:rsid w:val="00DD7FB9"/>
    <w:rsid w:val="00DE0497"/>
    <w:rsid w:val="00DE0983"/>
    <w:rsid w:val="00DE0DF7"/>
    <w:rsid w:val="00DE3601"/>
    <w:rsid w:val="00DF0D08"/>
    <w:rsid w:val="00E102D9"/>
    <w:rsid w:val="00E14AE4"/>
    <w:rsid w:val="00E37D83"/>
    <w:rsid w:val="00E761FD"/>
    <w:rsid w:val="00E77378"/>
    <w:rsid w:val="00E84312"/>
    <w:rsid w:val="00E9408E"/>
    <w:rsid w:val="00E94F73"/>
    <w:rsid w:val="00EA629A"/>
    <w:rsid w:val="00EB66C5"/>
    <w:rsid w:val="00EC105E"/>
    <w:rsid w:val="00EC7037"/>
    <w:rsid w:val="00EF0B04"/>
    <w:rsid w:val="00F26159"/>
    <w:rsid w:val="00F3044B"/>
    <w:rsid w:val="00F34E72"/>
    <w:rsid w:val="00F53D15"/>
    <w:rsid w:val="00F6021A"/>
    <w:rsid w:val="00F613BD"/>
    <w:rsid w:val="00F63467"/>
    <w:rsid w:val="00F64B6B"/>
    <w:rsid w:val="00F65B87"/>
    <w:rsid w:val="00F67502"/>
    <w:rsid w:val="00F70490"/>
    <w:rsid w:val="00F75CC5"/>
    <w:rsid w:val="00F846F0"/>
    <w:rsid w:val="00F917DC"/>
    <w:rsid w:val="00F957B9"/>
    <w:rsid w:val="00FB58A9"/>
    <w:rsid w:val="00FB6837"/>
    <w:rsid w:val="00FB68AB"/>
    <w:rsid w:val="00FC4ACD"/>
    <w:rsid w:val="00FD727B"/>
    <w:rsid w:val="00FE03B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B86055"/>
  <w15:chartTrackingRefBased/>
  <w15:docId w15:val="{CE8B1A89-07E9-402E-9E3E-868F969140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032A"/>
    <w:pPr>
      <w:widowControl w:val="0"/>
      <w:spacing w:before="120" w:after="120" w:line="252" w:lineRule="auto"/>
      <w:jc w:val="both"/>
    </w:pPr>
    <w:rPr>
      <w:rFonts w:ascii="Times New Roman" w:eastAsia="SimSun" w:hAnsi="Times New Roman" w:cs="Times New Roman"/>
      <w:sz w:val="24"/>
      <w:szCs w:val="24"/>
    </w:rPr>
  </w:style>
  <w:style w:type="paragraph" w:styleId="Heading1">
    <w:name w:val="heading 1"/>
    <w:basedOn w:val="Normal"/>
    <w:next w:val="Normal"/>
    <w:link w:val="Heading1Char"/>
    <w:uiPriority w:val="9"/>
    <w:qFormat/>
    <w:rsid w:val="0015032A"/>
    <w:pPr>
      <w:keepNext/>
      <w:keepLines/>
      <w:tabs>
        <w:tab w:val="left" w:pos="220"/>
        <w:tab w:val="left" w:pos="720"/>
      </w:tabs>
      <w:spacing w:before="240" w:after="0"/>
      <w:outlineLvl w:val="0"/>
    </w:pPr>
    <w:rPr>
      <w:rFonts w:eastAsiaTheme="minorEastAsia"/>
      <w:b/>
      <w:color w:val="5B9BD5" w:themeColor="accent1"/>
      <w:spacing w:val="15"/>
      <w:sz w:val="32"/>
      <w:szCs w:val="32"/>
    </w:rPr>
  </w:style>
  <w:style w:type="paragraph" w:styleId="Heading2">
    <w:name w:val="heading 2"/>
    <w:basedOn w:val="Normal"/>
    <w:next w:val="Normal"/>
    <w:link w:val="Heading2Char"/>
    <w:uiPriority w:val="9"/>
    <w:semiHidden/>
    <w:unhideWhenUsed/>
    <w:qFormat/>
    <w:rsid w:val="0015032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Heading2"/>
    <w:next w:val="Normal"/>
    <w:link w:val="Heading3Char"/>
    <w:uiPriority w:val="9"/>
    <w:qFormat/>
    <w:rsid w:val="0015032A"/>
    <w:pPr>
      <w:tabs>
        <w:tab w:val="left" w:pos="220"/>
        <w:tab w:val="left" w:pos="720"/>
      </w:tabs>
      <w:spacing w:before="240"/>
      <w:outlineLvl w:val="2"/>
    </w:pPr>
    <w:rPr>
      <w:rFonts w:ascii="Times New Roman" w:eastAsiaTheme="minorEastAsia" w:hAnsi="Times New Roman" w:cs="Times New Roman"/>
      <w:b/>
      <w:color w:val="5B9BD5" w:themeColor="accent1"/>
      <w:spacing w:val="15"/>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032A"/>
    <w:rPr>
      <w:rFonts w:ascii="Times New Roman" w:eastAsiaTheme="minorEastAsia" w:hAnsi="Times New Roman" w:cs="Times New Roman"/>
      <w:b/>
      <w:color w:val="5B9BD5" w:themeColor="accent1"/>
      <w:spacing w:val="15"/>
      <w:sz w:val="32"/>
      <w:szCs w:val="32"/>
    </w:rPr>
  </w:style>
  <w:style w:type="character" w:customStyle="1" w:styleId="Heading3Char">
    <w:name w:val="Heading 3 Char"/>
    <w:basedOn w:val="DefaultParagraphFont"/>
    <w:link w:val="Heading3"/>
    <w:uiPriority w:val="9"/>
    <w:rsid w:val="0015032A"/>
    <w:rPr>
      <w:rFonts w:ascii="Times New Roman" w:eastAsiaTheme="minorEastAsia" w:hAnsi="Times New Roman" w:cs="Times New Roman"/>
      <w:b/>
      <w:color w:val="5B9BD5" w:themeColor="accent1"/>
      <w:spacing w:val="15"/>
    </w:rPr>
  </w:style>
  <w:style w:type="character" w:styleId="Hyperlink">
    <w:name w:val="Hyperlink"/>
    <w:basedOn w:val="DefaultParagraphFont"/>
    <w:uiPriority w:val="99"/>
    <w:unhideWhenUsed/>
    <w:rsid w:val="0015032A"/>
    <w:rPr>
      <w:color w:val="0563C1" w:themeColor="hyperlink"/>
      <w:u w:val="single"/>
    </w:rPr>
  </w:style>
  <w:style w:type="character" w:customStyle="1" w:styleId="Heading2Char">
    <w:name w:val="Heading 2 Char"/>
    <w:basedOn w:val="DefaultParagraphFont"/>
    <w:link w:val="Heading2"/>
    <w:uiPriority w:val="9"/>
    <w:semiHidden/>
    <w:rsid w:val="0015032A"/>
    <w:rPr>
      <w:rFonts w:asciiTheme="majorHAnsi" w:eastAsiaTheme="majorEastAsia" w:hAnsiTheme="majorHAnsi" w:cstheme="majorBidi"/>
      <w:color w:val="2E74B5" w:themeColor="accent1" w:themeShade="BF"/>
      <w:sz w:val="26"/>
      <w:szCs w:val="26"/>
    </w:rPr>
  </w:style>
  <w:style w:type="paragraph" w:styleId="NormalWeb">
    <w:name w:val="Normal (Web)"/>
    <w:basedOn w:val="Normal"/>
    <w:uiPriority w:val="99"/>
    <w:semiHidden/>
    <w:unhideWhenUsed/>
    <w:rsid w:val="009F1C1A"/>
    <w:pPr>
      <w:widowControl/>
      <w:spacing w:before="100" w:beforeAutospacing="1" w:after="100" w:afterAutospacing="1" w:line="240" w:lineRule="auto"/>
      <w:jc w:val="left"/>
    </w:pPr>
    <w:rPr>
      <w:rFonts w:eastAsia="Times New Roman"/>
      <w:lang w:eastAsia="en-AU"/>
    </w:rPr>
  </w:style>
  <w:style w:type="paragraph" w:styleId="BalloonText">
    <w:name w:val="Balloon Text"/>
    <w:basedOn w:val="Normal"/>
    <w:link w:val="BalloonTextChar"/>
    <w:uiPriority w:val="99"/>
    <w:semiHidden/>
    <w:unhideWhenUsed/>
    <w:rsid w:val="00911038"/>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11038"/>
    <w:rPr>
      <w:rFonts w:ascii="Segoe UI" w:eastAsia="SimSun" w:hAnsi="Segoe UI" w:cs="Segoe UI"/>
      <w:sz w:val="18"/>
      <w:szCs w:val="18"/>
    </w:rPr>
  </w:style>
  <w:style w:type="character" w:styleId="CommentReference">
    <w:name w:val="annotation reference"/>
    <w:basedOn w:val="DefaultParagraphFont"/>
    <w:uiPriority w:val="99"/>
    <w:semiHidden/>
    <w:unhideWhenUsed/>
    <w:rsid w:val="00911038"/>
    <w:rPr>
      <w:sz w:val="16"/>
      <w:szCs w:val="16"/>
    </w:rPr>
  </w:style>
  <w:style w:type="paragraph" w:styleId="CommentText">
    <w:name w:val="annotation text"/>
    <w:basedOn w:val="Normal"/>
    <w:link w:val="CommentTextChar"/>
    <w:uiPriority w:val="99"/>
    <w:semiHidden/>
    <w:unhideWhenUsed/>
    <w:rsid w:val="00911038"/>
    <w:pPr>
      <w:spacing w:line="240" w:lineRule="auto"/>
    </w:pPr>
    <w:rPr>
      <w:sz w:val="20"/>
      <w:szCs w:val="20"/>
    </w:rPr>
  </w:style>
  <w:style w:type="character" w:customStyle="1" w:styleId="CommentTextChar">
    <w:name w:val="Comment Text Char"/>
    <w:basedOn w:val="DefaultParagraphFont"/>
    <w:link w:val="CommentText"/>
    <w:uiPriority w:val="99"/>
    <w:semiHidden/>
    <w:rsid w:val="00911038"/>
    <w:rPr>
      <w:rFonts w:ascii="Times New Roman" w:eastAsia="SimSu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11038"/>
    <w:rPr>
      <w:b/>
      <w:bCs/>
    </w:rPr>
  </w:style>
  <w:style w:type="character" w:customStyle="1" w:styleId="CommentSubjectChar">
    <w:name w:val="Comment Subject Char"/>
    <w:basedOn w:val="CommentTextChar"/>
    <w:link w:val="CommentSubject"/>
    <w:uiPriority w:val="99"/>
    <w:semiHidden/>
    <w:rsid w:val="00911038"/>
    <w:rPr>
      <w:rFonts w:ascii="Times New Roman" w:eastAsia="SimSun" w:hAnsi="Times New Roman" w:cs="Times New Roman"/>
      <w:b/>
      <w:bCs/>
      <w:sz w:val="20"/>
      <w:szCs w:val="20"/>
    </w:rPr>
  </w:style>
  <w:style w:type="paragraph" w:styleId="Revision">
    <w:name w:val="Revision"/>
    <w:hidden/>
    <w:uiPriority w:val="99"/>
    <w:semiHidden/>
    <w:rsid w:val="00C00397"/>
    <w:pPr>
      <w:spacing w:after="0" w:line="240" w:lineRule="auto"/>
    </w:pPr>
    <w:rPr>
      <w:rFonts w:ascii="Times New Roman" w:eastAsia="SimSun" w:hAnsi="Times New Roman" w:cs="Times New Roman"/>
      <w:sz w:val="24"/>
      <w:szCs w:val="24"/>
    </w:rPr>
  </w:style>
  <w:style w:type="table" w:styleId="TableGrid">
    <w:name w:val="Table Grid"/>
    <w:basedOn w:val="TableNormal"/>
    <w:uiPriority w:val="39"/>
    <w:rsid w:val="006E0BB3"/>
    <w:pPr>
      <w:spacing w:after="0" w:line="240" w:lineRule="auto"/>
    </w:pPr>
    <w:rPr>
      <w:rFonts w:eastAsia="SimSu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Figure">
    <w:name w:val="Table/Figure"/>
    <w:basedOn w:val="Normal"/>
    <w:link w:val="TableFigureChar"/>
    <w:qFormat/>
    <w:rsid w:val="00182448"/>
    <w:rPr>
      <w:b/>
      <w:sz w:val="28"/>
      <w:szCs w:val="28"/>
    </w:rPr>
  </w:style>
  <w:style w:type="character" w:customStyle="1" w:styleId="TableFigureChar">
    <w:name w:val="Table/Figure Char"/>
    <w:basedOn w:val="DefaultParagraphFont"/>
    <w:link w:val="TableFigure"/>
    <w:rsid w:val="00182448"/>
    <w:rPr>
      <w:rFonts w:ascii="Times New Roman" w:eastAsia="SimSun" w:hAnsi="Times New Roman" w:cs="Times New Roman"/>
      <w:b/>
      <w:sz w:val="28"/>
      <w:szCs w:val="28"/>
    </w:rPr>
  </w:style>
  <w:style w:type="table" w:customStyle="1" w:styleId="TableGrid1">
    <w:name w:val="Table Grid1"/>
    <w:basedOn w:val="TableNormal"/>
    <w:next w:val="TableGrid"/>
    <w:uiPriority w:val="39"/>
    <w:rsid w:val="00182448"/>
    <w:pPr>
      <w:spacing w:after="0" w:line="240" w:lineRule="auto"/>
    </w:pPr>
    <w:rPr>
      <w:rFonts w:eastAsia="SimSu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8D112D"/>
    <w:pPr>
      <w:widowControl/>
      <w:spacing w:before="100" w:beforeAutospacing="1" w:after="100" w:afterAutospacing="1" w:line="240" w:lineRule="auto"/>
      <w:jc w:val="left"/>
    </w:pPr>
    <w:rPr>
      <w:rFonts w:eastAsia="Times New Roman"/>
      <w:lang w:eastAsia="en-AU"/>
    </w:rPr>
  </w:style>
  <w:style w:type="character" w:customStyle="1" w:styleId="normaltextrun">
    <w:name w:val="normaltextrun"/>
    <w:basedOn w:val="DefaultParagraphFont"/>
    <w:rsid w:val="008D112D"/>
  </w:style>
  <w:style w:type="character" w:customStyle="1" w:styleId="eop">
    <w:name w:val="eop"/>
    <w:basedOn w:val="DefaultParagraphFont"/>
    <w:rsid w:val="008D112D"/>
  </w:style>
  <w:style w:type="character" w:customStyle="1" w:styleId="spellingerror">
    <w:name w:val="spellingerror"/>
    <w:basedOn w:val="DefaultParagraphFont"/>
    <w:rsid w:val="008D112D"/>
  </w:style>
  <w:style w:type="character" w:customStyle="1" w:styleId="contentcontrol">
    <w:name w:val="contentcontrol"/>
    <w:basedOn w:val="DefaultParagraphFont"/>
    <w:rsid w:val="004B30EC"/>
  </w:style>
  <w:style w:type="character" w:customStyle="1" w:styleId="pagebreaktextspan">
    <w:name w:val="pagebreaktextspan"/>
    <w:basedOn w:val="DefaultParagraphFont"/>
    <w:rsid w:val="004B30EC"/>
  </w:style>
  <w:style w:type="character" w:customStyle="1" w:styleId="fieldrange">
    <w:name w:val="fieldrange"/>
    <w:basedOn w:val="DefaultParagraphFont"/>
    <w:rsid w:val="004B30EC"/>
  </w:style>
  <w:style w:type="paragraph" w:styleId="Title">
    <w:name w:val="Title"/>
    <w:basedOn w:val="Normal"/>
    <w:next w:val="Normal"/>
    <w:link w:val="TitleChar"/>
    <w:uiPriority w:val="10"/>
    <w:qFormat/>
    <w:rsid w:val="00FB58A9"/>
    <w:pPr>
      <w:spacing w:before="0"/>
      <w:jc w:val="center"/>
    </w:pPr>
    <w:rPr>
      <w:rFonts w:eastAsiaTheme="majorEastAsia" w:cstheme="majorBidi"/>
      <w:b/>
      <w:spacing w:val="-10"/>
      <w:kern w:val="28"/>
      <w:sz w:val="48"/>
      <w:szCs w:val="48"/>
    </w:rPr>
  </w:style>
  <w:style w:type="character" w:customStyle="1" w:styleId="TitleChar">
    <w:name w:val="Title Char"/>
    <w:basedOn w:val="DefaultParagraphFont"/>
    <w:link w:val="Title"/>
    <w:uiPriority w:val="10"/>
    <w:rsid w:val="00FB58A9"/>
    <w:rPr>
      <w:rFonts w:ascii="Times New Roman" w:eastAsiaTheme="majorEastAsia" w:hAnsi="Times New Roman" w:cstheme="majorBidi"/>
      <w:b/>
      <w:spacing w:val="-10"/>
      <w:kern w:val="28"/>
      <w:sz w:val="48"/>
      <w:szCs w:val="48"/>
    </w:rPr>
  </w:style>
  <w:style w:type="paragraph" w:styleId="Subtitle">
    <w:name w:val="Subtitle"/>
    <w:basedOn w:val="Normal"/>
    <w:next w:val="Normal"/>
    <w:link w:val="SubtitleChar"/>
    <w:uiPriority w:val="11"/>
    <w:qFormat/>
    <w:rsid w:val="00FB58A9"/>
    <w:pPr>
      <w:spacing w:before="0"/>
      <w:jc w:val="center"/>
    </w:pPr>
    <w:rPr>
      <w:rFonts w:eastAsiaTheme="minorEastAsia" w:cstheme="minorBidi"/>
      <w:b/>
      <w:color w:val="5B9BD5" w:themeColor="accent1"/>
      <w:spacing w:val="15"/>
      <w:sz w:val="48"/>
      <w:szCs w:val="22"/>
    </w:rPr>
  </w:style>
  <w:style w:type="character" w:customStyle="1" w:styleId="SubtitleChar">
    <w:name w:val="Subtitle Char"/>
    <w:basedOn w:val="DefaultParagraphFont"/>
    <w:link w:val="Subtitle"/>
    <w:uiPriority w:val="11"/>
    <w:rsid w:val="00FB58A9"/>
    <w:rPr>
      <w:rFonts w:ascii="Times New Roman" w:eastAsiaTheme="minorEastAsia" w:hAnsi="Times New Roman"/>
      <w:b/>
      <w:color w:val="5B9BD5" w:themeColor="accent1"/>
      <w:spacing w:val="15"/>
      <w:sz w:val="48"/>
    </w:rPr>
  </w:style>
  <w:style w:type="paragraph" w:styleId="TOCHeading">
    <w:name w:val="TOC Heading"/>
    <w:basedOn w:val="Heading1"/>
    <w:next w:val="Normal"/>
    <w:uiPriority w:val="39"/>
    <w:unhideWhenUsed/>
    <w:qFormat/>
    <w:rsid w:val="00FB58A9"/>
    <w:pPr>
      <w:outlineLvl w:val="9"/>
    </w:pPr>
  </w:style>
  <w:style w:type="paragraph" w:styleId="TOC1">
    <w:name w:val="toc 1"/>
    <w:basedOn w:val="Normal"/>
    <w:next w:val="Normal"/>
    <w:autoRedefine/>
    <w:uiPriority w:val="39"/>
    <w:unhideWhenUsed/>
    <w:rsid w:val="00A857DA"/>
    <w:pPr>
      <w:tabs>
        <w:tab w:val="right" w:pos="9592"/>
      </w:tabs>
      <w:spacing w:after="60"/>
    </w:pPr>
  </w:style>
  <w:style w:type="paragraph" w:styleId="TOC3">
    <w:name w:val="toc 3"/>
    <w:basedOn w:val="Normal"/>
    <w:next w:val="Normal"/>
    <w:autoRedefine/>
    <w:uiPriority w:val="39"/>
    <w:unhideWhenUsed/>
    <w:rsid w:val="007C7A95"/>
    <w:pPr>
      <w:tabs>
        <w:tab w:val="right" w:pos="9592"/>
      </w:tabs>
      <w:spacing w:after="100"/>
      <w:ind w:left="400"/>
    </w:pPr>
    <w:rPr>
      <w:noProof/>
      <w:sz w:val="12"/>
      <w:szCs w:val="12"/>
    </w:rPr>
  </w:style>
  <w:style w:type="paragraph" w:styleId="Header">
    <w:name w:val="header"/>
    <w:basedOn w:val="Normal"/>
    <w:link w:val="HeaderChar"/>
    <w:uiPriority w:val="99"/>
    <w:unhideWhenUsed/>
    <w:rsid w:val="00FB58A9"/>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FB58A9"/>
    <w:rPr>
      <w:rFonts w:ascii="Times New Roman" w:eastAsia="SimSun" w:hAnsi="Times New Roman" w:cs="Times New Roman"/>
      <w:sz w:val="24"/>
      <w:szCs w:val="24"/>
    </w:rPr>
  </w:style>
  <w:style w:type="paragraph" w:styleId="Footer">
    <w:name w:val="footer"/>
    <w:basedOn w:val="Normal"/>
    <w:link w:val="FooterChar"/>
    <w:uiPriority w:val="99"/>
    <w:unhideWhenUsed/>
    <w:rsid w:val="00FB58A9"/>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FB58A9"/>
    <w:rPr>
      <w:rFonts w:ascii="Times New Roman" w:eastAsia="SimSun" w:hAnsi="Times New Roman" w:cs="Times New Roman"/>
      <w:sz w:val="24"/>
      <w:szCs w:val="24"/>
    </w:rPr>
  </w:style>
  <w:style w:type="character" w:styleId="PageNumber">
    <w:name w:val="page number"/>
    <w:basedOn w:val="DefaultParagraphFont"/>
    <w:uiPriority w:val="99"/>
    <w:semiHidden/>
    <w:unhideWhenUsed/>
    <w:rsid w:val="00FB58A9"/>
  </w:style>
  <w:style w:type="paragraph" w:styleId="ListParagraph">
    <w:name w:val="List Paragraph"/>
    <w:basedOn w:val="Normal"/>
    <w:uiPriority w:val="34"/>
    <w:qFormat/>
    <w:rsid w:val="005E089A"/>
    <w:pPr>
      <w:ind w:left="720"/>
      <w:contextualSpacing/>
    </w:pPr>
  </w:style>
  <w:style w:type="paragraph" w:styleId="FootnoteText">
    <w:name w:val="footnote text"/>
    <w:basedOn w:val="Normal"/>
    <w:link w:val="FootnoteTextChar"/>
    <w:uiPriority w:val="99"/>
    <w:semiHidden/>
    <w:unhideWhenUsed/>
    <w:rsid w:val="008346FE"/>
    <w:pPr>
      <w:spacing w:before="0" w:after="0" w:line="240" w:lineRule="auto"/>
    </w:pPr>
    <w:rPr>
      <w:sz w:val="20"/>
      <w:szCs w:val="20"/>
    </w:rPr>
  </w:style>
  <w:style w:type="character" w:customStyle="1" w:styleId="FootnoteTextChar">
    <w:name w:val="Footnote Text Char"/>
    <w:basedOn w:val="DefaultParagraphFont"/>
    <w:link w:val="FootnoteText"/>
    <w:uiPriority w:val="99"/>
    <w:semiHidden/>
    <w:rsid w:val="008346FE"/>
    <w:rPr>
      <w:rFonts w:ascii="Times New Roman" w:eastAsia="SimSun" w:hAnsi="Times New Roman" w:cs="Times New Roman"/>
      <w:sz w:val="20"/>
      <w:szCs w:val="20"/>
    </w:rPr>
  </w:style>
  <w:style w:type="character" w:styleId="FootnoteReference">
    <w:name w:val="footnote reference"/>
    <w:basedOn w:val="DefaultParagraphFont"/>
    <w:uiPriority w:val="99"/>
    <w:semiHidden/>
    <w:unhideWhenUsed/>
    <w:rsid w:val="008346F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045817">
      <w:bodyDiv w:val="1"/>
      <w:marLeft w:val="0"/>
      <w:marRight w:val="0"/>
      <w:marTop w:val="0"/>
      <w:marBottom w:val="0"/>
      <w:divBdr>
        <w:top w:val="none" w:sz="0" w:space="0" w:color="auto"/>
        <w:left w:val="none" w:sz="0" w:space="0" w:color="auto"/>
        <w:bottom w:val="none" w:sz="0" w:space="0" w:color="auto"/>
        <w:right w:val="none" w:sz="0" w:space="0" w:color="auto"/>
      </w:divBdr>
      <w:divsChild>
        <w:div w:id="254829986">
          <w:marLeft w:val="0"/>
          <w:marRight w:val="0"/>
          <w:marTop w:val="0"/>
          <w:marBottom w:val="0"/>
          <w:divBdr>
            <w:top w:val="none" w:sz="0" w:space="0" w:color="auto"/>
            <w:left w:val="none" w:sz="0" w:space="0" w:color="auto"/>
            <w:bottom w:val="none" w:sz="0" w:space="0" w:color="auto"/>
            <w:right w:val="none" w:sz="0" w:space="0" w:color="auto"/>
          </w:divBdr>
        </w:div>
        <w:div w:id="796024739">
          <w:marLeft w:val="0"/>
          <w:marRight w:val="0"/>
          <w:marTop w:val="0"/>
          <w:marBottom w:val="0"/>
          <w:divBdr>
            <w:top w:val="none" w:sz="0" w:space="0" w:color="auto"/>
            <w:left w:val="none" w:sz="0" w:space="0" w:color="auto"/>
            <w:bottom w:val="none" w:sz="0" w:space="0" w:color="auto"/>
            <w:right w:val="none" w:sz="0" w:space="0" w:color="auto"/>
          </w:divBdr>
        </w:div>
      </w:divsChild>
    </w:div>
    <w:div w:id="198517080">
      <w:bodyDiv w:val="1"/>
      <w:marLeft w:val="0"/>
      <w:marRight w:val="0"/>
      <w:marTop w:val="0"/>
      <w:marBottom w:val="0"/>
      <w:divBdr>
        <w:top w:val="none" w:sz="0" w:space="0" w:color="auto"/>
        <w:left w:val="none" w:sz="0" w:space="0" w:color="auto"/>
        <w:bottom w:val="none" w:sz="0" w:space="0" w:color="auto"/>
        <w:right w:val="none" w:sz="0" w:space="0" w:color="auto"/>
      </w:divBdr>
    </w:div>
    <w:div w:id="481235042">
      <w:bodyDiv w:val="1"/>
      <w:marLeft w:val="0"/>
      <w:marRight w:val="0"/>
      <w:marTop w:val="0"/>
      <w:marBottom w:val="0"/>
      <w:divBdr>
        <w:top w:val="none" w:sz="0" w:space="0" w:color="auto"/>
        <w:left w:val="none" w:sz="0" w:space="0" w:color="auto"/>
        <w:bottom w:val="none" w:sz="0" w:space="0" w:color="auto"/>
        <w:right w:val="none" w:sz="0" w:space="0" w:color="auto"/>
      </w:divBdr>
      <w:divsChild>
        <w:div w:id="75903707">
          <w:marLeft w:val="0"/>
          <w:marRight w:val="0"/>
          <w:marTop w:val="0"/>
          <w:marBottom w:val="0"/>
          <w:divBdr>
            <w:top w:val="none" w:sz="0" w:space="0" w:color="auto"/>
            <w:left w:val="none" w:sz="0" w:space="0" w:color="auto"/>
            <w:bottom w:val="none" w:sz="0" w:space="0" w:color="auto"/>
            <w:right w:val="none" w:sz="0" w:space="0" w:color="auto"/>
          </w:divBdr>
        </w:div>
        <w:div w:id="126431942">
          <w:marLeft w:val="0"/>
          <w:marRight w:val="0"/>
          <w:marTop w:val="0"/>
          <w:marBottom w:val="0"/>
          <w:divBdr>
            <w:top w:val="none" w:sz="0" w:space="0" w:color="auto"/>
            <w:left w:val="none" w:sz="0" w:space="0" w:color="auto"/>
            <w:bottom w:val="none" w:sz="0" w:space="0" w:color="auto"/>
            <w:right w:val="none" w:sz="0" w:space="0" w:color="auto"/>
          </w:divBdr>
        </w:div>
        <w:div w:id="298340553">
          <w:marLeft w:val="0"/>
          <w:marRight w:val="0"/>
          <w:marTop w:val="0"/>
          <w:marBottom w:val="0"/>
          <w:divBdr>
            <w:top w:val="none" w:sz="0" w:space="0" w:color="auto"/>
            <w:left w:val="none" w:sz="0" w:space="0" w:color="auto"/>
            <w:bottom w:val="none" w:sz="0" w:space="0" w:color="auto"/>
            <w:right w:val="none" w:sz="0" w:space="0" w:color="auto"/>
          </w:divBdr>
        </w:div>
        <w:div w:id="323319249">
          <w:marLeft w:val="0"/>
          <w:marRight w:val="0"/>
          <w:marTop w:val="0"/>
          <w:marBottom w:val="0"/>
          <w:divBdr>
            <w:top w:val="none" w:sz="0" w:space="0" w:color="auto"/>
            <w:left w:val="none" w:sz="0" w:space="0" w:color="auto"/>
            <w:bottom w:val="none" w:sz="0" w:space="0" w:color="auto"/>
            <w:right w:val="none" w:sz="0" w:space="0" w:color="auto"/>
          </w:divBdr>
        </w:div>
        <w:div w:id="627779567">
          <w:marLeft w:val="0"/>
          <w:marRight w:val="0"/>
          <w:marTop w:val="0"/>
          <w:marBottom w:val="0"/>
          <w:divBdr>
            <w:top w:val="none" w:sz="0" w:space="0" w:color="auto"/>
            <w:left w:val="none" w:sz="0" w:space="0" w:color="auto"/>
            <w:bottom w:val="none" w:sz="0" w:space="0" w:color="auto"/>
            <w:right w:val="none" w:sz="0" w:space="0" w:color="auto"/>
          </w:divBdr>
        </w:div>
        <w:div w:id="1523278202">
          <w:marLeft w:val="0"/>
          <w:marRight w:val="0"/>
          <w:marTop w:val="0"/>
          <w:marBottom w:val="0"/>
          <w:divBdr>
            <w:top w:val="none" w:sz="0" w:space="0" w:color="auto"/>
            <w:left w:val="none" w:sz="0" w:space="0" w:color="auto"/>
            <w:bottom w:val="none" w:sz="0" w:space="0" w:color="auto"/>
            <w:right w:val="none" w:sz="0" w:space="0" w:color="auto"/>
          </w:divBdr>
        </w:div>
        <w:div w:id="1615012813">
          <w:marLeft w:val="0"/>
          <w:marRight w:val="0"/>
          <w:marTop w:val="0"/>
          <w:marBottom w:val="0"/>
          <w:divBdr>
            <w:top w:val="none" w:sz="0" w:space="0" w:color="auto"/>
            <w:left w:val="none" w:sz="0" w:space="0" w:color="auto"/>
            <w:bottom w:val="none" w:sz="0" w:space="0" w:color="auto"/>
            <w:right w:val="none" w:sz="0" w:space="0" w:color="auto"/>
          </w:divBdr>
        </w:div>
        <w:div w:id="1703938492">
          <w:marLeft w:val="0"/>
          <w:marRight w:val="0"/>
          <w:marTop w:val="0"/>
          <w:marBottom w:val="0"/>
          <w:divBdr>
            <w:top w:val="none" w:sz="0" w:space="0" w:color="auto"/>
            <w:left w:val="none" w:sz="0" w:space="0" w:color="auto"/>
            <w:bottom w:val="none" w:sz="0" w:space="0" w:color="auto"/>
            <w:right w:val="none" w:sz="0" w:space="0" w:color="auto"/>
          </w:divBdr>
        </w:div>
        <w:div w:id="1870608647">
          <w:marLeft w:val="0"/>
          <w:marRight w:val="0"/>
          <w:marTop w:val="0"/>
          <w:marBottom w:val="0"/>
          <w:divBdr>
            <w:top w:val="none" w:sz="0" w:space="0" w:color="auto"/>
            <w:left w:val="none" w:sz="0" w:space="0" w:color="auto"/>
            <w:bottom w:val="none" w:sz="0" w:space="0" w:color="auto"/>
            <w:right w:val="none" w:sz="0" w:space="0" w:color="auto"/>
          </w:divBdr>
        </w:div>
        <w:div w:id="1915578422">
          <w:marLeft w:val="0"/>
          <w:marRight w:val="0"/>
          <w:marTop w:val="0"/>
          <w:marBottom w:val="0"/>
          <w:divBdr>
            <w:top w:val="none" w:sz="0" w:space="0" w:color="auto"/>
            <w:left w:val="none" w:sz="0" w:space="0" w:color="auto"/>
            <w:bottom w:val="none" w:sz="0" w:space="0" w:color="auto"/>
            <w:right w:val="none" w:sz="0" w:space="0" w:color="auto"/>
          </w:divBdr>
        </w:div>
        <w:div w:id="1946770931">
          <w:marLeft w:val="0"/>
          <w:marRight w:val="0"/>
          <w:marTop w:val="0"/>
          <w:marBottom w:val="0"/>
          <w:divBdr>
            <w:top w:val="none" w:sz="0" w:space="0" w:color="auto"/>
            <w:left w:val="none" w:sz="0" w:space="0" w:color="auto"/>
            <w:bottom w:val="none" w:sz="0" w:space="0" w:color="auto"/>
            <w:right w:val="none" w:sz="0" w:space="0" w:color="auto"/>
          </w:divBdr>
        </w:div>
        <w:div w:id="2020354665">
          <w:marLeft w:val="0"/>
          <w:marRight w:val="0"/>
          <w:marTop w:val="0"/>
          <w:marBottom w:val="0"/>
          <w:divBdr>
            <w:top w:val="none" w:sz="0" w:space="0" w:color="auto"/>
            <w:left w:val="none" w:sz="0" w:space="0" w:color="auto"/>
            <w:bottom w:val="none" w:sz="0" w:space="0" w:color="auto"/>
            <w:right w:val="none" w:sz="0" w:space="0" w:color="auto"/>
          </w:divBdr>
        </w:div>
      </w:divsChild>
    </w:div>
    <w:div w:id="727998535">
      <w:bodyDiv w:val="1"/>
      <w:marLeft w:val="0"/>
      <w:marRight w:val="0"/>
      <w:marTop w:val="0"/>
      <w:marBottom w:val="0"/>
      <w:divBdr>
        <w:top w:val="none" w:sz="0" w:space="0" w:color="auto"/>
        <w:left w:val="none" w:sz="0" w:space="0" w:color="auto"/>
        <w:bottom w:val="none" w:sz="0" w:space="0" w:color="auto"/>
        <w:right w:val="none" w:sz="0" w:space="0" w:color="auto"/>
      </w:divBdr>
      <w:divsChild>
        <w:div w:id="17439256">
          <w:marLeft w:val="0"/>
          <w:marRight w:val="0"/>
          <w:marTop w:val="0"/>
          <w:marBottom w:val="0"/>
          <w:divBdr>
            <w:top w:val="none" w:sz="0" w:space="0" w:color="auto"/>
            <w:left w:val="none" w:sz="0" w:space="0" w:color="auto"/>
            <w:bottom w:val="none" w:sz="0" w:space="0" w:color="auto"/>
            <w:right w:val="none" w:sz="0" w:space="0" w:color="auto"/>
          </w:divBdr>
        </w:div>
        <w:div w:id="35737749">
          <w:marLeft w:val="0"/>
          <w:marRight w:val="0"/>
          <w:marTop w:val="0"/>
          <w:marBottom w:val="0"/>
          <w:divBdr>
            <w:top w:val="none" w:sz="0" w:space="0" w:color="auto"/>
            <w:left w:val="none" w:sz="0" w:space="0" w:color="auto"/>
            <w:bottom w:val="none" w:sz="0" w:space="0" w:color="auto"/>
            <w:right w:val="none" w:sz="0" w:space="0" w:color="auto"/>
          </w:divBdr>
        </w:div>
        <w:div w:id="98380475">
          <w:marLeft w:val="0"/>
          <w:marRight w:val="0"/>
          <w:marTop w:val="0"/>
          <w:marBottom w:val="0"/>
          <w:divBdr>
            <w:top w:val="none" w:sz="0" w:space="0" w:color="auto"/>
            <w:left w:val="none" w:sz="0" w:space="0" w:color="auto"/>
            <w:bottom w:val="none" w:sz="0" w:space="0" w:color="auto"/>
            <w:right w:val="none" w:sz="0" w:space="0" w:color="auto"/>
          </w:divBdr>
        </w:div>
        <w:div w:id="114105054">
          <w:marLeft w:val="0"/>
          <w:marRight w:val="0"/>
          <w:marTop w:val="0"/>
          <w:marBottom w:val="0"/>
          <w:divBdr>
            <w:top w:val="none" w:sz="0" w:space="0" w:color="auto"/>
            <w:left w:val="none" w:sz="0" w:space="0" w:color="auto"/>
            <w:bottom w:val="none" w:sz="0" w:space="0" w:color="auto"/>
            <w:right w:val="none" w:sz="0" w:space="0" w:color="auto"/>
          </w:divBdr>
        </w:div>
        <w:div w:id="172185027">
          <w:marLeft w:val="0"/>
          <w:marRight w:val="0"/>
          <w:marTop w:val="0"/>
          <w:marBottom w:val="0"/>
          <w:divBdr>
            <w:top w:val="none" w:sz="0" w:space="0" w:color="auto"/>
            <w:left w:val="none" w:sz="0" w:space="0" w:color="auto"/>
            <w:bottom w:val="none" w:sz="0" w:space="0" w:color="auto"/>
            <w:right w:val="none" w:sz="0" w:space="0" w:color="auto"/>
          </w:divBdr>
        </w:div>
        <w:div w:id="220210582">
          <w:marLeft w:val="0"/>
          <w:marRight w:val="0"/>
          <w:marTop w:val="0"/>
          <w:marBottom w:val="0"/>
          <w:divBdr>
            <w:top w:val="none" w:sz="0" w:space="0" w:color="auto"/>
            <w:left w:val="none" w:sz="0" w:space="0" w:color="auto"/>
            <w:bottom w:val="none" w:sz="0" w:space="0" w:color="auto"/>
            <w:right w:val="none" w:sz="0" w:space="0" w:color="auto"/>
          </w:divBdr>
        </w:div>
        <w:div w:id="240529109">
          <w:marLeft w:val="0"/>
          <w:marRight w:val="0"/>
          <w:marTop w:val="0"/>
          <w:marBottom w:val="0"/>
          <w:divBdr>
            <w:top w:val="none" w:sz="0" w:space="0" w:color="auto"/>
            <w:left w:val="none" w:sz="0" w:space="0" w:color="auto"/>
            <w:bottom w:val="none" w:sz="0" w:space="0" w:color="auto"/>
            <w:right w:val="none" w:sz="0" w:space="0" w:color="auto"/>
          </w:divBdr>
        </w:div>
        <w:div w:id="262030077">
          <w:marLeft w:val="0"/>
          <w:marRight w:val="0"/>
          <w:marTop w:val="0"/>
          <w:marBottom w:val="0"/>
          <w:divBdr>
            <w:top w:val="none" w:sz="0" w:space="0" w:color="auto"/>
            <w:left w:val="none" w:sz="0" w:space="0" w:color="auto"/>
            <w:bottom w:val="none" w:sz="0" w:space="0" w:color="auto"/>
            <w:right w:val="none" w:sz="0" w:space="0" w:color="auto"/>
          </w:divBdr>
        </w:div>
        <w:div w:id="341736725">
          <w:marLeft w:val="0"/>
          <w:marRight w:val="0"/>
          <w:marTop w:val="0"/>
          <w:marBottom w:val="0"/>
          <w:divBdr>
            <w:top w:val="none" w:sz="0" w:space="0" w:color="auto"/>
            <w:left w:val="none" w:sz="0" w:space="0" w:color="auto"/>
            <w:bottom w:val="none" w:sz="0" w:space="0" w:color="auto"/>
            <w:right w:val="none" w:sz="0" w:space="0" w:color="auto"/>
          </w:divBdr>
        </w:div>
        <w:div w:id="469247514">
          <w:marLeft w:val="0"/>
          <w:marRight w:val="0"/>
          <w:marTop w:val="0"/>
          <w:marBottom w:val="0"/>
          <w:divBdr>
            <w:top w:val="none" w:sz="0" w:space="0" w:color="auto"/>
            <w:left w:val="none" w:sz="0" w:space="0" w:color="auto"/>
            <w:bottom w:val="none" w:sz="0" w:space="0" w:color="auto"/>
            <w:right w:val="none" w:sz="0" w:space="0" w:color="auto"/>
          </w:divBdr>
        </w:div>
        <w:div w:id="516193764">
          <w:marLeft w:val="0"/>
          <w:marRight w:val="0"/>
          <w:marTop w:val="0"/>
          <w:marBottom w:val="0"/>
          <w:divBdr>
            <w:top w:val="none" w:sz="0" w:space="0" w:color="auto"/>
            <w:left w:val="none" w:sz="0" w:space="0" w:color="auto"/>
            <w:bottom w:val="none" w:sz="0" w:space="0" w:color="auto"/>
            <w:right w:val="none" w:sz="0" w:space="0" w:color="auto"/>
          </w:divBdr>
        </w:div>
        <w:div w:id="540561036">
          <w:marLeft w:val="0"/>
          <w:marRight w:val="0"/>
          <w:marTop w:val="0"/>
          <w:marBottom w:val="0"/>
          <w:divBdr>
            <w:top w:val="none" w:sz="0" w:space="0" w:color="auto"/>
            <w:left w:val="none" w:sz="0" w:space="0" w:color="auto"/>
            <w:bottom w:val="none" w:sz="0" w:space="0" w:color="auto"/>
            <w:right w:val="none" w:sz="0" w:space="0" w:color="auto"/>
          </w:divBdr>
        </w:div>
        <w:div w:id="546837168">
          <w:marLeft w:val="0"/>
          <w:marRight w:val="0"/>
          <w:marTop w:val="0"/>
          <w:marBottom w:val="0"/>
          <w:divBdr>
            <w:top w:val="none" w:sz="0" w:space="0" w:color="auto"/>
            <w:left w:val="none" w:sz="0" w:space="0" w:color="auto"/>
            <w:bottom w:val="none" w:sz="0" w:space="0" w:color="auto"/>
            <w:right w:val="none" w:sz="0" w:space="0" w:color="auto"/>
          </w:divBdr>
        </w:div>
        <w:div w:id="595284677">
          <w:marLeft w:val="0"/>
          <w:marRight w:val="0"/>
          <w:marTop w:val="0"/>
          <w:marBottom w:val="0"/>
          <w:divBdr>
            <w:top w:val="none" w:sz="0" w:space="0" w:color="auto"/>
            <w:left w:val="none" w:sz="0" w:space="0" w:color="auto"/>
            <w:bottom w:val="none" w:sz="0" w:space="0" w:color="auto"/>
            <w:right w:val="none" w:sz="0" w:space="0" w:color="auto"/>
          </w:divBdr>
        </w:div>
        <w:div w:id="662700787">
          <w:marLeft w:val="0"/>
          <w:marRight w:val="0"/>
          <w:marTop w:val="0"/>
          <w:marBottom w:val="0"/>
          <w:divBdr>
            <w:top w:val="none" w:sz="0" w:space="0" w:color="auto"/>
            <w:left w:val="none" w:sz="0" w:space="0" w:color="auto"/>
            <w:bottom w:val="none" w:sz="0" w:space="0" w:color="auto"/>
            <w:right w:val="none" w:sz="0" w:space="0" w:color="auto"/>
          </w:divBdr>
        </w:div>
        <w:div w:id="699477713">
          <w:marLeft w:val="0"/>
          <w:marRight w:val="0"/>
          <w:marTop w:val="0"/>
          <w:marBottom w:val="0"/>
          <w:divBdr>
            <w:top w:val="none" w:sz="0" w:space="0" w:color="auto"/>
            <w:left w:val="none" w:sz="0" w:space="0" w:color="auto"/>
            <w:bottom w:val="none" w:sz="0" w:space="0" w:color="auto"/>
            <w:right w:val="none" w:sz="0" w:space="0" w:color="auto"/>
          </w:divBdr>
        </w:div>
        <w:div w:id="722142891">
          <w:marLeft w:val="0"/>
          <w:marRight w:val="0"/>
          <w:marTop w:val="0"/>
          <w:marBottom w:val="0"/>
          <w:divBdr>
            <w:top w:val="none" w:sz="0" w:space="0" w:color="auto"/>
            <w:left w:val="none" w:sz="0" w:space="0" w:color="auto"/>
            <w:bottom w:val="none" w:sz="0" w:space="0" w:color="auto"/>
            <w:right w:val="none" w:sz="0" w:space="0" w:color="auto"/>
          </w:divBdr>
        </w:div>
        <w:div w:id="728891452">
          <w:marLeft w:val="0"/>
          <w:marRight w:val="0"/>
          <w:marTop w:val="0"/>
          <w:marBottom w:val="0"/>
          <w:divBdr>
            <w:top w:val="none" w:sz="0" w:space="0" w:color="auto"/>
            <w:left w:val="none" w:sz="0" w:space="0" w:color="auto"/>
            <w:bottom w:val="none" w:sz="0" w:space="0" w:color="auto"/>
            <w:right w:val="none" w:sz="0" w:space="0" w:color="auto"/>
          </w:divBdr>
        </w:div>
        <w:div w:id="759064832">
          <w:marLeft w:val="0"/>
          <w:marRight w:val="0"/>
          <w:marTop w:val="0"/>
          <w:marBottom w:val="0"/>
          <w:divBdr>
            <w:top w:val="none" w:sz="0" w:space="0" w:color="auto"/>
            <w:left w:val="none" w:sz="0" w:space="0" w:color="auto"/>
            <w:bottom w:val="none" w:sz="0" w:space="0" w:color="auto"/>
            <w:right w:val="none" w:sz="0" w:space="0" w:color="auto"/>
          </w:divBdr>
        </w:div>
        <w:div w:id="864900724">
          <w:marLeft w:val="0"/>
          <w:marRight w:val="0"/>
          <w:marTop w:val="0"/>
          <w:marBottom w:val="0"/>
          <w:divBdr>
            <w:top w:val="none" w:sz="0" w:space="0" w:color="auto"/>
            <w:left w:val="none" w:sz="0" w:space="0" w:color="auto"/>
            <w:bottom w:val="none" w:sz="0" w:space="0" w:color="auto"/>
            <w:right w:val="none" w:sz="0" w:space="0" w:color="auto"/>
          </w:divBdr>
        </w:div>
        <w:div w:id="906575877">
          <w:marLeft w:val="0"/>
          <w:marRight w:val="0"/>
          <w:marTop w:val="0"/>
          <w:marBottom w:val="0"/>
          <w:divBdr>
            <w:top w:val="none" w:sz="0" w:space="0" w:color="auto"/>
            <w:left w:val="none" w:sz="0" w:space="0" w:color="auto"/>
            <w:bottom w:val="none" w:sz="0" w:space="0" w:color="auto"/>
            <w:right w:val="none" w:sz="0" w:space="0" w:color="auto"/>
          </w:divBdr>
        </w:div>
        <w:div w:id="955331871">
          <w:marLeft w:val="0"/>
          <w:marRight w:val="0"/>
          <w:marTop w:val="0"/>
          <w:marBottom w:val="0"/>
          <w:divBdr>
            <w:top w:val="none" w:sz="0" w:space="0" w:color="auto"/>
            <w:left w:val="none" w:sz="0" w:space="0" w:color="auto"/>
            <w:bottom w:val="none" w:sz="0" w:space="0" w:color="auto"/>
            <w:right w:val="none" w:sz="0" w:space="0" w:color="auto"/>
          </w:divBdr>
        </w:div>
        <w:div w:id="1052967912">
          <w:marLeft w:val="0"/>
          <w:marRight w:val="0"/>
          <w:marTop w:val="0"/>
          <w:marBottom w:val="0"/>
          <w:divBdr>
            <w:top w:val="none" w:sz="0" w:space="0" w:color="auto"/>
            <w:left w:val="none" w:sz="0" w:space="0" w:color="auto"/>
            <w:bottom w:val="none" w:sz="0" w:space="0" w:color="auto"/>
            <w:right w:val="none" w:sz="0" w:space="0" w:color="auto"/>
          </w:divBdr>
        </w:div>
        <w:div w:id="1055397643">
          <w:marLeft w:val="0"/>
          <w:marRight w:val="0"/>
          <w:marTop w:val="0"/>
          <w:marBottom w:val="0"/>
          <w:divBdr>
            <w:top w:val="none" w:sz="0" w:space="0" w:color="auto"/>
            <w:left w:val="none" w:sz="0" w:space="0" w:color="auto"/>
            <w:bottom w:val="none" w:sz="0" w:space="0" w:color="auto"/>
            <w:right w:val="none" w:sz="0" w:space="0" w:color="auto"/>
          </w:divBdr>
        </w:div>
        <w:div w:id="1133407165">
          <w:marLeft w:val="0"/>
          <w:marRight w:val="0"/>
          <w:marTop w:val="0"/>
          <w:marBottom w:val="0"/>
          <w:divBdr>
            <w:top w:val="none" w:sz="0" w:space="0" w:color="auto"/>
            <w:left w:val="none" w:sz="0" w:space="0" w:color="auto"/>
            <w:bottom w:val="none" w:sz="0" w:space="0" w:color="auto"/>
            <w:right w:val="none" w:sz="0" w:space="0" w:color="auto"/>
          </w:divBdr>
        </w:div>
        <w:div w:id="1152914017">
          <w:marLeft w:val="0"/>
          <w:marRight w:val="0"/>
          <w:marTop w:val="0"/>
          <w:marBottom w:val="0"/>
          <w:divBdr>
            <w:top w:val="none" w:sz="0" w:space="0" w:color="auto"/>
            <w:left w:val="none" w:sz="0" w:space="0" w:color="auto"/>
            <w:bottom w:val="none" w:sz="0" w:space="0" w:color="auto"/>
            <w:right w:val="none" w:sz="0" w:space="0" w:color="auto"/>
          </w:divBdr>
        </w:div>
        <w:div w:id="1181427958">
          <w:marLeft w:val="0"/>
          <w:marRight w:val="0"/>
          <w:marTop w:val="0"/>
          <w:marBottom w:val="0"/>
          <w:divBdr>
            <w:top w:val="none" w:sz="0" w:space="0" w:color="auto"/>
            <w:left w:val="none" w:sz="0" w:space="0" w:color="auto"/>
            <w:bottom w:val="none" w:sz="0" w:space="0" w:color="auto"/>
            <w:right w:val="none" w:sz="0" w:space="0" w:color="auto"/>
          </w:divBdr>
        </w:div>
        <w:div w:id="1228032462">
          <w:marLeft w:val="0"/>
          <w:marRight w:val="0"/>
          <w:marTop w:val="0"/>
          <w:marBottom w:val="0"/>
          <w:divBdr>
            <w:top w:val="none" w:sz="0" w:space="0" w:color="auto"/>
            <w:left w:val="none" w:sz="0" w:space="0" w:color="auto"/>
            <w:bottom w:val="none" w:sz="0" w:space="0" w:color="auto"/>
            <w:right w:val="none" w:sz="0" w:space="0" w:color="auto"/>
          </w:divBdr>
        </w:div>
        <w:div w:id="1236822678">
          <w:marLeft w:val="0"/>
          <w:marRight w:val="0"/>
          <w:marTop w:val="0"/>
          <w:marBottom w:val="0"/>
          <w:divBdr>
            <w:top w:val="none" w:sz="0" w:space="0" w:color="auto"/>
            <w:left w:val="none" w:sz="0" w:space="0" w:color="auto"/>
            <w:bottom w:val="none" w:sz="0" w:space="0" w:color="auto"/>
            <w:right w:val="none" w:sz="0" w:space="0" w:color="auto"/>
          </w:divBdr>
        </w:div>
        <w:div w:id="1262445701">
          <w:marLeft w:val="0"/>
          <w:marRight w:val="0"/>
          <w:marTop w:val="0"/>
          <w:marBottom w:val="0"/>
          <w:divBdr>
            <w:top w:val="none" w:sz="0" w:space="0" w:color="auto"/>
            <w:left w:val="none" w:sz="0" w:space="0" w:color="auto"/>
            <w:bottom w:val="none" w:sz="0" w:space="0" w:color="auto"/>
            <w:right w:val="none" w:sz="0" w:space="0" w:color="auto"/>
          </w:divBdr>
        </w:div>
        <w:div w:id="1313026594">
          <w:marLeft w:val="0"/>
          <w:marRight w:val="0"/>
          <w:marTop w:val="0"/>
          <w:marBottom w:val="0"/>
          <w:divBdr>
            <w:top w:val="none" w:sz="0" w:space="0" w:color="auto"/>
            <w:left w:val="none" w:sz="0" w:space="0" w:color="auto"/>
            <w:bottom w:val="none" w:sz="0" w:space="0" w:color="auto"/>
            <w:right w:val="none" w:sz="0" w:space="0" w:color="auto"/>
          </w:divBdr>
        </w:div>
        <w:div w:id="1329287525">
          <w:marLeft w:val="0"/>
          <w:marRight w:val="0"/>
          <w:marTop w:val="0"/>
          <w:marBottom w:val="0"/>
          <w:divBdr>
            <w:top w:val="none" w:sz="0" w:space="0" w:color="auto"/>
            <w:left w:val="none" w:sz="0" w:space="0" w:color="auto"/>
            <w:bottom w:val="none" w:sz="0" w:space="0" w:color="auto"/>
            <w:right w:val="none" w:sz="0" w:space="0" w:color="auto"/>
          </w:divBdr>
        </w:div>
        <w:div w:id="1357317760">
          <w:marLeft w:val="0"/>
          <w:marRight w:val="0"/>
          <w:marTop w:val="0"/>
          <w:marBottom w:val="0"/>
          <w:divBdr>
            <w:top w:val="none" w:sz="0" w:space="0" w:color="auto"/>
            <w:left w:val="none" w:sz="0" w:space="0" w:color="auto"/>
            <w:bottom w:val="none" w:sz="0" w:space="0" w:color="auto"/>
            <w:right w:val="none" w:sz="0" w:space="0" w:color="auto"/>
          </w:divBdr>
        </w:div>
        <w:div w:id="1498810492">
          <w:marLeft w:val="0"/>
          <w:marRight w:val="0"/>
          <w:marTop w:val="0"/>
          <w:marBottom w:val="0"/>
          <w:divBdr>
            <w:top w:val="none" w:sz="0" w:space="0" w:color="auto"/>
            <w:left w:val="none" w:sz="0" w:space="0" w:color="auto"/>
            <w:bottom w:val="none" w:sz="0" w:space="0" w:color="auto"/>
            <w:right w:val="none" w:sz="0" w:space="0" w:color="auto"/>
          </w:divBdr>
        </w:div>
        <w:div w:id="1515610531">
          <w:marLeft w:val="0"/>
          <w:marRight w:val="0"/>
          <w:marTop w:val="0"/>
          <w:marBottom w:val="0"/>
          <w:divBdr>
            <w:top w:val="none" w:sz="0" w:space="0" w:color="auto"/>
            <w:left w:val="none" w:sz="0" w:space="0" w:color="auto"/>
            <w:bottom w:val="none" w:sz="0" w:space="0" w:color="auto"/>
            <w:right w:val="none" w:sz="0" w:space="0" w:color="auto"/>
          </w:divBdr>
        </w:div>
        <w:div w:id="1568538950">
          <w:marLeft w:val="0"/>
          <w:marRight w:val="0"/>
          <w:marTop w:val="0"/>
          <w:marBottom w:val="0"/>
          <w:divBdr>
            <w:top w:val="none" w:sz="0" w:space="0" w:color="auto"/>
            <w:left w:val="none" w:sz="0" w:space="0" w:color="auto"/>
            <w:bottom w:val="none" w:sz="0" w:space="0" w:color="auto"/>
            <w:right w:val="none" w:sz="0" w:space="0" w:color="auto"/>
          </w:divBdr>
        </w:div>
        <w:div w:id="1602644265">
          <w:marLeft w:val="0"/>
          <w:marRight w:val="0"/>
          <w:marTop w:val="0"/>
          <w:marBottom w:val="0"/>
          <w:divBdr>
            <w:top w:val="none" w:sz="0" w:space="0" w:color="auto"/>
            <w:left w:val="none" w:sz="0" w:space="0" w:color="auto"/>
            <w:bottom w:val="none" w:sz="0" w:space="0" w:color="auto"/>
            <w:right w:val="none" w:sz="0" w:space="0" w:color="auto"/>
          </w:divBdr>
        </w:div>
        <w:div w:id="1633513074">
          <w:marLeft w:val="0"/>
          <w:marRight w:val="0"/>
          <w:marTop w:val="0"/>
          <w:marBottom w:val="0"/>
          <w:divBdr>
            <w:top w:val="none" w:sz="0" w:space="0" w:color="auto"/>
            <w:left w:val="none" w:sz="0" w:space="0" w:color="auto"/>
            <w:bottom w:val="none" w:sz="0" w:space="0" w:color="auto"/>
            <w:right w:val="none" w:sz="0" w:space="0" w:color="auto"/>
          </w:divBdr>
        </w:div>
        <w:div w:id="1844540583">
          <w:marLeft w:val="0"/>
          <w:marRight w:val="0"/>
          <w:marTop w:val="0"/>
          <w:marBottom w:val="0"/>
          <w:divBdr>
            <w:top w:val="none" w:sz="0" w:space="0" w:color="auto"/>
            <w:left w:val="none" w:sz="0" w:space="0" w:color="auto"/>
            <w:bottom w:val="none" w:sz="0" w:space="0" w:color="auto"/>
            <w:right w:val="none" w:sz="0" w:space="0" w:color="auto"/>
          </w:divBdr>
        </w:div>
        <w:div w:id="1848906200">
          <w:marLeft w:val="0"/>
          <w:marRight w:val="0"/>
          <w:marTop w:val="0"/>
          <w:marBottom w:val="0"/>
          <w:divBdr>
            <w:top w:val="none" w:sz="0" w:space="0" w:color="auto"/>
            <w:left w:val="none" w:sz="0" w:space="0" w:color="auto"/>
            <w:bottom w:val="none" w:sz="0" w:space="0" w:color="auto"/>
            <w:right w:val="none" w:sz="0" w:space="0" w:color="auto"/>
          </w:divBdr>
        </w:div>
        <w:div w:id="1876770370">
          <w:marLeft w:val="0"/>
          <w:marRight w:val="0"/>
          <w:marTop w:val="0"/>
          <w:marBottom w:val="0"/>
          <w:divBdr>
            <w:top w:val="none" w:sz="0" w:space="0" w:color="auto"/>
            <w:left w:val="none" w:sz="0" w:space="0" w:color="auto"/>
            <w:bottom w:val="none" w:sz="0" w:space="0" w:color="auto"/>
            <w:right w:val="none" w:sz="0" w:space="0" w:color="auto"/>
          </w:divBdr>
        </w:div>
        <w:div w:id="1906719115">
          <w:marLeft w:val="0"/>
          <w:marRight w:val="0"/>
          <w:marTop w:val="0"/>
          <w:marBottom w:val="0"/>
          <w:divBdr>
            <w:top w:val="none" w:sz="0" w:space="0" w:color="auto"/>
            <w:left w:val="none" w:sz="0" w:space="0" w:color="auto"/>
            <w:bottom w:val="none" w:sz="0" w:space="0" w:color="auto"/>
            <w:right w:val="none" w:sz="0" w:space="0" w:color="auto"/>
          </w:divBdr>
        </w:div>
        <w:div w:id="1909027725">
          <w:marLeft w:val="0"/>
          <w:marRight w:val="0"/>
          <w:marTop w:val="0"/>
          <w:marBottom w:val="0"/>
          <w:divBdr>
            <w:top w:val="none" w:sz="0" w:space="0" w:color="auto"/>
            <w:left w:val="none" w:sz="0" w:space="0" w:color="auto"/>
            <w:bottom w:val="none" w:sz="0" w:space="0" w:color="auto"/>
            <w:right w:val="none" w:sz="0" w:space="0" w:color="auto"/>
          </w:divBdr>
        </w:div>
        <w:div w:id="1945729857">
          <w:marLeft w:val="0"/>
          <w:marRight w:val="0"/>
          <w:marTop w:val="0"/>
          <w:marBottom w:val="0"/>
          <w:divBdr>
            <w:top w:val="none" w:sz="0" w:space="0" w:color="auto"/>
            <w:left w:val="none" w:sz="0" w:space="0" w:color="auto"/>
            <w:bottom w:val="none" w:sz="0" w:space="0" w:color="auto"/>
            <w:right w:val="none" w:sz="0" w:space="0" w:color="auto"/>
          </w:divBdr>
        </w:div>
        <w:div w:id="2050909058">
          <w:marLeft w:val="0"/>
          <w:marRight w:val="0"/>
          <w:marTop w:val="0"/>
          <w:marBottom w:val="0"/>
          <w:divBdr>
            <w:top w:val="none" w:sz="0" w:space="0" w:color="auto"/>
            <w:left w:val="none" w:sz="0" w:space="0" w:color="auto"/>
            <w:bottom w:val="none" w:sz="0" w:space="0" w:color="auto"/>
            <w:right w:val="none" w:sz="0" w:space="0" w:color="auto"/>
          </w:divBdr>
        </w:div>
        <w:div w:id="2056463938">
          <w:marLeft w:val="0"/>
          <w:marRight w:val="0"/>
          <w:marTop w:val="0"/>
          <w:marBottom w:val="0"/>
          <w:divBdr>
            <w:top w:val="none" w:sz="0" w:space="0" w:color="auto"/>
            <w:left w:val="none" w:sz="0" w:space="0" w:color="auto"/>
            <w:bottom w:val="none" w:sz="0" w:space="0" w:color="auto"/>
            <w:right w:val="none" w:sz="0" w:space="0" w:color="auto"/>
          </w:divBdr>
        </w:div>
        <w:div w:id="2062630543">
          <w:marLeft w:val="0"/>
          <w:marRight w:val="0"/>
          <w:marTop w:val="0"/>
          <w:marBottom w:val="0"/>
          <w:divBdr>
            <w:top w:val="none" w:sz="0" w:space="0" w:color="auto"/>
            <w:left w:val="none" w:sz="0" w:space="0" w:color="auto"/>
            <w:bottom w:val="none" w:sz="0" w:space="0" w:color="auto"/>
            <w:right w:val="none" w:sz="0" w:space="0" w:color="auto"/>
          </w:divBdr>
        </w:div>
        <w:div w:id="2094667817">
          <w:marLeft w:val="0"/>
          <w:marRight w:val="0"/>
          <w:marTop w:val="0"/>
          <w:marBottom w:val="0"/>
          <w:divBdr>
            <w:top w:val="none" w:sz="0" w:space="0" w:color="auto"/>
            <w:left w:val="none" w:sz="0" w:space="0" w:color="auto"/>
            <w:bottom w:val="none" w:sz="0" w:space="0" w:color="auto"/>
            <w:right w:val="none" w:sz="0" w:space="0" w:color="auto"/>
          </w:divBdr>
        </w:div>
        <w:div w:id="2115712736">
          <w:marLeft w:val="0"/>
          <w:marRight w:val="0"/>
          <w:marTop w:val="0"/>
          <w:marBottom w:val="0"/>
          <w:divBdr>
            <w:top w:val="none" w:sz="0" w:space="0" w:color="auto"/>
            <w:left w:val="none" w:sz="0" w:space="0" w:color="auto"/>
            <w:bottom w:val="none" w:sz="0" w:space="0" w:color="auto"/>
            <w:right w:val="none" w:sz="0" w:space="0" w:color="auto"/>
          </w:divBdr>
        </w:div>
        <w:div w:id="2122797423">
          <w:marLeft w:val="0"/>
          <w:marRight w:val="0"/>
          <w:marTop w:val="0"/>
          <w:marBottom w:val="0"/>
          <w:divBdr>
            <w:top w:val="none" w:sz="0" w:space="0" w:color="auto"/>
            <w:left w:val="none" w:sz="0" w:space="0" w:color="auto"/>
            <w:bottom w:val="none" w:sz="0" w:space="0" w:color="auto"/>
            <w:right w:val="none" w:sz="0" w:space="0" w:color="auto"/>
          </w:divBdr>
        </w:div>
        <w:div w:id="2142917741">
          <w:marLeft w:val="0"/>
          <w:marRight w:val="0"/>
          <w:marTop w:val="0"/>
          <w:marBottom w:val="0"/>
          <w:divBdr>
            <w:top w:val="none" w:sz="0" w:space="0" w:color="auto"/>
            <w:left w:val="none" w:sz="0" w:space="0" w:color="auto"/>
            <w:bottom w:val="none" w:sz="0" w:space="0" w:color="auto"/>
            <w:right w:val="none" w:sz="0" w:space="0" w:color="auto"/>
          </w:divBdr>
        </w:div>
      </w:divsChild>
    </w:div>
    <w:div w:id="930240793">
      <w:bodyDiv w:val="1"/>
      <w:marLeft w:val="0"/>
      <w:marRight w:val="0"/>
      <w:marTop w:val="0"/>
      <w:marBottom w:val="0"/>
      <w:divBdr>
        <w:top w:val="none" w:sz="0" w:space="0" w:color="auto"/>
        <w:left w:val="none" w:sz="0" w:space="0" w:color="auto"/>
        <w:bottom w:val="none" w:sz="0" w:space="0" w:color="auto"/>
        <w:right w:val="none" w:sz="0" w:space="0" w:color="auto"/>
      </w:divBdr>
    </w:div>
    <w:div w:id="1285384476">
      <w:bodyDiv w:val="1"/>
      <w:marLeft w:val="0"/>
      <w:marRight w:val="0"/>
      <w:marTop w:val="0"/>
      <w:marBottom w:val="0"/>
      <w:divBdr>
        <w:top w:val="none" w:sz="0" w:space="0" w:color="auto"/>
        <w:left w:val="none" w:sz="0" w:space="0" w:color="auto"/>
        <w:bottom w:val="none" w:sz="0" w:space="0" w:color="auto"/>
        <w:right w:val="none" w:sz="0" w:space="0" w:color="auto"/>
      </w:divBdr>
      <w:divsChild>
        <w:div w:id="57018706">
          <w:marLeft w:val="0"/>
          <w:marRight w:val="0"/>
          <w:marTop w:val="0"/>
          <w:marBottom w:val="0"/>
          <w:divBdr>
            <w:top w:val="none" w:sz="0" w:space="0" w:color="auto"/>
            <w:left w:val="none" w:sz="0" w:space="0" w:color="auto"/>
            <w:bottom w:val="none" w:sz="0" w:space="0" w:color="auto"/>
            <w:right w:val="none" w:sz="0" w:space="0" w:color="auto"/>
          </w:divBdr>
          <w:divsChild>
            <w:div w:id="1079134475">
              <w:marLeft w:val="0"/>
              <w:marRight w:val="0"/>
              <w:marTop w:val="0"/>
              <w:marBottom w:val="0"/>
              <w:divBdr>
                <w:top w:val="none" w:sz="0" w:space="0" w:color="auto"/>
                <w:left w:val="none" w:sz="0" w:space="0" w:color="auto"/>
                <w:bottom w:val="none" w:sz="0" w:space="0" w:color="auto"/>
                <w:right w:val="none" w:sz="0" w:space="0" w:color="auto"/>
              </w:divBdr>
            </w:div>
            <w:div w:id="1329211508">
              <w:marLeft w:val="0"/>
              <w:marRight w:val="0"/>
              <w:marTop w:val="0"/>
              <w:marBottom w:val="0"/>
              <w:divBdr>
                <w:top w:val="none" w:sz="0" w:space="0" w:color="auto"/>
                <w:left w:val="none" w:sz="0" w:space="0" w:color="auto"/>
                <w:bottom w:val="none" w:sz="0" w:space="0" w:color="auto"/>
                <w:right w:val="none" w:sz="0" w:space="0" w:color="auto"/>
              </w:divBdr>
            </w:div>
            <w:div w:id="1847283964">
              <w:marLeft w:val="0"/>
              <w:marRight w:val="0"/>
              <w:marTop w:val="0"/>
              <w:marBottom w:val="0"/>
              <w:divBdr>
                <w:top w:val="none" w:sz="0" w:space="0" w:color="auto"/>
                <w:left w:val="none" w:sz="0" w:space="0" w:color="auto"/>
                <w:bottom w:val="none" w:sz="0" w:space="0" w:color="auto"/>
                <w:right w:val="none" w:sz="0" w:space="0" w:color="auto"/>
              </w:divBdr>
            </w:div>
          </w:divsChild>
        </w:div>
        <w:div w:id="105544307">
          <w:marLeft w:val="0"/>
          <w:marRight w:val="0"/>
          <w:marTop w:val="0"/>
          <w:marBottom w:val="0"/>
          <w:divBdr>
            <w:top w:val="none" w:sz="0" w:space="0" w:color="auto"/>
            <w:left w:val="none" w:sz="0" w:space="0" w:color="auto"/>
            <w:bottom w:val="none" w:sz="0" w:space="0" w:color="auto"/>
            <w:right w:val="none" w:sz="0" w:space="0" w:color="auto"/>
          </w:divBdr>
        </w:div>
        <w:div w:id="127019480">
          <w:marLeft w:val="0"/>
          <w:marRight w:val="0"/>
          <w:marTop w:val="0"/>
          <w:marBottom w:val="0"/>
          <w:divBdr>
            <w:top w:val="none" w:sz="0" w:space="0" w:color="auto"/>
            <w:left w:val="none" w:sz="0" w:space="0" w:color="auto"/>
            <w:bottom w:val="none" w:sz="0" w:space="0" w:color="auto"/>
            <w:right w:val="none" w:sz="0" w:space="0" w:color="auto"/>
          </w:divBdr>
        </w:div>
        <w:div w:id="217865864">
          <w:marLeft w:val="0"/>
          <w:marRight w:val="0"/>
          <w:marTop w:val="0"/>
          <w:marBottom w:val="0"/>
          <w:divBdr>
            <w:top w:val="none" w:sz="0" w:space="0" w:color="auto"/>
            <w:left w:val="none" w:sz="0" w:space="0" w:color="auto"/>
            <w:bottom w:val="none" w:sz="0" w:space="0" w:color="auto"/>
            <w:right w:val="none" w:sz="0" w:space="0" w:color="auto"/>
          </w:divBdr>
        </w:div>
        <w:div w:id="248470924">
          <w:marLeft w:val="0"/>
          <w:marRight w:val="0"/>
          <w:marTop w:val="0"/>
          <w:marBottom w:val="0"/>
          <w:divBdr>
            <w:top w:val="none" w:sz="0" w:space="0" w:color="auto"/>
            <w:left w:val="none" w:sz="0" w:space="0" w:color="auto"/>
            <w:bottom w:val="none" w:sz="0" w:space="0" w:color="auto"/>
            <w:right w:val="none" w:sz="0" w:space="0" w:color="auto"/>
          </w:divBdr>
        </w:div>
        <w:div w:id="358746349">
          <w:marLeft w:val="0"/>
          <w:marRight w:val="0"/>
          <w:marTop w:val="0"/>
          <w:marBottom w:val="0"/>
          <w:divBdr>
            <w:top w:val="none" w:sz="0" w:space="0" w:color="auto"/>
            <w:left w:val="none" w:sz="0" w:space="0" w:color="auto"/>
            <w:bottom w:val="none" w:sz="0" w:space="0" w:color="auto"/>
            <w:right w:val="none" w:sz="0" w:space="0" w:color="auto"/>
          </w:divBdr>
        </w:div>
        <w:div w:id="366372847">
          <w:marLeft w:val="0"/>
          <w:marRight w:val="0"/>
          <w:marTop w:val="0"/>
          <w:marBottom w:val="0"/>
          <w:divBdr>
            <w:top w:val="none" w:sz="0" w:space="0" w:color="auto"/>
            <w:left w:val="none" w:sz="0" w:space="0" w:color="auto"/>
            <w:bottom w:val="none" w:sz="0" w:space="0" w:color="auto"/>
            <w:right w:val="none" w:sz="0" w:space="0" w:color="auto"/>
          </w:divBdr>
        </w:div>
        <w:div w:id="380246889">
          <w:marLeft w:val="0"/>
          <w:marRight w:val="0"/>
          <w:marTop w:val="0"/>
          <w:marBottom w:val="0"/>
          <w:divBdr>
            <w:top w:val="none" w:sz="0" w:space="0" w:color="auto"/>
            <w:left w:val="none" w:sz="0" w:space="0" w:color="auto"/>
            <w:bottom w:val="none" w:sz="0" w:space="0" w:color="auto"/>
            <w:right w:val="none" w:sz="0" w:space="0" w:color="auto"/>
          </w:divBdr>
        </w:div>
        <w:div w:id="384453798">
          <w:marLeft w:val="0"/>
          <w:marRight w:val="0"/>
          <w:marTop w:val="0"/>
          <w:marBottom w:val="0"/>
          <w:divBdr>
            <w:top w:val="none" w:sz="0" w:space="0" w:color="auto"/>
            <w:left w:val="none" w:sz="0" w:space="0" w:color="auto"/>
            <w:bottom w:val="none" w:sz="0" w:space="0" w:color="auto"/>
            <w:right w:val="none" w:sz="0" w:space="0" w:color="auto"/>
          </w:divBdr>
        </w:div>
        <w:div w:id="418605336">
          <w:marLeft w:val="0"/>
          <w:marRight w:val="0"/>
          <w:marTop w:val="0"/>
          <w:marBottom w:val="0"/>
          <w:divBdr>
            <w:top w:val="none" w:sz="0" w:space="0" w:color="auto"/>
            <w:left w:val="none" w:sz="0" w:space="0" w:color="auto"/>
            <w:bottom w:val="none" w:sz="0" w:space="0" w:color="auto"/>
            <w:right w:val="none" w:sz="0" w:space="0" w:color="auto"/>
          </w:divBdr>
        </w:div>
        <w:div w:id="451369288">
          <w:marLeft w:val="0"/>
          <w:marRight w:val="0"/>
          <w:marTop w:val="0"/>
          <w:marBottom w:val="0"/>
          <w:divBdr>
            <w:top w:val="none" w:sz="0" w:space="0" w:color="auto"/>
            <w:left w:val="none" w:sz="0" w:space="0" w:color="auto"/>
            <w:bottom w:val="none" w:sz="0" w:space="0" w:color="auto"/>
            <w:right w:val="none" w:sz="0" w:space="0" w:color="auto"/>
          </w:divBdr>
        </w:div>
        <w:div w:id="460802912">
          <w:marLeft w:val="0"/>
          <w:marRight w:val="0"/>
          <w:marTop w:val="0"/>
          <w:marBottom w:val="0"/>
          <w:divBdr>
            <w:top w:val="none" w:sz="0" w:space="0" w:color="auto"/>
            <w:left w:val="none" w:sz="0" w:space="0" w:color="auto"/>
            <w:bottom w:val="none" w:sz="0" w:space="0" w:color="auto"/>
            <w:right w:val="none" w:sz="0" w:space="0" w:color="auto"/>
          </w:divBdr>
          <w:divsChild>
            <w:div w:id="1113746375">
              <w:marLeft w:val="0"/>
              <w:marRight w:val="0"/>
              <w:marTop w:val="0"/>
              <w:marBottom w:val="0"/>
              <w:divBdr>
                <w:top w:val="none" w:sz="0" w:space="0" w:color="auto"/>
                <w:left w:val="none" w:sz="0" w:space="0" w:color="auto"/>
                <w:bottom w:val="none" w:sz="0" w:space="0" w:color="auto"/>
                <w:right w:val="none" w:sz="0" w:space="0" w:color="auto"/>
              </w:divBdr>
            </w:div>
            <w:div w:id="1431196496">
              <w:marLeft w:val="0"/>
              <w:marRight w:val="0"/>
              <w:marTop w:val="0"/>
              <w:marBottom w:val="0"/>
              <w:divBdr>
                <w:top w:val="none" w:sz="0" w:space="0" w:color="auto"/>
                <w:left w:val="none" w:sz="0" w:space="0" w:color="auto"/>
                <w:bottom w:val="none" w:sz="0" w:space="0" w:color="auto"/>
                <w:right w:val="none" w:sz="0" w:space="0" w:color="auto"/>
              </w:divBdr>
            </w:div>
            <w:div w:id="1740052563">
              <w:marLeft w:val="0"/>
              <w:marRight w:val="0"/>
              <w:marTop w:val="0"/>
              <w:marBottom w:val="0"/>
              <w:divBdr>
                <w:top w:val="none" w:sz="0" w:space="0" w:color="auto"/>
                <w:left w:val="none" w:sz="0" w:space="0" w:color="auto"/>
                <w:bottom w:val="none" w:sz="0" w:space="0" w:color="auto"/>
                <w:right w:val="none" w:sz="0" w:space="0" w:color="auto"/>
              </w:divBdr>
            </w:div>
            <w:div w:id="1803041146">
              <w:marLeft w:val="0"/>
              <w:marRight w:val="0"/>
              <w:marTop w:val="0"/>
              <w:marBottom w:val="0"/>
              <w:divBdr>
                <w:top w:val="none" w:sz="0" w:space="0" w:color="auto"/>
                <w:left w:val="none" w:sz="0" w:space="0" w:color="auto"/>
                <w:bottom w:val="none" w:sz="0" w:space="0" w:color="auto"/>
                <w:right w:val="none" w:sz="0" w:space="0" w:color="auto"/>
              </w:divBdr>
            </w:div>
          </w:divsChild>
        </w:div>
        <w:div w:id="541135280">
          <w:marLeft w:val="0"/>
          <w:marRight w:val="0"/>
          <w:marTop w:val="0"/>
          <w:marBottom w:val="0"/>
          <w:divBdr>
            <w:top w:val="none" w:sz="0" w:space="0" w:color="auto"/>
            <w:left w:val="none" w:sz="0" w:space="0" w:color="auto"/>
            <w:bottom w:val="none" w:sz="0" w:space="0" w:color="auto"/>
            <w:right w:val="none" w:sz="0" w:space="0" w:color="auto"/>
          </w:divBdr>
          <w:divsChild>
            <w:div w:id="1939752455">
              <w:marLeft w:val="0"/>
              <w:marRight w:val="0"/>
              <w:marTop w:val="0"/>
              <w:marBottom w:val="0"/>
              <w:divBdr>
                <w:top w:val="none" w:sz="0" w:space="0" w:color="auto"/>
                <w:left w:val="none" w:sz="0" w:space="0" w:color="auto"/>
                <w:bottom w:val="none" w:sz="0" w:space="0" w:color="auto"/>
                <w:right w:val="none" w:sz="0" w:space="0" w:color="auto"/>
              </w:divBdr>
            </w:div>
            <w:div w:id="2122187094">
              <w:marLeft w:val="0"/>
              <w:marRight w:val="0"/>
              <w:marTop w:val="0"/>
              <w:marBottom w:val="0"/>
              <w:divBdr>
                <w:top w:val="none" w:sz="0" w:space="0" w:color="auto"/>
                <w:left w:val="none" w:sz="0" w:space="0" w:color="auto"/>
                <w:bottom w:val="none" w:sz="0" w:space="0" w:color="auto"/>
                <w:right w:val="none" w:sz="0" w:space="0" w:color="auto"/>
              </w:divBdr>
            </w:div>
          </w:divsChild>
        </w:div>
        <w:div w:id="565456231">
          <w:marLeft w:val="0"/>
          <w:marRight w:val="0"/>
          <w:marTop w:val="0"/>
          <w:marBottom w:val="0"/>
          <w:divBdr>
            <w:top w:val="none" w:sz="0" w:space="0" w:color="auto"/>
            <w:left w:val="none" w:sz="0" w:space="0" w:color="auto"/>
            <w:bottom w:val="none" w:sz="0" w:space="0" w:color="auto"/>
            <w:right w:val="none" w:sz="0" w:space="0" w:color="auto"/>
          </w:divBdr>
        </w:div>
        <w:div w:id="607740522">
          <w:marLeft w:val="0"/>
          <w:marRight w:val="0"/>
          <w:marTop w:val="0"/>
          <w:marBottom w:val="0"/>
          <w:divBdr>
            <w:top w:val="none" w:sz="0" w:space="0" w:color="auto"/>
            <w:left w:val="none" w:sz="0" w:space="0" w:color="auto"/>
            <w:bottom w:val="none" w:sz="0" w:space="0" w:color="auto"/>
            <w:right w:val="none" w:sz="0" w:space="0" w:color="auto"/>
          </w:divBdr>
        </w:div>
        <w:div w:id="697854474">
          <w:marLeft w:val="0"/>
          <w:marRight w:val="0"/>
          <w:marTop w:val="0"/>
          <w:marBottom w:val="0"/>
          <w:divBdr>
            <w:top w:val="none" w:sz="0" w:space="0" w:color="auto"/>
            <w:left w:val="none" w:sz="0" w:space="0" w:color="auto"/>
            <w:bottom w:val="none" w:sz="0" w:space="0" w:color="auto"/>
            <w:right w:val="none" w:sz="0" w:space="0" w:color="auto"/>
          </w:divBdr>
        </w:div>
        <w:div w:id="706829340">
          <w:marLeft w:val="0"/>
          <w:marRight w:val="0"/>
          <w:marTop w:val="0"/>
          <w:marBottom w:val="0"/>
          <w:divBdr>
            <w:top w:val="none" w:sz="0" w:space="0" w:color="auto"/>
            <w:left w:val="none" w:sz="0" w:space="0" w:color="auto"/>
            <w:bottom w:val="none" w:sz="0" w:space="0" w:color="auto"/>
            <w:right w:val="none" w:sz="0" w:space="0" w:color="auto"/>
          </w:divBdr>
        </w:div>
        <w:div w:id="760757531">
          <w:marLeft w:val="0"/>
          <w:marRight w:val="0"/>
          <w:marTop w:val="0"/>
          <w:marBottom w:val="0"/>
          <w:divBdr>
            <w:top w:val="none" w:sz="0" w:space="0" w:color="auto"/>
            <w:left w:val="none" w:sz="0" w:space="0" w:color="auto"/>
            <w:bottom w:val="none" w:sz="0" w:space="0" w:color="auto"/>
            <w:right w:val="none" w:sz="0" w:space="0" w:color="auto"/>
          </w:divBdr>
        </w:div>
        <w:div w:id="762998019">
          <w:marLeft w:val="0"/>
          <w:marRight w:val="0"/>
          <w:marTop w:val="0"/>
          <w:marBottom w:val="0"/>
          <w:divBdr>
            <w:top w:val="none" w:sz="0" w:space="0" w:color="auto"/>
            <w:left w:val="none" w:sz="0" w:space="0" w:color="auto"/>
            <w:bottom w:val="none" w:sz="0" w:space="0" w:color="auto"/>
            <w:right w:val="none" w:sz="0" w:space="0" w:color="auto"/>
          </w:divBdr>
        </w:div>
        <w:div w:id="763651583">
          <w:marLeft w:val="0"/>
          <w:marRight w:val="0"/>
          <w:marTop w:val="0"/>
          <w:marBottom w:val="0"/>
          <w:divBdr>
            <w:top w:val="none" w:sz="0" w:space="0" w:color="auto"/>
            <w:left w:val="none" w:sz="0" w:space="0" w:color="auto"/>
            <w:bottom w:val="none" w:sz="0" w:space="0" w:color="auto"/>
            <w:right w:val="none" w:sz="0" w:space="0" w:color="auto"/>
          </w:divBdr>
        </w:div>
        <w:div w:id="788624727">
          <w:marLeft w:val="0"/>
          <w:marRight w:val="0"/>
          <w:marTop w:val="0"/>
          <w:marBottom w:val="0"/>
          <w:divBdr>
            <w:top w:val="none" w:sz="0" w:space="0" w:color="auto"/>
            <w:left w:val="none" w:sz="0" w:space="0" w:color="auto"/>
            <w:bottom w:val="none" w:sz="0" w:space="0" w:color="auto"/>
            <w:right w:val="none" w:sz="0" w:space="0" w:color="auto"/>
          </w:divBdr>
        </w:div>
        <w:div w:id="812410495">
          <w:marLeft w:val="0"/>
          <w:marRight w:val="0"/>
          <w:marTop w:val="0"/>
          <w:marBottom w:val="0"/>
          <w:divBdr>
            <w:top w:val="none" w:sz="0" w:space="0" w:color="auto"/>
            <w:left w:val="none" w:sz="0" w:space="0" w:color="auto"/>
            <w:bottom w:val="none" w:sz="0" w:space="0" w:color="auto"/>
            <w:right w:val="none" w:sz="0" w:space="0" w:color="auto"/>
          </w:divBdr>
        </w:div>
        <w:div w:id="821503212">
          <w:marLeft w:val="0"/>
          <w:marRight w:val="0"/>
          <w:marTop w:val="0"/>
          <w:marBottom w:val="0"/>
          <w:divBdr>
            <w:top w:val="none" w:sz="0" w:space="0" w:color="auto"/>
            <w:left w:val="none" w:sz="0" w:space="0" w:color="auto"/>
            <w:bottom w:val="none" w:sz="0" w:space="0" w:color="auto"/>
            <w:right w:val="none" w:sz="0" w:space="0" w:color="auto"/>
          </w:divBdr>
        </w:div>
        <w:div w:id="850030955">
          <w:marLeft w:val="0"/>
          <w:marRight w:val="0"/>
          <w:marTop w:val="0"/>
          <w:marBottom w:val="0"/>
          <w:divBdr>
            <w:top w:val="none" w:sz="0" w:space="0" w:color="auto"/>
            <w:left w:val="none" w:sz="0" w:space="0" w:color="auto"/>
            <w:bottom w:val="none" w:sz="0" w:space="0" w:color="auto"/>
            <w:right w:val="none" w:sz="0" w:space="0" w:color="auto"/>
          </w:divBdr>
        </w:div>
        <w:div w:id="873268620">
          <w:marLeft w:val="0"/>
          <w:marRight w:val="0"/>
          <w:marTop w:val="0"/>
          <w:marBottom w:val="0"/>
          <w:divBdr>
            <w:top w:val="none" w:sz="0" w:space="0" w:color="auto"/>
            <w:left w:val="none" w:sz="0" w:space="0" w:color="auto"/>
            <w:bottom w:val="none" w:sz="0" w:space="0" w:color="auto"/>
            <w:right w:val="none" w:sz="0" w:space="0" w:color="auto"/>
          </w:divBdr>
        </w:div>
        <w:div w:id="881677859">
          <w:marLeft w:val="0"/>
          <w:marRight w:val="0"/>
          <w:marTop w:val="0"/>
          <w:marBottom w:val="0"/>
          <w:divBdr>
            <w:top w:val="none" w:sz="0" w:space="0" w:color="auto"/>
            <w:left w:val="none" w:sz="0" w:space="0" w:color="auto"/>
            <w:bottom w:val="none" w:sz="0" w:space="0" w:color="auto"/>
            <w:right w:val="none" w:sz="0" w:space="0" w:color="auto"/>
          </w:divBdr>
        </w:div>
        <w:div w:id="916552590">
          <w:marLeft w:val="0"/>
          <w:marRight w:val="0"/>
          <w:marTop w:val="0"/>
          <w:marBottom w:val="0"/>
          <w:divBdr>
            <w:top w:val="none" w:sz="0" w:space="0" w:color="auto"/>
            <w:left w:val="none" w:sz="0" w:space="0" w:color="auto"/>
            <w:bottom w:val="none" w:sz="0" w:space="0" w:color="auto"/>
            <w:right w:val="none" w:sz="0" w:space="0" w:color="auto"/>
          </w:divBdr>
        </w:div>
        <w:div w:id="1047753518">
          <w:marLeft w:val="0"/>
          <w:marRight w:val="0"/>
          <w:marTop w:val="0"/>
          <w:marBottom w:val="0"/>
          <w:divBdr>
            <w:top w:val="none" w:sz="0" w:space="0" w:color="auto"/>
            <w:left w:val="none" w:sz="0" w:space="0" w:color="auto"/>
            <w:bottom w:val="none" w:sz="0" w:space="0" w:color="auto"/>
            <w:right w:val="none" w:sz="0" w:space="0" w:color="auto"/>
          </w:divBdr>
        </w:div>
        <w:div w:id="1061371559">
          <w:marLeft w:val="0"/>
          <w:marRight w:val="0"/>
          <w:marTop w:val="0"/>
          <w:marBottom w:val="0"/>
          <w:divBdr>
            <w:top w:val="none" w:sz="0" w:space="0" w:color="auto"/>
            <w:left w:val="none" w:sz="0" w:space="0" w:color="auto"/>
            <w:bottom w:val="none" w:sz="0" w:space="0" w:color="auto"/>
            <w:right w:val="none" w:sz="0" w:space="0" w:color="auto"/>
          </w:divBdr>
        </w:div>
        <w:div w:id="1079597411">
          <w:marLeft w:val="0"/>
          <w:marRight w:val="0"/>
          <w:marTop w:val="0"/>
          <w:marBottom w:val="0"/>
          <w:divBdr>
            <w:top w:val="none" w:sz="0" w:space="0" w:color="auto"/>
            <w:left w:val="none" w:sz="0" w:space="0" w:color="auto"/>
            <w:bottom w:val="none" w:sz="0" w:space="0" w:color="auto"/>
            <w:right w:val="none" w:sz="0" w:space="0" w:color="auto"/>
          </w:divBdr>
          <w:divsChild>
            <w:div w:id="1773016217">
              <w:marLeft w:val="0"/>
              <w:marRight w:val="0"/>
              <w:marTop w:val="0"/>
              <w:marBottom w:val="0"/>
              <w:divBdr>
                <w:top w:val="none" w:sz="0" w:space="0" w:color="auto"/>
                <w:left w:val="none" w:sz="0" w:space="0" w:color="auto"/>
                <w:bottom w:val="none" w:sz="0" w:space="0" w:color="auto"/>
                <w:right w:val="none" w:sz="0" w:space="0" w:color="auto"/>
              </w:divBdr>
            </w:div>
          </w:divsChild>
        </w:div>
        <w:div w:id="1081635774">
          <w:marLeft w:val="0"/>
          <w:marRight w:val="0"/>
          <w:marTop w:val="0"/>
          <w:marBottom w:val="0"/>
          <w:divBdr>
            <w:top w:val="none" w:sz="0" w:space="0" w:color="auto"/>
            <w:left w:val="none" w:sz="0" w:space="0" w:color="auto"/>
            <w:bottom w:val="none" w:sz="0" w:space="0" w:color="auto"/>
            <w:right w:val="none" w:sz="0" w:space="0" w:color="auto"/>
          </w:divBdr>
          <w:divsChild>
            <w:div w:id="599023738">
              <w:marLeft w:val="-75"/>
              <w:marRight w:val="0"/>
              <w:marTop w:val="30"/>
              <w:marBottom w:val="30"/>
              <w:divBdr>
                <w:top w:val="none" w:sz="0" w:space="0" w:color="auto"/>
                <w:left w:val="none" w:sz="0" w:space="0" w:color="auto"/>
                <w:bottom w:val="none" w:sz="0" w:space="0" w:color="auto"/>
                <w:right w:val="none" w:sz="0" w:space="0" w:color="auto"/>
              </w:divBdr>
              <w:divsChild>
                <w:div w:id="13460253">
                  <w:marLeft w:val="0"/>
                  <w:marRight w:val="0"/>
                  <w:marTop w:val="0"/>
                  <w:marBottom w:val="0"/>
                  <w:divBdr>
                    <w:top w:val="none" w:sz="0" w:space="0" w:color="auto"/>
                    <w:left w:val="none" w:sz="0" w:space="0" w:color="auto"/>
                    <w:bottom w:val="none" w:sz="0" w:space="0" w:color="auto"/>
                    <w:right w:val="none" w:sz="0" w:space="0" w:color="auto"/>
                  </w:divBdr>
                  <w:divsChild>
                    <w:div w:id="1910651414">
                      <w:marLeft w:val="0"/>
                      <w:marRight w:val="0"/>
                      <w:marTop w:val="0"/>
                      <w:marBottom w:val="0"/>
                      <w:divBdr>
                        <w:top w:val="none" w:sz="0" w:space="0" w:color="auto"/>
                        <w:left w:val="none" w:sz="0" w:space="0" w:color="auto"/>
                        <w:bottom w:val="none" w:sz="0" w:space="0" w:color="auto"/>
                        <w:right w:val="none" w:sz="0" w:space="0" w:color="auto"/>
                      </w:divBdr>
                    </w:div>
                  </w:divsChild>
                </w:div>
                <w:div w:id="77795555">
                  <w:marLeft w:val="0"/>
                  <w:marRight w:val="0"/>
                  <w:marTop w:val="0"/>
                  <w:marBottom w:val="0"/>
                  <w:divBdr>
                    <w:top w:val="none" w:sz="0" w:space="0" w:color="auto"/>
                    <w:left w:val="none" w:sz="0" w:space="0" w:color="auto"/>
                    <w:bottom w:val="none" w:sz="0" w:space="0" w:color="auto"/>
                    <w:right w:val="none" w:sz="0" w:space="0" w:color="auto"/>
                  </w:divBdr>
                  <w:divsChild>
                    <w:div w:id="11690932">
                      <w:marLeft w:val="0"/>
                      <w:marRight w:val="0"/>
                      <w:marTop w:val="0"/>
                      <w:marBottom w:val="0"/>
                      <w:divBdr>
                        <w:top w:val="none" w:sz="0" w:space="0" w:color="auto"/>
                        <w:left w:val="none" w:sz="0" w:space="0" w:color="auto"/>
                        <w:bottom w:val="none" w:sz="0" w:space="0" w:color="auto"/>
                        <w:right w:val="none" w:sz="0" w:space="0" w:color="auto"/>
                      </w:divBdr>
                    </w:div>
                  </w:divsChild>
                </w:div>
                <w:div w:id="156844901">
                  <w:marLeft w:val="0"/>
                  <w:marRight w:val="0"/>
                  <w:marTop w:val="0"/>
                  <w:marBottom w:val="0"/>
                  <w:divBdr>
                    <w:top w:val="none" w:sz="0" w:space="0" w:color="auto"/>
                    <w:left w:val="none" w:sz="0" w:space="0" w:color="auto"/>
                    <w:bottom w:val="none" w:sz="0" w:space="0" w:color="auto"/>
                    <w:right w:val="none" w:sz="0" w:space="0" w:color="auto"/>
                  </w:divBdr>
                  <w:divsChild>
                    <w:div w:id="1815367993">
                      <w:marLeft w:val="0"/>
                      <w:marRight w:val="0"/>
                      <w:marTop w:val="0"/>
                      <w:marBottom w:val="0"/>
                      <w:divBdr>
                        <w:top w:val="none" w:sz="0" w:space="0" w:color="auto"/>
                        <w:left w:val="none" w:sz="0" w:space="0" w:color="auto"/>
                        <w:bottom w:val="none" w:sz="0" w:space="0" w:color="auto"/>
                        <w:right w:val="none" w:sz="0" w:space="0" w:color="auto"/>
                      </w:divBdr>
                    </w:div>
                  </w:divsChild>
                </w:div>
                <w:div w:id="292761125">
                  <w:marLeft w:val="0"/>
                  <w:marRight w:val="0"/>
                  <w:marTop w:val="0"/>
                  <w:marBottom w:val="0"/>
                  <w:divBdr>
                    <w:top w:val="none" w:sz="0" w:space="0" w:color="auto"/>
                    <w:left w:val="none" w:sz="0" w:space="0" w:color="auto"/>
                    <w:bottom w:val="none" w:sz="0" w:space="0" w:color="auto"/>
                    <w:right w:val="none" w:sz="0" w:space="0" w:color="auto"/>
                  </w:divBdr>
                  <w:divsChild>
                    <w:div w:id="1307779989">
                      <w:marLeft w:val="0"/>
                      <w:marRight w:val="0"/>
                      <w:marTop w:val="0"/>
                      <w:marBottom w:val="0"/>
                      <w:divBdr>
                        <w:top w:val="none" w:sz="0" w:space="0" w:color="auto"/>
                        <w:left w:val="none" w:sz="0" w:space="0" w:color="auto"/>
                        <w:bottom w:val="none" w:sz="0" w:space="0" w:color="auto"/>
                        <w:right w:val="none" w:sz="0" w:space="0" w:color="auto"/>
                      </w:divBdr>
                    </w:div>
                  </w:divsChild>
                </w:div>
                <w:div w:id="354424017">
                  <w:marLeft w:val="0"/>
                  <w:marRight w:val="0"/>
                  <w:marTop w:val="0"/>
                  <w:marBottom w:val="0"/>
                  <w:divBdr>
                    <w:top w:val="none" w:sz="0" w:space="0" w:color="auto"/>
                    <w:left w:val="none" w:sz="0" w:space="0" w:color="auto"/>
                    <w:bottom w:val="none" w:sz="0" w:space="0" w:color="auto"/>
                    <w:right w:val="none" w:sz="0" w:space="0" w:color="auto"/>
                  </w:divBdr>
                  <w:divsChild>
                    <w:div w:id="1339960447">
                      <w:marLeft w:val="0"/>
                      <w:marRight w:val="0"/>
                      <w:marTop w:val="0"/>
                      <w:marBottom w:val="0"/>
                      <w:divBdr>
                        <w:top w:val="none" w:sz="0" w:space="0" w:color="auto"/>
                        <w:left w:val="none" w:sz="0" w:space="0" w:color="auto"/>
                        <w:bottom w:val="none" w:sz="0" w:space="0" w:color="auto"/>
                        <w:right w:val="none" w:sz="0" w:space="0" w:color="auto"/>
                      </w:divBdr>
                    </w:div>
                  </w:divsChild>
                </w:div>
                <w:div w:id="381909245">
                  <w:marLeft w:val="0"/>
                  <w:marRight w:val="0"/>
                  <w:marTop w:val="0"/>
                  <w:marBottom w:val="0"/>
                  <w:divBdr>
                    <w:top w:val="none" w:sz="0" w:space="0" w:color="auto"/>
                    <w:left w:val="none" w:sz="0" w:space="0" w:color="auto"/>
                    <w:bottom w:val="none" w:sz="0" w:space="0" w:color="auto"/>
                    <w:right w:val="none" w:sz="0" w:space="0" w:color="auto"/>
                  </w:divBdr>
                  <w:divsChild>
                    <w:div w:id="542981281">
                      <w:marLeft w:val="0"/>
                      <w:marRight w:val="0"/>
                      <w:marTop w:val="0"/>
                      <w:marBottom w:val="0"/>
                      <w:divBdr>
                        <w:top w:val="none" w:sz="0" w:space="0" w:color="auto"/>
                        <w:left w:val="none" w:sz="0" w:space="0" w:color="auto"/>
                        <w:bottom w:val="none" w:sz="0" w:space="0" w:color="auto"/>
                        <w:right w:val="none" w:sz="0" w:space="0" w:color="auto"/>
                      </w:divBdr>
                    </w:div>
                  </w:divsChild>
                </w:div>
                <w:div w:id="451290579">
                  <w:marLeft w:val="0"/>
                  <w:marRight w:val="0"/>
                  <w:marTop w:val="0"/>
                  <w:marBottom w:val="0"/>
                  <w:divBdr>
                    <w:top w:val="none" w:sz="0" w:space="0" w:color="auto"/>
                    <w:left w:val="none" w:sz="0" w:space="0" w:color="auto"/>
                    <w:bottom w:val="none" w:sz="0" w:space="0" w:color="auto"/>
                    <w:right w:val="none" w:sz="0" w:space="0" w:color="auto"/>
                  </w:divBdr>
                  <w:divsChild>
                    <w:div w:id="476803227">
                      <w:marLeft w:val="0"/>
                      <w:marRight w:val="0"/>
                      <w:marTop w:val="0"/>
                      <w:marBottom w:val="0"/>
                      <w:divBdr>
                        <w:top w:val="none" w:sz="0" w:space="0" w:color="auto"/>
                        <w:left w:val="none" w:sz="0" w:space="0" w:color="auto"/>
                        <w:bottom w:val="none" w:sz="0" w:space="0" w:color="auto"/>
                        <w:right w:val="none" w:sz="0" w:space="0" w:color="auto"/>
                      </w:divBdr>
                    </w:div>
                  </w:divsChild>
                </w:div>
                <w:div w:id="719017316">
                  <w:marLeft w:val="0"/>
                  <w:marRight w:val="0"/>
                  <w:marTop w:val="0"/>
                  <w:marBottom w:val="0"/>
                  <w:divBdr>
                    <w:top w:val="none" w:sz="0" w:space="0" w:color="auto"/>
                    <w:left w:val="none" w:sz="0" w:space="0" w:color="auto"/>
                    <w:bottom w:val="none" w:sz="0" w:space="0" w:color="auto"/>
                    <w:right w:val="none" w:sz="0" w:space="0" w:color="auto"/>
                  </w:divBdr>
                  <w:divsChild>
                    <w:div w:id="1142190142">
                      <w:marLeft w:val="0"/>
                      <w:marRight w:val="0"/>
                      <w:marTop w:val="0"/>
                      <w:marBottom w:val="0"/>
                      <w:divBdr>
                        <w:top w:val="none" w:sz="0" w:space="0" w:color="auto"/>
                        <w:left w:val="none" w:sz="0" w:space="0" w:color="auto"/>
                        <w:bottom w:val="none" w:sz="0" w:space="0" w:color="auto"/>
                        <w:right w:val="none" w:sz="0" w:space="0" w:color="auto"/>
                      </w:divBdr>
                    </w:div>
                  </w:divsChild>
                </w:div>
                <w:div w:id="823090245">
                  <w:marLeft w:val="0"/>
                  <w:marRight w:val="0"/>
                  <w:marTop w:val="0"/>
                  <w:marBottom w:val="0"/>
                  <w:divBdr>
                    <w:top w:val="none" w:sz="0" w:space="0" w:color="auto"/>
                    <w:left w:val="none" w:sz="0" w:space="0" w:color="auto"/>
                    <w:bottom w:val="none" w:sz="0" w:space="0" w:color="auto"/>
                    <w:right w:val="none" w:sz="0" w:space="0" w:color="auto"/>
                  </w:divBdr>
                  <w:divsChild>
                    <w:div w:id="538933301">
                      <w:marLeft w:val="0"/>
                      <w:marRight w:val="0"/>
                      <w:marTop w:val="0"/>
                      <w:marBottom w:val="0"/>
                      <w:divBdr>
                        <w:top w:val="none" w:sz="0" w:space="0" w:color="auto"/>
                        <w:left w:val="none" w:sz="0" w:space="0" w:color="auto"/>
                        <w:bottom w:val="none" w:sz="0" w:space="0" w:color="auto"/>
                        <w:right w:val="none" w:sz="0" w:space="0" w:color="auto"/>
                      </w:divBdr>
                    </w:div>
                  </w:divsChild>
                </w:div>
                <w:div w:id="891962246">
                  <w:marLeft w:val="0"/>
                  <w:marRight w:val="0"/>
                  <w:marTop w:val="0"/>
                  <w:marBottom w:val="0"/>
                  <w:divBdr>
                    <w:top w:val="none" w:sz="0" w:space="0" w:color="auto"/>
                    <w:left w:val="none" w:sz="0" w:space="0" w:color="auto"/>
                    <w:bottom w:val="none" w:sz="0" w:space="0" w:color="auto"/>
                    <w:right w:val="none" w:sz="0" w:space="0" w:color="auto"/>
                  </w:divBdr>
                  <w:divsChild>
                    <w:div w:id="923564866">
                      <w:marLeft w:val="0"/>
                      <w:marRight w:val="0"/>
                      <w:marTop w:val="0"/>
                      <w:marBottom w:val="0"/>
                      <w:divBdr>
                        <w:top w:val="none" w:sz="0" w:space="0" w:color="auto"/>
                        <w:left w:val="none" w:sz="0" w:space="0" w:color="auto"/>
                        <w:bottom w:val="none" w:sz="0" w:space="0" w:color="auto"/>
                        <w:right w:val="none" w:sz="0" w:space="0" w:color="auto"/>
                      </w:divBdr>
                    </w:div>
                  </w:divsChild>
                </w:div>
                <w:div w:id="910774796">
                  <w:marLeft w:val="0"/>
                  <w:marRight w:val="0"/>
                  <w:marTop w:val="0"/>
                  <w:marBottom w:val="0"/>
                  <w:divBdr>
                    <w:top w:val="none" w:sz="0" w:space="0" w:color="auto"/>
                    <w:left w:val="none" w:sz="0" w:space="0" w:color="auto"/>
                    <w:bottom w:val="none" w:sz="0" w:space="0" w:color="auto"/>
                    <w:right w:val="none" w:sz="0" w:space="0" w:color="auto"/>
                  </w:divBdr>
                  <w:divsChild>
                    <w:div w:id="556941638">
                      <w:marLeft w:val="0"/>
                      <w:marRight w:val="0"/>
                      <w:marTop w:val="0"/>
                      <w:marBottom w:val="0"/>
                      <w:divBdr>
                        <w:top w:val="none" w:sz="0" w:space="0" w:color="auto"/>
                        <w:left w:val="none" w:sz="0" w:space="0" w:color="auto"/>
                        <w:bottom w:val="none" w:sz="0" w:space="0" w:color="auto"/>
                        <w:right w:val="none" w:sz="0" w:space="0" w:color="auto"/>
                      </w:divBdr>
                    </w:div>
                  </w:divsChild>
                </w:div>
                <w:div w:id="1173766679">
                  <w:marLeft w:val="0"/>
                  <w:marRight w:val="0"/>
                  <w:marTop w:val="0"/>
                  <w:marBottom w:val="0"/>
                  <w:divBdr>
                    <w:top w:val="none" w:sz="0" w:space="0" w:color="auto"/>
                    <w:left w:val="none" w:sz="0" w:space="0" w:color="auto"/>
                    <w:bottom w:val="none" w:sz="0" w:space="0" w:color="auto"/>
                    <w:right w:val="none" w:sz="0" w:space="0" w:color="auto"/>
                  </w:divBdr>
                  <w:divsChild>
                    <w:div w:id="1681883037">
                      <w:marLeft w:val="0"/>
                      <w:marRight w:val="0"/>
                      <w:marTop w:val="0"/>
                      <w:marBottom w:val="0"/>
                      <w:divBdr>
                        <w:top w:val="none" w:sz="0" w:space="0" w:color="auto"/>
                        <w:left w:val="none" w:sz="0" w:space="0" w:color="auto"/>
                        <w:bottom w:val="none" w:sz="0" w:space="0" w:color="auto"/>
                        <w:right w:val="none" w:sz="0" w:space="0" w:color="auto"/>
                      </w:divBdr>
                    </w:div>
                  </w:divsChild>
                </w:div>
                <w:div w:id="1256523558">
                  <w:marLeft w:val="0"/>
                  <w:marRight w:val="0"/>
                  <w:marTop w:val="0"/>
                  <w:marBottom w:val="0"/>
                  <w:divBdr>
                    <w:top w:val="none" w:sz="0" w:space="0" w:color="auto"/>
                    <w:left w:val="none" w:sz="0" w:space="0" w:color="auto"/>
                    <w:bottom w:val="none" w:sz="0" w:space="0" w:color="auto"/>
                    <w:right w:val="none" w:sz="0" w:space="0" w:color="auto"/>
                  </w:divBdr>
                  <w:divsChild>
                    <w:div w:id="662927110">
                      <w:marLeft w:val="0"/>
                      <w:marRight w:val="0"/>
                      <w:marTop w:val="0"/>
                      <w:marBottom w:val="0"/>
                      <w:divBdr>
                        <w:top w:val="none" w:sz="0" w:space="0" w:color="auto"/>
                        <w:left w:val="none" w:sz="0" w:space="0" w:color="auto"/>
                        <w:bottom w:val="none" w:sz="0" w:space="0" w:color="auto"/>
                        <w:right w:val="none" w:sz="0" w:space="0" w:color="auto"/>
                      </w:divBdr>
                    </w:div>
                  </w:divsChild>
                </w:div>
                <w:div w:id="1346439620">
                  <w:marLeft w:val="0"/>
                  <w:marRight w:val="0"/>
                  <w:marTop w:val="0"/>
                  <w:marBottom w:val="0"/>
                  <w:divBdr>
                    <w:top w:val="none" w:sz="0" w:space="0" w:color="auto"/>
                    <w:left w:val="none" w:sz="0" w:space="0" w:color="auto"/>
                    <w:bottom w:val="none" w:sz="0" w:space="0" w:color="auto"/>
                    <w:right w:val="none" w:sz="0" w:space="0" w:color="auto"/>
                  </w:divBdr>
                  <w:divsChild>
                    <w:div w:id="126897530">
                      <w:marLeft w:val="0"/>
                      <w:marRight w:val="0"/>
                      <w:marTop w:val="0"/>
                      <w:marBottom w:val="0"/>
                      <w:divBdr>
                        <w:top w:val="none" w:sz="0" w:space="0" w:color="auto"/>
                        <w:left w:val="none" w:sz="0" w:space="0" w:color="auto"/>
                        <w:bottom w:val="none" w:sz="0" w:space="0" w:color="auto"/>
                        <w:right w:val="none" w:sz="0" w:space="0" w:color="auto"/>
                      </w:divBdr>
                    </w:div>
                  </w:divsChild>
                </w:div>
                <w:div w:id="1434670064">
                  <w:marLeft w:val="0"/>
                  <w:marRight w:val="0"/>
                  <w:marTop w:val="0"/>
                  <w:marBottom w:val="0"/>
                  <w:divBdr>
                    <w:top w:val="none" w:sz="0" w:space="0" w:color="auto"/>
                    <w:left w:val="none" w:sz="0" w:space="0" w:color="auto"/>
                    <w:bottom w:val="none" w:sz="0" w:space="0" w:color="auto"/>
                    <w:right w:val="none" w:sz="0" w:space="0" w:color="auto"/>
                  </w:divBdr>
                  <w:divsChild>
                    <w:div w:id="76945145">
                      <w:marLeft w:val="0"/>
                      <w:marRight w:val="0"/>
                      <w:marTop w:val="0"/>
                      <w:marBottom w:val="0"/>
                      <w:divBdr>
                        <w:top w:val="none" w:sz="0" w:space="0" w:color="auto"/>
                        <w:left w:val="none" w:sz="0" w:space="0" w:color="auto"/>
                        <w:bottom w:val="none" w:sz="0" w:space="0" w:color="auto"/>
                        <w:right w:val="none" w:sz="0" w:space="0" w:color="auto"/>
                      </w:divBdr>
                    </w:div>
                  </w:divsChild>
                </w:div>
                <w:div w:id="1453743050">
                  <w:marLeft w:val="0"/>
                  <w:marRight w:val="0"/>
                  <w:marTop w:val="0"/>
                  <w:marBottom w:val="0"/>
                  <w:divBdr>
                    <w:top w:val="none" w:sz="0" w:space="0" w:color="auto"/>
                    <w:left w:val="none" w:sz="0" w:space="0" w:color="auto"/>
                    <w:bottom w:val="none" w:sz="0" w:space="0" w:color="auto"/>
                    <w:right w:val="none" w:sz="0" w:space="0" w:color="auto"/>
                  </w:divBdr>
                  <w:divsChild>
                    <w:div w:id="1411006871">
                      <w:marLeft w:val="0"/>
                      <w:marRight w:val="0"/>
                      <w:marTop w:val="0"/>
                      <w:marBottom w:val="0"/>
                      <w:divBdr>
                        <w:top w:val="none" w:sz="0" w:space="0" w:color="auto"/>
                        <w:left w:val="none" w:sz="0" w:space="0" w:color="auto"/>
                        <w:bottom w:val="none" w:sz="0" w:space="0" w:color="auto"/>
                        <w:right w:val="none" w:sz="0" w:space="0" w:color="auto"/>
                      </w:divBdr>
                    </w:div>
                  </w:divsChild>
                </w:div>
                <w:div w:id="1509174600">
                  <w:marLeft w:val="0"/>
                  <w:marRight w:val="0"/>
                  <w:marTop w:val="0"/>
                  <w:marBottom w:val="0"/>
                  <w:divBdr>
                    <w:top w:val="none" w:sz="0" w:space="0" w:color="auto"/>
                    <w:left w:val="none" w:sz="0" w:space="0" w:color="auto"/>
                    <w:bottom w:val="none" w:sz="0" w:space="0" w:color="auto"/>
                    <w:right w:val="none" w:sz="0" w:space="0" w:color="auto"/>
                  </w:divBdr>
                  <w:divsChild>
                    <w:div w:id="726417181">
                      <w:marLeft w:val="0"/>
                      <w:marRight w:val="0"/>
                      <w:marTop w:val="0"/>
                      <w:marBottom w:val="0"/>
                      <w:divBdr>
                        <w:top w:val="none" w:sz="0" w:space="0" w:color="auto"/>
                        <w:left w:val="none" w:sz="0" w:space="0" w:color="auto"/>
                        <w:bottom w:val="none" w:sz="0" w:space="0" w:color="auto"/>
                        <w:right w:val="none" w:sz="0" w:space="0" w:color="auto"/>
                      </w:divBdr>
                    </w:div>
                  </w:divsChild>
                </w:div>
                <w:div w:id="1577474721">
                  <w:marLeft w:val="0"/>
                  <w:marRight w:val="0"/>
                  <w:marTop w:val="0"/>
                  <w:marBottom w:val="0"/>
                  <w:divBdr>
                    <w:top w:val="none" w:sz="0" w:space="0" w:color="auto"/>
                    <w:left w:val="none" w:sz="0" w:space="0" w:color="auto"/>
                    <w:bottom w:val="none" w:sz="0" w:space="0" w:color="auto"/>
                    <w:right w:val="none" w:sz="0" w:space="0" w:color="auto"/>
                  </w:divBdr>
                  <w:divsChild>
                    <w:div w:id="1594314176">
                      <w:marLeft w:val="0"/>
                      <w:marRight w:val="0"/>
                      <w:marTop w:val="0"/>
                      <w:marBottom w:val="0"/>
                      <w:divBdr>
                        <w:top w:val="none" w:sz="0" w:space="0" w:color="auto"/>
                        <w:left w:val="none" w:sz="0" w:space="0" w:color="auto"/>
                        <w:bottom w:val="none" w:sz="0" w:space="0" w:color="auto"/>
                        <w:right w:val="none" w:sz="0" w:space="0" w:color="auto"/>
                      </w:divBdr>
                    </w:div>
                  </w:divsChild>
                </w:div>
                <w:div w:id="1630864688">
                  <w:marLeft w:val="0"/>
                  <w:marRight w:val="0"/>
                  <w:marTop w:val="0"/>
                  <w:marBottom w:val="0"/>
                  <w:divBdr>
                    <w:top w:val="none" w:sz="0" w:space="0" w:color="auto"/>
                    <w:left w:val="none" w:sz="0" w:space="0" w:color="auto"/>
                    <w:bottom w:val="none" w:sz="0" w:space="0" w:color="auto"/>
                    <w:right w:val="none" w:sz="0" w:space="0" w:color="auto"/>
                  </w:divBdr>
                  <w:divsChild>
                    <w:div w:id="1218590723">
                      <w:marLeft w:val="0"/>
                      <w:marRight w:val="0"/>
                      <w:marTop w:val="0"/>
                      <w:marBottom w:val="0"/>
                      <w:divBdr>
                        <w:top w:val="none" w:sz="0" w:space="0" w:color="auto"/>
                        <w:left w:val="none" w:sz="0" w:space="0" w:color="auto"/>
                        <w:bottom w:val="none" w:sz="0" w:space="0" w:color="auto"/>
                        <w:right w:val="none" w:sz="0" w:space="0" w:color="auto"/>
                      </w:divBdr>
                    </w:div>
                  </w:divsChild>
                </w:div>
                <w:div w:id="1888905147">
                  <w:marLeft w:val="0"/>
                  <w:marRight w:val="0"/>
                  <w:marTop w:val="0"/>
                  <w:marBottom w:val="0"/>
                  <w:divBdr>
                    <w:top w:val="none" w:sz="0" w:space="0" w:color="auto"/>
                    <w:left w:val="none" w:sz="0" w:space="0" w:color="auto"/>
                    <w:bottom w:val="none" w:sz="0" w:space="0" w:color="auto"/>
                    <w:right w:val="none" w:sz="0" w:space="0" w:color="auto"/>
                  </w:divBdr>
                  <w:divsChild>
                    <w:div w:id="1075011770">
                      <w:marLeft w:val="0"/>
                      <w:marRight w:val="0"/>
                      <w:marTop w:val="0"/>
                      <w:marBottom w:val="0"/>
                      <w:divBdr>
                        <w:top w:val="none" w:sz="0" w:space="0" w:color="auto"/>
                        <w:left w:val="none" w:sz="0" w:space="0" w:color="auto"/>
                        <w:bottom w:val="none" w:sz="0" w:space="0" w:color="auto"/>
                        <w:right w:val="none" w:sz="0" w:space="0" w:color="auto"/>
                      </w:divBdr>
                    </w:div>
                  </w:divsChild>
                </w:div>
                <w:div w:id="1928726389">
                  <w:marLeft w:val="0"/>
                  <w:marRight w:val="0"/>
                  <w:marTop w:val="0"/>
                  <w:marBottom w:val="0"/>
                  <w:divBdr>
                    <w:top w:val="none" w:sz="0" w:space="0" w:color="auto"/>
                    <w:left w:val="none" w:sz="0" w:space="0" w:color="auto"/>
                    <w:bottom w:val="none" w:sz="0" w:space="0" w:color="auto"/>
                    <w:right w:val="none" w:sz="0" w:space="0" w:color="auto"/>
                  </w:divBdr>
                  <w:divsChild>
                    <w:div w:id="166597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1117319">
          <w:marLeft w:val="0"/>
          <w:marRight w:val="0"/>
          <w:marTop w:val="0"/>
          <w:marBottom w:val="0"/>
          <w:divBdr>
            <w:top w:val="none" w:sz="0" w:space="0" w:color="auto"/>
            <w:left w:val="none" w:sz="0" w:space="0" w:color="auto"/>
            <w:bottom w:val="none" w:sz="0" w:space="0" w:color="auto"/>
            <w:right w:val="none" w:sz="0" w:space="0" w:color="auto"/>
          </w:divBdr>
        </w:div>
        <w:div w:id="1144616834">
          <w:marLeft w:val="0"/>
          <w:marRight w:val="0"/>
          <w:marTop w:val="0"/>
          <w:marBottom w:val="0"/>
          <w:divBdr>
            <w:top w:val="none" w:sz="0" w:space="0" w:color="auto"/>
            <w:left w:val="none" w:sz="0" w:space="0" w:color="auto"/>
            <w:bottom w:val="none" w:sz="0" w:space="0" w:color="auto"/>
            <w:right w:val="none" w:sz="0" w:space="0" w:color="auto"/>
          </w:divBdr>
        </w:div>
        <w:div w:id="1180772594">
          <w:marLeft w:val="0"/>
          <w:marRight w:val="0"/>
          <w:marTop w:val="0"/>
          <w:marBottom w:val="0"/>
          <w:divBdr>
            <w:top w:val="none" w:sz="0" w:space="0" w:color="auto"/>
            <w:left w:val="none" w:sz="0" w:space="0" w:color="auto"/>
            <w:bottom w:val="none" w:sz="0" w:space="0" w:color="auto"/>
            <w:right w:val="none" w:sz="0" w:space="0" w:color="auto"/>
          </w:divBdr>
        </w:div>
        <w:div w:id="1234779405">
          <w:marLeft w:val="0"/>
          <w:marRight w:val="0"/>
          <w:marTop w:val="0"/>
          <w:marBottom w:val="0"/>
          <w:divBdr>
            <w:top w:val="none" w:sz="0" w:space="0" w:color="auto"/>
            <w:left w:val="none" w:sz="0" w:space="0" w:color="auto"/>
            <w:bottom w:val="none" w:sz="0" w:space="0" w:color="auto"/>
            <w:right w:val="none" w:sz="0" w:space="0" w:color="auto"/>
          </w:divBdr>
        </w:div>
        <w:div w:id="1246498891">
          <w:marLeft w:val="0"/>
          <w:marRight w:val="0"/>
          <w:marTop w:val="0"/>
          <w:marBottom w:val="0"/>
          <w:divBdr>
            <w:top w:val="none" w:sz="0" w:space="0" w:color="auto"/>
            <w:left w:val="none" w:sz="0" w:space="0" w:color="auto"/>
            <w:bottom w:val="none" w:sz="0" w:space="0" w:color="auto"/>
            <w:right w:val="none" w:sz="0" w:space="0" w:color="auto"/>
          </w:divBdr>
          <w:divsChild>
            <w:div w:id="576286266">
              <w:marLeft w:val="0"/>
              <w:marRight w:val="0"/>
              <w:marTop w:val="0"/>
              <w:marBottom w:val="0"/>
              <w:divBdr>
                <w:top w:val="none" w:sz="0" w:space="0" w:color="auto"/>
                <w:left w:val="none" w:sz="0" w:space="0" w:color="auto"/>
                <w:bottom w:val="none" w:sz="0" w:space="0" w:color="auto"/>
                <w:right w:val="none" w:sz="0" w:space="0" w:color="auto"/>
              </w:divBdr>
            </w:div>
          </w:divsChild>
        </w:div>
        <w:div w:id="1343507686">
          <w:marLeft w:val="0"/>
          <w:marRight w:val="0"/>
          <w:marTop w:val="0"/>
          <w:marBottom w:val="0"/>
          <w:divBdr>
            <w:top w:val="none" w:sz="0" w:space="0" w:color="auto"/>
            <w:left w:val="none" w:sz="0" w:space="0" w:color="auto"/>
            <w:bottom w:val="none" w:sz="0" w:space="0" w:color="auto"/>
            <w:right w:val="none" w:sz="0" w:space="0" w:color="auto"/>
          </w:divBdr>
        </w:div>
        <w:div w:id="1381590820">
          <w:marLeft w:val="0"/>
          <w:marRight w:val="0"/>
          <w:marTop w:val="0"/>
          <w:marBottom w:val="0"/>
          <w:divBdr>
            <w:top w:val="none" w:sz="0" w:space="0" w:color="auto"/>
            <w:left w:val="none" w:sz="0" w:space="0" w:color="auto"/>
            <w:bottom w:val="none" w:sz="0" w:space="0" w:color="auto"/>
            <w:right w:val="none" w:sz="0" w:space="0" w:color="auto"/>
          </w:divBdr>
          <w:divsChild>
            <w:div w:id="67654986">
              <w:marLeft w:val="0"/>
              <w:marRight w:val="0"/>
              <w:marTop w:val="0"/>
              <w:marBottom w:val="0"/>
              <w:divBdr>
                <w:top w:val="none" w:sz="0" w:space="0" w:color="auto"/>
                <w:left w:val="none" w:sz="0" w:space="0" w:color="auto"/>
                <w:bottom w:val="none" w:sz="0" w:space="0" w:color="auto"/>
                <w:right w:val="none" w:sz="0" w:space="0" w:color="auto"/>
              </w:divBdr>
            </w:div>
            <w:div w:id="72439923">
              <w:marLeft w:val="0"/>
              <w:marRight w:val="0"/>
              <w:marTop w:val="0"/>
              <w:marBottom w:val="0"/>
              <w:divBdr>
                <w:top w:val="none" w:sz="0" w:space="0" w:color="auto"/>
                <w:left w:val="none" w:sz="0" w:space="0" w:color="auto"/>
                <w:bottom w:val="none" w:sz="0" w:space="0" w:color="auto"/>
                <w:right w:val="none" w:sz="0" w:space="0" w:color="auto"/>
              </w:divBdr>
            </w:div>
            <w:div w:id="89811622">
              <w:marLeft w:val="0"/>
              <w:marRight w:val="0"/>
              <w:marTop w:val="0"/>
              <w:marBottom w:val="0"/>
              <w:divBdr>
                <w:top w:val="none" w:sz="0" w:space="0" w:color="auto"/>
                <w:left w:val="none" w:sz="0" w:space="0" w:color="auto"/>
                <w:bottom w:val="none" w:sz="0" w:space="0" w:color="auto"/>
                <w:right w:val="none" w:sz="0" w:space="0" w:color="auto"/>
              </w:divBdr>
            </w:div>
            <w:div w:id="1076517823">
              <w:marLeft w:val="0"/>
              <w:marRight w:val="0"/>
              <w:marTop w:val="0"/>
              <w:marBottom w:val="0"/>
              <w:divBdr>
                <w:top w:val="none" w:sz="0" w:space="0" w:color="auto"/>
                <w:left w:val="none" w:sz="0" w:space="0" w:color="auto"/>
                <w:bottom w:val="none" w:sz="0" w:space="0" w:color="auto"/>
                <w:right w:val="none" w:sz="0" w:space="0" w:color="auto"/>
              </w:divBdr>
            </w:div>
          </w:divsChild>
        </w:div>
        <w:div w:id="1413307909">
          <w:marLeft w:val="0"/>
          <w:marRight w:val="0"/>
          <w:marTop w:val="0"/>
          <w:marBottom w:val="0"/>
          <w:divBdr>
            <w:top w:val="none" w:sz="0" w:space="0" w:color="auto"/>
            <w:left w:val="none" w:sz="0" w:space="0" w:color="auto"/>
            <w:bottom w:val="none" w:sz="0" w:space="0" w:color="auto"/>
            <w:right w:val="none" w:sz="0" w:space="0" w:color="auto"/>
          </w:divBdr>
        </w:div>
        <w:div w:id="1476876090">
          <w:marLeft w:val="0"/>
          <w:marRight w:val="0"/>
          <w:marTop w:val="0"/>
          <w:marBottom w:val="0"/>
          <w:divBdr>
            <w:top w:val="none" w:sz="0" w:space="0" w:color="auto"/>
            <w:left w:val="none" w:sz="0" w:space="0" w:color="auto"/>
            <w:bottom w:val="none" w:sz="0" w:space="0" w:color="auto"/>
            <w:right w:val="none" w:sz="0" w:space="0" w:color="auto"/>
          </w:divBdr>
        </w:div>
        <w:div w:id="1507211068">
          <w:marLeft w:val="0"/>
          <w:marRight w:val="0"/>
          <w:marTop w:val="0"/>
          <w:marBottom w:val="0"/>
          <w:divBdr>
            <w:top w:val="none" w:sz="0" w:space="0" w:color="auto"/>
            <w:left w:val="none" w:sz="0" w:space="0" w:color="auto"/>
            <w:bottom w:val="none" w:sz="0" w:space="0" w:color="auto"/>
            <w:right w:val="none" w:sz="0" w:space="0" w:color="auto"/>
          </w:divBdr>
        </w:div>
        <w:div w:id="1534273036">
          <w:marLeft w:val="0"/>
          <w:marRight w:val="0"/>
          <w:marTop w:val="0"/>
          <w:marBottom w:val="0"/>
          <w:divBdr>
            <w:top w:val="none" w:sz="0" w:space="0" w:color="auto"/>
            <w:left w:val="none" w:sz="0" w:space="0" w:color="auto"/>
            <w:bottom w:val="none" w:sz="0" w:space="0" w:color="auto"/>
            <w:right w:val="none" w:sz="0" w:space="0" w:color="auto"/>
          </w:divBdr>
        </w:div>
        <w:div w:id="1564368854">
          <w:marLeft w:val="0"/>
          <w:marRight w:val="0"/>
          <w:marTop w:val="0"/>
          <w:marBottom w:val="0"/>
          <w:divBdr>
            <w:top w:val="none" w:sz="0" w:space="0" w:color="auto"/>
            <w:left w:val="none" w:sz="0" w:space="0" w:color="auto"/>
            <w:bottom w:val="none" w:sz="0" w:space="0" w:color="auto"/>
            <w:right w:val="none" w:sz="0" w:space="0" w:color="auto"/>
          </w:divBdr>
        </w:div>
        <w:div w:id="1592620366">
          <w:marLeft w:val="0"/>
          <w:marRight w:val="0"/>
          <w:marTop w:val="0"/>
          <w:marBottom w:val="0"/>
          <w:divBdr>
            <w:top w:val="none" w:sz="0" w:space="0" w:color="auto"/>
            <w:left w:val="none" w:sz="0" w:space="0" w:color="auto"/>
            <w:bottom w:val="none" w:sz="0" w:space="0" w:color="auto"/>
            <w:right w:val="none" w:sz="0" w:space="0" w:color="auto"/>
          </w:divBdr>
        </w:div>
        <w:div w:id="1609199264">
          <w:marLeft w:val="0"/>
          <w:marRight w:val="0"/>
          <w:marTop w:val="0"/>
          <w:marBottom w:val="0"/>
          <w:divBdr>
            <w:top w:val="none" w:sz="0" w:space="0" w:color="auto"/>
            <w:left w:val="none" w:sz="0" w:space="0" w:color="auto"/>
            <w:bottom w:val="none" w:sz="0" w:space="0" w:color="auto"/>
            <w:right w:val="none" w:sz="0" w:space="0" w:color="auto"/>
          </w:divBdr>
        </w:div>
        <w:div w:id="1611816867">
          <w:marLeft w:val="0"/>
          <w:marRight w:val="0"/>
          <w:marTop w:val="0"/>
          <w:marBottom w:val="0"/>
          <w:divBdr>
            <w:top w:val="none" w:sz="0" w:space="0" w:color="auto"/>
            <w:left w:val="none" w:sz="0" w:space="0" w:color="auto"/>
            <w:bottom w:val="none" w:sz="0" w:space="0" w:color="auto"/>
            <w:right w:val="none" w:sz="0" w:space="0" w:color="auto"/>
          </w:divBdr>
        </w:div>
        <w:div w:id="1635479578">
          <w:marLeft w:val="0"/>
          <w:marRight w:val="0"/>
          <w:marTop w:val="0"/>
          <w:marBottom w:val="0"/>
          <w:divBdr>
            <w:top w:val="none" w:sz="0" w:space="0" w:color="auto"/>
            <w:left w:val="none" w:sz="0" w:space="0" w:color="auto"/>
            <w:bottom w:val="none" w:sz="0" w:space="0" w:color="auto"/>
            <w:right w:val="none" w:sz="0" w:space="0" w:color="auto"/>
          </w:divBdr>
        </w:div>
        <w:div w:id="1758089206">
          <w:marLeft w:val="0"/>
          <w:marRight w:val="0"/>
          <w:marTop w:val="0"/>
          <w:marBottom w:val="0"/>
          <w:divBdr>
            <w:top w:val="none" w:sz="0" w:space="0" w:color="auto"/>
            <w:left w:val="none" w:sz="0" w:space="0" w:color="auto"/>
            <w:bottom w:val="none" w:sz="0" w:space="0" w:color="auto"/>
            <w:right w:val="none" w:sz="0" w:space="0" w:color="auto"/>
          </w:divBdr>
        </w:div>
        <w:div w:id="1815877280">
          <w:marLeft w:val="0"/>
          <w:marRight w:val="0"/>
          <w:marTop w:val="0"/>
          <w:marBottom w:val="0"/>
          <w:divBdr>
            <w:top w:val="none" w:sz="0" w:space="0" w:color="auto"/>
            <w:left w:val="none" w:sz="0" w:space="0" w:color="auto"/>
            <w:bottom w:val="none" w:sz="0" w:space="0" w:color="auto"/>
            <w:right w:val="none" w:sz="0" w:space="0" w:color="auto"/>
          </w:divBdr>
        </w:div>
        <w:div w:id="1852523425">
          <w:marLeft w:val="0"/>
          <w:marRight w:val="0"/>
          <w:marTop w:val="0"/>
          <w:marBottom w:val="0"/>
          <w:divBdr>
            <w:top w:val="none" w:sz="0" w:space="0" w:color="auto"/>
            <w:left w:val="none" w:sz="0" w:space="0" w:color="auto"/>
            <w:bottom w:val="none" w:sz="0" w:space="0" w:color="auto"/>
            <w:right w:val="none" w:sz="0" w:space="0" w:color="auto"/>
          </w:divBdr>
        </w:div>
        <w:div w:id="2125611321">
          <w:marLeft w:val="0"/>
          <w:marRight w:val="0"/>
          <w:marTop w:val="0"/>
          <w:marBottom w:val="0"/>
          <w:divBdr>
            <w:top w:val="none" w:sz="0" w:space="0" w:color="auto"/>
            <w:left w:val="none" w:sz="0" w:space="0" w:color="auto"/>
            <w:bottom w:val="none" w:sz="0" w:space="0" w:color="auto"/>
            <w:right w:val="none" w:sz="0" w:space="0" w:color="auto"/>
          </w:divBdr>
        </w:div>
      </w:divsChild>
    </w:div>
    <w:div w:id="1286544166">
      <w:bodyDiv w:val="1"/>
      <w:marLeft w:val="0"/>
      <w:marRight w:val="0"/>
      <w:marTop w:val="0"/>
      <w:marBottom w:val="0"/>
      <w:divBdr>
        <w:top w:val="none" w:sz="0" w:space="0" w:color="auto"/>
        <w:left w:val="none" w:sz="0" w:space="0" w:color="auto"/>
        <w:bottom w:val="none" w:sz="0" w:space="0" w:color="auto"/>
        <w:right w:val="none" w:sz="0" w:space="0" w:color="auto"/>
      </w:divBdr>
      <w:divsChild>
        <w:div w:id="587615218">
          <w:marLeft w:val="0"/>
          <w:marRight w:val="0"/>
          <w:marTop w:val="0"/>
          <w:marBottom w:val="0"/>
          <w:divBdr>
            <w:top w:val="none" w:sz="0" w:space="0" w:color="auto"/>
            <w:left w:val="none" w:sz="0" w:space="0" w:color="auto"/>
            <w:bottom w:val="none" w:sz="0" w:space="0" w:color="auto"/>
            <w:right w:val="none" w:sz="0" w:space="0" w:color="auto"/>
          </w:divBdr>
        </w:div>
        <w:div w:id="1962766676">
          <w:marLeft w:val="0"/>
          <w:marRight w:val="0"/>
          <w:marTop w:val="0"/>
          <w:marBottom w:val="0"/>
          <w:divBdr>
            <w:top w:val="none" w:sz="0" w:space="0" w:color="auto"/>
            <w:left w:val="none" w:sz="0" w:space="0" w:color="auto"/>
            <w:bottom w:val="none" w:sz="0" w:space="0" w:color="auto"/>
            <w:right w:val="none" w:sz="0" w:space="0" w:color="auto"/>
          </w:divBdr>
          <w:divsChild>
            <w:div w:id="483015212">
              <w:marLeft w:val="0"/>
              <w:marRight w:val="0"/>
              <w:marTop w:val="0"/>
              <w:marBottom w:val="0"/>
              <w:divBdr>
                <w:top w:val="none" w:sz="0" w:space="0" w:color="auto"/>
                <w:left w:val="none" w:sz="0" w:space="0" w:color="auto"/>
                <w:bottom w:val="none" w:sz="0" w:space="0" w:color="auto"/>
                <w:right w:val="none" w:sz="0" w:space="0" w:color="auto"/>
              </w:divBdr>
            </w:div>
            <w:div w:id="753550052">
              <w:marLeft w:val="0"/>
              <w:marRight w:val="0"/>
              <w:marTop w:val="0"/>
              <w:marBottom w:val="0"/>
              <w:divBdr>
                <w:top w:val="none" w:sz="0" w:space="0" w:color="auto"/>
                <w:left w:val="none" w:sz="0" w:space="0" w:color="auto"/>
                <w:bottom w:val="none" w:sz="0" w:space="0" w:color="auto"/>
                <w:right w:val="none" w:sz="0" w:space="0" w:color="auto"/>
              </w:divBdr>
            </w:div>
            <w:div w:id="831258747">
              <w:marLeft w:val="0"/>
              <w:marRight w:val="0"/>
              <w:marTop w:val="0"/>
              <w:marBottom w:val="0"/>
              <w:divBdr>
                <w:top w:val="none" w:sz="0" w:space="0" w:color="auto"/>
                <w:left w:val="none" w:sz="0" w:space="0" w:color="auto"/>
                <w:bottom w:val="none" w:sz="0" w:space="0" w:color="auto"/>
                <w:right w:val="none" w:sz="0" w:space="0" w:color="auto"/>
              </w:divBdr>
            </w:div>
            <w:div w:id="1048602283">
              <w:marLeft w:val="0"/>
              <w:marRight w:val="0"/>
              <w:marTop w:val="0"/>
              <w:marBottom w:val="0"/>
              <w:divBdr>
                <w:top w:val="none" w:sz="0" w:space="0" w:color="auto"/>
                <w:left w:val="none" w:sz="0" w:space="0" w:color="auto"/>
                <w:bottom w:val="none" w:sz="0" w:space="0" w:color="auto"/>
                <w:right w:val="none" w:sz="0" w:space="0" w:color="auto"/>
              </w:divBdr>
            </w:div>
            <w:div w:id="1565094496">
              <w:marLeft w:val="0"/>
              <w:marRight w:val="0"/>
              <w:marTop w:val="0"/>
              <w:marBottom w:val="0"/>
              <w:divBdr>
                <w:top w:val="none" w:sz="0" w:space="0" w:color="auto"/>
                <w:left w:val="none" w:sz="0" w:space="0" w:color="auto"/>
                <w:bottom w:val="none" w:sz="0" w:space="0" w:color="auto"/>
                <w:right w:val="none" w:sz="0" w:space="0" w:color="auto"/>
              </w:divBdr>
            </w:div>
            <w:div w:id="1654214370">
              <w:marLeft w:val="0"/>
              <w:marRight w:val="0"/>
              <w:marTop w:val="0"/>
              <w:marBottom w:val="0"/>
              <w:divBdr>
                <w:top w:val="none" w:sz="0" w:space="0" w:color="auto"/>
                <w:left w:val="none" w:sz="0" w:space="0" w:color="auto"/>
                <w:bottom w:val="none" w:sz="0" w:space="0" w:color="auto"/>
                <w:right w:val="none" w:sz="0" w:space="0" w:color="auto"/>
              </w:divBdr>
            </w:div>
            <w:div w:id="2143039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8110451">
      <w:bodyDiv w:val="1"/>
      <w:marLeft w:val="0"/>
      <w:marRight w:val="0"/>
      <w:marTop w:val="0"/>
      <w:marBottom w:val="0"/>
      <w:divBdr>
        <w:top w:val="none" w:sz="0" w:space="0" w:color="auto"/>
        <w:left w:val="none" w:sz="0" w:space="0" w:color="auto"/>
        <w:bottom w:val="none" w:sz="0" w:space="0" w:color="auto"/>
        <w:right w:val="none" w:sz="0" w:space="0" w:color="auto"/>
      </w:divBdr>
    </w:div>
    <w:div w:id="1605843293">
      <w:bodyDiv w:val="1"/>
      <w:marLeft w:val="0"/>
      <w:marRight w:val="0"/>
      <w:marTop w:val="0"/>
      <w:marBottom w:val="0"/>
      <w:divBdr>
        <w:top w:val="none" w:sz="0" w:space="0" w:color="auto"/>
        <w:left w:val="none" w:sz="0" w:space="0" w:color="auto"/>
        <w:bottom w:val="none" w:sz="0" w:space="0" w:color="auto"/>
        <w:right w:val="none" w:sz="0" w:space="0" w:color="auto"/>
      </w:divBdr>
      <w:divsChild>
        <w:div w:id="1088768825">
          <w:marLeft w:val="0"/>
          <w:marRight w:val="0"/>
          <w:marTop w:val="0"/>
          <w:marBottom w:val="0"/>
          <w:divBdr>
            <w:top w:val="none" w:sz="0" w:space="0" w:color="auto"/>
            <w:left w:val="none" w:sz="0" w:space="0" w:color="auto"/>
            <w:bottom w:val="none" w:sz="0" w:space="0" w:color="auto"/>
            <w:right w:val="none" w:sz="0" w:space="0" w:color="auto"/>
          </w:divBdr>
        </w:div>
        <w:div w:id="1478957079">
          <w:marLeft w:val="0"/>
          <w:marRight w:val="0"/>
          <w:marTop w:val="0"/>
          <w:marBottom w:val="0"/>
          <w:divBdr>
            <w:top w:val="none" w:sz="0" w:space="0" w:color="auto"/>
            <w:left w:val="none" w:sz="0" w:space="0" w:color="auto"/>
            <w:bottom w:val="none" w:sz="0" w:space="0" w:color="auto"/>
            <w:right w:val="none" w:sz="0" w:space="0" w:color="auto"/>
          </w:divBdr>
        </w:div>
      </w:divsChild>
    </w:div>
    <w:div w:id="1687977287">
      <w:bodyDiv w:val="1"/>
      <w:marLeft w:val="0"/>
      <w:marRight w:val="0"/>
      <w:marTop w:val="0"/>
      <w:marBottom w:val="0"/>
      <w:divBdr>
        <w:top w:val="none" w:sz="0" w:space="0" w:color="auto"/>
        <w:left w:val="none" w:sz="0" w:space="0" w:color="auto"/>
        <w:bottom w:val="none" w:sz="0" w:space="0" w:color="auto"/>
        <w:right w:val="none" w:sz="0" w:space="0" w:color="auto"/>
      </w:divBdr>
      <w:divsChild>
        <w:div w:id="414863565">
          <w:marLeft w:val="0"/>
          <w:marRight w:val="0"/>
          <w:marTop w:val="0"/>
          <w:marBottom w:val="0"/>
          <w:divBdr>
            <w:top w:val="none" w:sz="0" w:space="0" w:color="auto"/>
            <w:left w:val="none" w:sz="0" w:space="0" w:color="auto"/>
            <w:bottom w:val="none" w:sz="0" w:space="0" w:color="auto"/>
            <w:right w:val="none" w:sz="0" w:space="0" w:color="auto"/>
          </w:divBdr>
        </w:div>
        <w:div w:id="439032900">
          <w:marLeft w:val="0"/>
          <w:marRight w:val="0"/>
          <w:marTop w:val="0"/>
          <w:marBottom w:val="0"/>
          <w:divBdr>
            <w:top w:val="none" w:sz="0" w:space="0" w:color="auto"/>
            <w:left w:val="none" w:sz="0" w:space="0" w:color="auto"/>
            <w:bottom w:val="none" w:sz="0" w:space="0" w:color="auto"/>
            <w:right w:val="none" w:sz="0" w:space="0" w:color="auto"/>
          </w:divBdr>
        </w:div>
        <w:div w:id="457458942">
          <w:marLeft w:val="0"/>
          <w:marRight w:val="0"/>
          <w:marTop w:val="0"/>
          <w:marBottom w:val="0"/>
          <w:divBdr>
            <w:top w:val="none" w:sz="0" w:space="0" w:color="auto"/>
            <w:left w:val="none" w:sz="0" w:space="0" w:color="auto"/>
            <w:bottom w:val="none" w:sz="0" w:space="0" w:color="auto"/>
            <w:right w:val="none" w:sz="0" w:space="0" w:color="auto"/>
          </w:divBdr>
        </w:div>
        <w:div w:id="781846352">
          <w:marLeft w:val="0"/>
          <w:marRight w:val="0"/>
          <w:marTop w:val="0"/>
          <w:marBottom w:val="0"/>
          <w:divBdr>
            <w:top w:val="none" w:sz="0" w:space="0" w:color="auto"/>
            <w:left w:val="none" w:sz="0" w:space="0" w:color="auto"/>
            <w:bottom w:val="none" w:sz="0" w:space="0" w:color="auto"/>
            <w:right w:val="none" w:sz="0" w:space="0" w:color="auto"/>
          </w:divBdr>
        </w:div>
        <w:div w:id="812529337">
          <w:marLeft w:val="0"/>
          <w:marRight w:val="0"/>
          <w:marTop w:val="0"/>
          <w:marBottom w:val="0"/>
          <w:divBdr>
            <w:top w:val="none" w:sz="0" w:space="0" w:color="auto"/>
            <w:left w:val="none" w:sz="0" w:space="0" w:color="auto"/>
            <w:bottom w:val="none" w:sz="0" w:space="0" w:color="auto"/>
            <w:right w:val="none" w:sz="0" w:space="0" w:color="auto"/>
          </w:divBdr>
        </w:div>
        <w:div w:id="885994899">
          <w:marLeft w:val="0"/>
          <w:marRight w:val="0"/>
          <w:marTop w:val="0"/>
          <w:marBottom w:val="0"/>
          <w:divBdr>
            <w:top w:val="none" w:sz="0" w:space="0" w:color="auto"/>
            <w:left w:val="none" w:sz="0" w:space="0" w:color="auto"/>
            <w:bottom w:val="none" w:sz="0" w:space="0" w:color="auto"/>
            <w:right w:val="none" w:sz="0" w:space="0" w:color="auto"/>
          </w:divBdr>
        </w:div>
        <w:div w:id="1068070367">
          <w:marLeft w:val="0"/>
          <w:marRight w:val="0"/>
          <w:marTop w:val="0"/>
          <w:marBottom w:val="0"/>
          <w:divBdr>
            <w:top w:val="none" w:sz="0" w:space="0" w:color="auto"/>
            <w:left w:val="none" w:sz="0" w:space="0" w:color="auto"/>
            <w:bottom w:val="none" w:sz="0" w:space="0" w:color="auto"/>
            <w:right w:val="none" w:sz="0" w:space="0" w:color="auto"/>
          </w:divBdr>
        </w:div>
        <w:div w:id="1518809389">
          <w:marLeft w:val="0"/>
          <w:marRight w:val="0"/>
          <w:marTop w:val="0"/>
          <w:marBottom w:val="0"/>
          <w:divBdr>
            <w:top w:val="none" w:sz="0" w:space="0" w:color="auto"/>
            <w:left w:val="none" w:sz="0" w:space="0" w:color="auto"/>
            <w:bottom w:val="none" w:sz="0" w:space="0" w:color="auto"/>
            <w:right w:val="none" w:sz="0" w:space="0" w:color="auto"/>
          </w:divBdr>
        </w:div>
        <w:div w:id="1666126614">
          <w:marLeft w:val="0"/>
          <w:marRight w:val="0"/>
          <w:marTop w:val="0"/>
          <w:marBottom w:val="0"/>
          <w:divBdr>
            <w:top w:val="none" w:sz="0" w:space="0" w:color="auto"/>
            <w:left w:val="none" w:sz="0" w:space="0" w:color="auto"/>
            <w:bottom w:val="none" w:sz="0" w:space="0" w:color="auto"/>
            <w:right w:val="none" w:sz="0" w:space="0" w:color="auto"/>
          </w:divBdr>
        </w:div>
        <w:div w:id="1726373426">
          <w:marLeft w:val="0"/>
          <w:marRight w:val="0"/>
          <w:marTop w:val="0"/>
          <w:marBottom w:val="0"/>
          <w:divBdr>
            <w:top w:val="none" w:sz="0" w:space="0" w:color="auto"/>
            <w:left w:val="none" w:sz="0" w:space="0" w:color="auto"/>
            <w:bottom w:val="none" w:sz="0" w:space="0" w:color="auto"/>
            <w:right w:val="none" w:sz="0" w:space="0" w:color="auto"/>
          </w:divBdr>
        </w:div>
        <w:div w:id="1865633266">
          <w:marLeft w:val="0"/>
          <w:marRight w:val="0"/>
          <w:marTop w:val="0"/>
          <w:marBottom w:val="0"/>
          <w:divBdr>
            <w:top w:val="none" w:sz="0" w:space="0" w:color="auto"/>
            <w:left w:val="none" w:sz="0" w:space="0" w:color="auto"/>
            <w:bottom w:val="none" w:sz="0" w:space="0" w:color="auto"/>
            <w:right w:val="none" w:sz="0" w:space="0" w:color="auto"/>
          </w:divBdr>
        </w:div>
        <w:div w:id="1876654736">
          <w:marLeft w:val="0"/>
          <w:marRight w:val="0"/>
          <w:marTop w:val="0"/>
          <w:marBottom w:val="0"/>
          <w:divBdr>
            <w:top w:val="none" w:sz="0" w:space="0" w:color="auto"/>
            <w:left w:val="none" w:sz="0" w:space="0" w:color="auto"/>
            <w:bottom w:val="none" w:sz="0" w:space="0" w:color="auto"/>
            <w:right w:val="none" w:sz="0" w:space="0" w:color="auto"/>
          </w:divBdr>
        </w:div>
      </w:divsChild>
    </w:div>
    <w:div w:id="1809593476">
      <w:bodyDiv w:val="1"/>
      <w:marLeft w:val="0"/>
      <w:marRight w:val="0"/>
      <w:marTop w:val="0"/>
      <w:marBottom w:val="0"/>
      <w:divBdr>
        <w:top w:val="none" w:sz="0" w:space="0" w:color="auto"/>
        <w:left w:val="none" w:sz="0" w:space="0" w:color="auto"/>
        <w:bottom w:val="none" w:sz="0" w:space="0" w:color="auto"/>
        <w:right w:val="none" w:sz="0" w:space="0" w:color="auto"/>
      </w:divBdr>
      <w:divsChild>
        <w:div w:id="884609470">
          <w:marLeft w:val="0"/>
          <w:marRight w:val="0"/>
          <w:marTop w:val="0"/>
          <w:marBottom w:val="0"/>
          <w:divBdr>
            <w:top w:val="none" w:sz="0" w:space="0" w:color="auto"/>
            <w:left w:val="none" w:sz="0" w:space="0" w:color="auto"/>
            <w:bottom w:val="none" w:sz="0" w:space="0" w:color="auto"/>
            <w:right w:val="none" w:sz="0" w:space="0" w:color="auto"/>
          </w:divBdr>
        </w:div>
        <w:div w:id="886530304">
          <w:marLeft w:val="0"/>
          <w:marRight w:val="0"/>
          <w:marTop w:val="0"/>
          <w:marBottom w:val="0"/>
          <w:divBdr>
            <w:top w:val="none" w:sz="0" w:space="0" w:color="auto"/>
            <w:left w:val="none" w:sz="0" w:space="0" w:color="auto"/>
            <w:bottom w:val="none" w:sz="0" w:space="0" w:color="auto"/>
            <w:right w:val="none" w:sz="0" w:space="0" w:color="auto"/>
          </w:divBdr>
          <w:divsChild>
            <w:div w:id="32586561">
              <w:marLeft w:val="0"/>
              <w:marRight w:val="0"/>
              <w:marTop w:val="0"/>
              <w:marBottom w:val="0"/>
              <w:divBdr>
                <w:top w:val="none" w:sz="0" w:space="0" w:color="auto"/>
                <w:left w:val="none" w:sz="0" w:space="0" w:color="auto"/>
                <w:bottom w:val="none" w:sz="0" w:space="0" w:color="auto"/>
                <w:right w:val="none" w:sz="0" w:space="0" w:color="auto"/>
              </w:divBdr>
            </w:div>
            <w:div w:id="127625679">
              <w:marLeft w:val="0"/>
              <w:marRight w:val="0"/>
              <w:marTop w:val="0"/>
              <w:marBottom w:val="0"/>
              <w:divBdr>
                <w:top w:val="none" w:sz="0" w:space="0" w:color="auto"/>
                <w:left w:val="none" w:sz="0" w:space="0" w:color="auto"/>
                <w:bottom w:val="none" w:sz="0" w:space="0" w:color="auto"/>
                <w:right w:val="none" w:sz="0" w:space="0" w:color="auto"/>
              </w:divBdr>
            </w:div>
            <w:div w:id="220756565">
              <w:marLeft w:val="0"/>
              <w:marRight w:val="0"/>
              <w:marTop w:val="0"/>
              <w:marBottom w:val="0"/>
              <w:divBdr>
                <w:top w:val="none" w:sz="0" w:space="0" w:color="auto"/>
                <w:left w:val="none" w:sz="0" w:space="0" w:color="auto"/>
                <w:bottom w:val="none" w:sz="0" w:space="0" w:color="auto"/>
                <w:right w:val="none" w:sz="0" w:space="0" w:color="auto"/>
              </w:divBdr>
            </w:div>
            <w:div w:id="931278580">
              <w:marLeft w:val="0"/>
              <w:marRight w:val="0"/>
              <w:marTop w:val="0"/>
              <w:marBottom w:val="0"/>
              <w:divBdr>
                <w:top w:val="none" w:sz="0" w:space="0" w:color="auto"/>
                <w:left w:val="none" w:sz="0" w:space="0" w:color="auto"/>
                <w:bottom w:val="none" w:sz="0" w:space="0" w:color="auto"/>
                <w:right w:val="none" w:sz="0" w:space="0" w:color="auto"/>
              </w:divBdr>
            </w:div>
            <w:div w:id="945120727">
              <w:marLeft w:val="0"/>
              <w:marRight w:val="0"/>
              <w:marTop w:val="0"/>
              <w:marBottom w:val="0"/>
              <w:divBdr>
                <w:top w:val="none" w:sz="0" w:space="0" w:color="auto"/>
                <w:left w:val="none" w:sz="0" w:space="0" w:color="auto"/>
                <w:bottom w:val="none" w:sz="0" w:space="0" w:color="auto"/>
                <w:right w:val="none" w:sz="0" w:space="0" w:color="auto"/>
              </w:divBdr>
            </w:div>
            <w:div w:id="1167482066">
              <w:marLeft w:val="0"/>
              <w:marRight w:val="0"/>
              <w:marTop w:val="0"/>
              <w:marBottom w:val="0"/>
              <w:divBdr>
                <w:top w:val="none" w:sz="0" w:space="0" w:color="auto"/>
                <w:left w:val="none" w:sz="0" w:space="0" w:color="auto"/>
                <w:bottom w:val="none" w:sz="0" w:space="0" w:color="auto"/>
                <w:right w:val="none" w:sz="0" w:space="0" w:color="auto"/>
              </w:divBdr>
            </w:div>
            <w:div w:id="1538278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chart" Target="charts/chart1.xml"/><Relationship Id="rId4" Type="http://schemas.openxmlformats.org/officeDocument/2006/relationships/settings" Target="settings.xml"/><Relationship Id="rId9" Type="http://schemas.openxmlformats.org/officeDocument/2006/relationships/hyperlink" Target="mailto:smf.rsfas@anu.edu.au"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wmf"/></Relationships>
</file>

<file path=word/charts/_rels/chart1.xml.rels><?xml version="1.0" encoding="UTF-8" standalone="yes"?>
<Relationships xmlns="http://schemas.openxmlformats.org/package/2006/relationships"><Relationship Id="rId3" Type="http://schemas.openxmlformats.org/officeDocument/2006/relationships/oleObject" Target="file:///C:\Users\u6380644\Downloads\R&amp;C%20Performance%20Attribution%20S1%202019%20(1).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1325783567159306"/>
          <c:y val="0.14285366410360414"/>
          <c:w val="0.82141408162905816"/>
          <c:h val="0.72943163747191719"/>
        </c:manualLayout>
      </c:layout>
      <c:ofPieChart>
        <c:ofPieType val="pie"/>
        <c:varyColors val="1"/>
        <c:ser>
          <c:idx val="0"/>
          <c:order val="0"/>
          <c:tx>
            <c:strRef>
              <c:f>'[R&amp;C Performance Attribution S1 2019 (1).xlsx]Portfolio Weights'!$B$29</c:f>
              <c:strCache>
                <c:ptCount val="1"/>
                <c:pt idx="0">
                  <c:v>Portfolio</c:v>
                </c:pt>
              </c:strCache>
            </c:strRef>
          </c:tx>
          <c:spPr>
            <a:ln w="19050" cap="flat">
              <a:solidFill>
                <a:schemeClr val="bg1"/>
              </a:solidFill>
            </a:ln>
            <a:effectLst>
              <a:outerShdw sx="1000" sy="1000" algn="ctr" rotWithShape="0">
                <a:srgbClr val="000000"/>
              </a:outerShdw>
            </a:effectLst>
          </c:spPr>
          <c:dPt>
            <c:idx val="0"/>
            <c:bubble3D val="0"/>
            <c:spPr>
              <a:solidFill>
                <a:srgbClr val="B4C7E7"/>
              </a:solidFill>
              <a:ln w="19050" cap="flat">
                <a:solidFill>
                  <a:schemeClr val="bg1"/>
                </a:solidFill>
              </a:ln>
              <a:effectLst>
                <a:outerShdw sx="1000" sy="1000" algn="ctr" rotWithShape="0">
                  <a:srgbClr val="000000"/>
                </a:outerShdw>
              </a:effectLst>
            </c:spPr>
            <c:extLst>
              <c:ext xmlns:c16="http://schemas.microsoft.com/office/drawing/2014/chart" uri="{C3380CC4-5D6E-409C-BE32-E72D297353CC}">
                <c16:uniqueId val="{00000001-AE72-4B49-83F4-FD5C1C107429}"/>
              </c:ext>
            </c:extLst>
          </c:dPt>
          <c:dPt>
            <c:idx val="1"/>
            <c:bubble3D val="0"/>
            <c:spPr>
              <a:solidFill>
                <a:srgbClr val="2E75B6"/>
              </a:solidFill>
              <a:ln w="19050" cap="flat">
                <a:solidFill>
                  <a:schemeClr val="bg1"/>
                </a:solidFill>
              </a:ln>
              <a:effectLst>
                <a:outerShdw sx="1000" sy="1000" algn="ctr" rotWithShape="0">
                  <a:srgbClr val="000000"/>
                </a:outerShdw>
              </a:effectLst>
            </c:spPr>
            <c:extLst>
              <c:ext xmlns:c16="http://schemas.microsoft.com/office/drawing/2014/chart" uri="{C3380CC4-5D6E-409C-BE32-E72D297353CC}">
                <c16:uniqueId val="{00000003-AE72-4B49-83F4-FD5C1C107429}"/>
              </c:ext>
            </c:extLst>
          </c:dPt>
          <c:dPt>
            <c:idx val="2"/>
            <c:bubble3D val="0"/>
            <c:spPr>
              <a:solidFill>
                <a:schemeClr val="tx2">
                  <a:lumMod val="60000"/>
                  <a:lumOff val="40000"/>
                </a:schemeClr>
              </a:solidFill>
              <a:ln w="19050" cap="flat">
                <a:solidFill>
                  <a:schemeClr val="bg1"/>
                </a:solidFill>
              </a:ln>
              <a:effectLst>
                <a:outerShdw sx="1000" sy="1000" algn="ctr" rotWithShape="0">
                  <a:srgbClr val="000000"/>
                </a:outerShdw>
              </a:effectLst>
            </c:spPr>
            <c:extLst>
              <c:ext xmlns:c16="http://schemas.microsoft.com/office/drawing/2014/chart" uri="{C3380CC4-5D6E-409C-BE32-E72D297353CC}">
                <c16:uniqueId val="{00000005-AE72-4B49-83F4-FD5C1C107429}"/>
              </c:ext>
            </c:extLst>
          </c:dPt>
          <c:dPt>
            <c:idx val="3"/>
            <c:bubble3D val="0"/>
            <c:spPr>
              <a:solidFill>
                <a:srgbClr val="404040"/>
              </a:solidFill>
              <a:ln w="19050" cap="flat">
                <a:solidFill>
                  <a:schemeClr val="bg1"/>
                </a:solidFill>
              </a:ln>
              <a:effectLst>
                <a:outerShdw sx="1000" sy="1000" algn="ctr" rotWithShape="0">
                  <a:srgbClr val="000000"/>
                </a:outerShdw>
              </a:effectLst>
            </c:spPr>
            <c:extLst>
              <c:ext xmlns:c16="http://schemas.microsoft.com/office/drawing/2014/chart" uri="{C3380CC4-5D6E-409C-BE32-E72D297353CC}">
                <c16:uniqueId val="{00000007-AE72-4B49-83F4-FD5C1C107429}"/>
              </c:ext>
            </c:extLst>
          </c:dPt>
          <c:dPt>
            <c:idx val="4"/>
            <c:bubble3D val="0"/>
            <c:spPr>
              <a:solidFill>
                <a:srgbClr val="7F7F7F"/>
              </a:solidFill>
              <a:ln w="19050" cap="flat">
                <a:solidFill>
                  <a:schemeClr val="bg1"/>
                </a:solidFill>
              </a:ln>
              <a:effectLst>
                <a:outerShdw sx="1000" sy="1000" algn="ctr" rotWithShape="0">
                  <a:srgbClr val="000000"/>
                </a:outerShdw>
              </a:effectLst>
            </c:spPr>
            <c:extLst>
              <c:ext xmlns:c16="http://schemas.microsoft.com/office/drawing/2014/chart" uri="{C3380CC4-5D6E-409C-BE32-E72D297353CC}">
                <c16:uniqueId val="{00000009-AE72-4B49-83F4-FD5C1C107429}"/>
              </c:ext>
            </c:extLst>
          </c:dPt>
          <c:dPt>
            <c:idx val="5"/>
            <c:bubble3D val="0"/>
            <c:spPr>
              <a:solidFill>
                <a:srgbClr val="C9C9C9"/>
              </a:solidFill>
              <a:ln w="19050" cap="flat">
                <a:solidFill>
                  <a:schemeClr val="bg1"/>
                </a:solidFill>
              </a:ln>
              <a:effectLst>
                <a:outerShdw sx="1000" sy="1000" algn="ctr" rotWithShape="0">
                  <a:srgbClr val="000000"/>
                </a:outerShdw>
              </a:effectLst>
            </c:spPr>
            <c:extLst>
              <c:ext xmlns:c16="http://schemas.microsoft.com/office/drawing/2014/chart" uri="{C3380CC4-5D6E-409C-BE32-E72D297353CC}">
                <c16:uniqueId val="{0000000B-AE72-4B49-83F4-FD5C1C107429}"/>
              </c:ext>
            </c:extLst>
          </c:dPt>
          <c:dPt>
            <c:idx val="6"/>
            <c:bubble3D val="0"/>
            <c:spPr>
              <a:solidFill>
                <a:schemeClr val="accent2">
                  <a:lumMod val="60000"/>
                  <a:lumOff val="40000"/>
                </a:schemeClr>
              </a:solidFill>
              <a:ln w="19050" cap="flat">
                <a:solidFill>
                  <a:schemeClr val="bg1"/>
                </a:solidFill>
              </a:ln>
              <a:effectLst>
                <a:outerShdw sx="1000" sy="1000" algn="ctr" rotWithShape="0">
                  <a:srgbClr val="000000"/>
                </a:outerShdw>
              </a:effectLst>
            </c:spPr>
            <c:extLst>
              <c:ext xmlns:c16="http://schemas.microsoft.com/office/drawing/2014/chart" uri="{C3380CC4-5D6E-409C-BE32-E72D297353CC}">
                <c16:uniqueId val="{0000000D-AE72-4B49-83F4-FD5C1C107429}"/>
              </c:ext>
            </c:extLst>
          </c:dPt>
          <c:dPt>
            <c:idx val="7"/>
            <c:bubble3D val="0"/>
            <c:spPr>
              <a:solidFill>
                <a:srgbClr val="EFD06B"/>
              </a:solidFill>
              <a:ln w="19050" cap="flat">
                <a:solidFill>
                  <a:schemeClr val="bg1"/>
                </a:solidFill>
              </a:ln>
              <a:effectLst>
                <a:outerShdw sx="1000" sy="1000" algn="ctr" rotWithShape="0">
                  <a:srgbClr val="000000"/>
                </a:outerShdw>
              </a:effectLst>
            </c:spPr>
            <c:extLst>
              <c:ext xmlns:c16="http://schemas.microsoft.com/office/drawing/2014/chart" uri="{C3380CC4-5D6E-409C-BE32-E72D297353CC}">
                <c16:uniqueId val="{0000000F-AE72-4B49-83F4-FD5C1C107429}"/>
              </c:ext>
            </c:extLst>
          </c:dPt>
          <c:dPt>
            <c:idx val="8"/>
            <c:bubble3D val="0"/>
            <c:spPr>
              <a:solidFill>
                <a:schemeClr val="accent6">
                  <a:lumMod val="60000"/>
                  <a:lumOff val="40000"/>
                </a:schemeClr>
              </a:solidFill>
              <a:ln w="19050" cap="flat">
                <a:solidFill>
                  <a:schemeClr val="bg1"/>
                </a:solidFill>
              </a:ln>
              <a:effectLst>
                <a:outerShdw sx="1000" sy="1000" algn="ctr" rotWithShape="0">
                  <a:srgbClr val="000000"/>
                </a:outerShdw>
              </a:effectLst>
            </c:spPr>
            <c:extLst>
              <c:ext xmlns:c16="http://schemas.microsoft.com/office/drawing/2014/chart" uri="{C3380CC4-5D6E-409C-BE32-E72D297353CC}">
                <c16:uniqueId val="{00000011-AE72-4B49-83F4-FD5C1C107429}"/>
              </c:ext>
            </c:extLst>
          </c:dPt>
          <c:dPt>
            <c:idx val="9"/>
            <c:bubble3D val="0"/>
            <c:spPr>
              <a:solidFill>
                <a:srgbClr val="9393FF"/>
              </a:solidFill>
              <a:ln w="19050" cap="flat">
                <a:solidFill>
                  <a:schemeClr val="bg1"/>
                </a:solidFill>
              </a:ln>
              <a:effectLst>
                <a:outerShdw sx="1000" sy="1000" algn="ctr" rotWithShape="0">
                  <a:srgbClr val="000000"/>
                </a:outerShdw>
              </a:effectLst>
            </c:spPr>
            <c:extLst>
              <c:ext xmlns:c16="http://schemas.microsoft.com/office/drawing/2014/chart" uri="{C3380CC4-5D6E-409C-BE32-E72D297353CC}">
                <c16:uniqueId val="{00000013-AE72-4B49-83F4-FD5C1C107429}"/>
              </c:ext>
            </c:extLst>
          </c:dPt>
          <c:dPt>
            <c:idx val="10"/>
            <c:bubble3D val="0"/>
            <c:spPr>
              <a:solidFill>
                <a:srgbClr val="9DC3E6"/>
              </a:solidFill>
              <a:ln w="19050" cap="flat">
                <a:solidFill>
                  <a:schemeClr val="bg1"/>
                </a:solidFill>
              </a:ln>
              <a:effectLst>
                <a:outerShdw sx="1000" sy="1000" algn="ctr" rotWithShape="0">
                  <a:srgbClr val="000000"/>
                </a:outerShdw>
              </a:effectLst>
            </c:spPr>
            <c:extLst>
              <c:ext xmlns:c16="http://schemas.microsoft.com/office/drawing/2014/chart" uri="{C3380CC4-5D6E-409C-BE32-E72D297353CC}">
                <c16:uniqueId val="{00000015-AE72-4B49-83F4-FD5C1C107429}"/>
              </c:ext>
            </c:extLst>
          </c:dPt>
          <c:dPt>
            <c:idx val="11"/>
            <c:bubble3D val="0"/>
            <c:spPr>
              <a:solidFill>
                <a:srgbClr val="203864"/>
              </a:solidFill>
              <a:ln w="19050" cap="flat">
                <a:solidFill>
                  <a:schemeClr val="bg1"/>
                </a:solidFill>
              </a:ln>
              <a:effectLst>
                <a:outerShdw sx="1000" sy="1000" algn="ctr" rotWithShape="0">
                  <a:srgbClr val="000000"/>
                </a:outerShdw>
              </a:effectLst>
            </c:spPr>
            <c:extLst>
              <c:ext xmlns:c16="http://schemas.microsoft.com/office/drawing/2014/chart" uri="{C3380CC4-5D6E-409C-BE32-E72D297353CC}">
                <c16:uniqueId val="{00000017-AE72-4B49-83F4-FD5C1C107429}"/>
              </c:ext>
            </c:extLst>
          </c:dPt>
          <c:dLbls>
            <c:dLbl>
              <c:idx val="0"/>
              <c:layout>
                <c:manualLayout>
                  <c:x val="-5.8299593654892569E-3"/>
                  <c:y val="1.4650388969400095E-2"/>
                </c:manualLayout>
              </c:layout>
              <c:numFmt formatCode="0.00%" sourceLinked="0"/>
              <c:spPr>
                <a:noFill/>
                <a:ln w="12700" cap="flat" cmpd="sng" algn="ctr">
                  <a:noFill/>
                  <a:prstDash val="solid"/>
                  <a:miter lim="800000"/>
                </a:ln>
                <a:effectLst/>
              </c:spPr>
              <c:txPr>
                <a:bodyPr rot="0" spcFirstLastPara="1" vertOverflow="ellipsis" vert="horz" wrap="square" lIns="38100" tIns="19050" rIns="38100" bIns="19050" anchor="ctr" anchorCtr="1">
                  <a:spAutoFit/>
                </a:bodyPr>
                <a:lstStyle/>
                <a:p>
                  <a:pPr>
                    <a:defRPr sz="900" b="1" i="0" u="none" strike="noStrike" kern="1200" baseline="0">
                      <a:solidFill>
                        <a:srgbClr val="B4C7E7"/>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1-AE72-4B49-83F4-FD5C1C107429}"/>
                </c:ext>
              </c:extLst>
            </c:dLbl>
            <c:dLbl>
              <c:idx val="1"/>
              <c:layout>
                <c:manualLayout>
                  <c:x val="-5.4203228859903987E-2"/>
                  <c:y val="-3.6123844041352098E-2"/>
                </c:manualLayout>
              </c:layout>
              <c:tx>
                <c:rich>
                  <a:bodyPr rot="0" spcFirstLastPara="1" vertOverflow="ellipsis" vert="horz" wrap="square" lIns="38100" tIns="19050" rIns="38100" bIns="19050" anchor="ctr" anchorCtr="1">
                    <a:spAutoFit/>
                  </a:bodyPr>
                  <a:lstStyle/>
                  <a:p>
                    <a:pPr>
                      <a:defRPr sz="900" b="1" i="0" u="none" strike="noStrike" kern="1200" baseline="0">
                        <a:solidFill>
                          <a:schemeClr val="accent5">
                            <a:lumMod val="75000"/>
                          </a:schemeClr>
                        </a:solidFill>
                        <a:latin typeface="Times New Roman" panose="02020603050405020304" pitchFamily="18" charset="0"/>
                        <a:ea typeface="+mn-ea"/>
                        <a:cs typeface="Times New Roman" panose="02020603050405020304" pitchFamily="18" charset="0"/>
                      </a:defRPr>
                    </a:pPr>
                    <a:fld id="{FFE19E88-5F8C-4F17-9C0E-52A87CB993A9}" type="CATEGORYNAME">
                      <a:rPr lang="en-US">
                        <a:solidFill>
                          <a:srgbClr val="2E75B6"/>
                        </a:solidFill>
                      </a:rPr>
                      <a:pPr>
                        <a:defRPr b="1">
                          <a:solidFill>
                            <a:schemeClr val="accent5">
                              <a:lumMod val="75000"/>
                            </a:schemeClr>
                          </a:solidFill>
                          <a:latin typeface="Times New Roman" panose="02020603050405020304" pitchFamily="18" charset="0"/>
                          <a:cs typeface="Times New Roman" panose="02020603050405020304" pitchFamily="18" charset="0"/>
                        </a:defRPr>
                      </a:pPr>
                      <a:t>[CATEGORY NAME]</a:t>
                    </a:fld>
                    <a:r>
                      <a:rPr lang="en-US" baseline="0"/>
                      <a:t>
</a:t>
                    </a:r>
                    <a:fld id="{878E9310-618C-4139-88F4-EF00DF934FAE}" type="PERCENTAGE">
                      <a:rPr lang="en-US" baseline="0">
                        <a:solidFill>
                          <a:srgbClr val="2E75B6"/>
                        </a:solidFill>
                      </a:rPr>
                      <a:pPr>
                        <a:defRPr b="1">
                          <a:solidFill>
                            <a:schemeClr val="accent5">
                              <a:lumMod val="75000"/>
                            </a:schemeClr>
                          </a:solidFill>
                          <a:latin typeface="Times New Roman" panose="02020603050405020304" pitchFamily="18" charset="0"/>
                          <a:cs typeface="Times New Roman" panose="02020603050405020304" pitchFamily="18" charset="0"/>
                        </a:defRPr>
                      </a:pPr>
                      <a:t>[PERCENTAGE]</a:t>
                    </a:fld>
                    <a:endParaRPr lang="en-US" baseline="0"/>
                  </a:p>
                </c:rich>
              </c:tx>
              <c:numFmt formatCode="0.00%" sourceLinked="0"/>
              <c:spPr>
                <a:noFill/>
                <a:ln w="12700" cap="flat" cmpd="sng" algn="ctr">
                  <a:noFill/>
                  <a:prstDash val="solid"/>
                  <a:miter lim="800000"/>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accent5">
                          <a:lumMod val="75000"/>
                        </a:schemeClr>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AE72-4B49-83F4-FD5C1C107429}"/>
                </c:ext>
              </c:extLst>
            </c:dLbl>
            <c:dLbl>
              <c:idx val="2"/>
              <c:layout>
                <c:manualLayout>
                  <c:x val="-2.2965589097772913E-2"/>
                  <c:y val="-1.2141472910478899E-2"/>
                </c:manualLayout>
              </c:layout>
              <c:numFmt formatCode="0.00%" sourceLinked="0"/>
              <c:spPr>
                <a:noFill/>
                <a:ln w="12700" cap="flat" cmpd="sng" algn="ctr">
                  <a:noFill/>
                  <a:prstDash val="solid"/>
                  <a:miter lim="800000"/>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2">
                          <a:lumMod val="60000"/>
                          <a:lumOff val="40000"/>
                        </a:schemeClr>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5-AE72-4B49-83F4-FD5C1C107429}"/>
                </c:ext>
              </c:extLst>
            </c:dLbl>
            <c:dLbl>
              <c:idx val="3"/>
              <c:layout>
                <c:manualLayout>
                  <c:x val="-4.4807228784941151E-2"/>
                  <c:y val="1.1082374183868843E-2"/>
                </c:manualLayout>
              </c:layout>
              <c:tx>
                <c:rich>
                  <a:bodyPr rot="0" spcFirstLastPara="1" vertOverflow="ellipsis" vert="horz" wrap="square" lIns="38100" tIns="19050" rIns="38100" bIns="19050" anchor="ctr" anchorCtr="1">
                    <a:spAutoFit/>
                  </a:bodyPr>
                  <a:lstStyle/>
                  <a:p>
                    <a:pPr>
                      <a:defRPr sz="900" b="1" i="0" u="none" strike="noStrike" kern="1200" baseline="0">
                        <a:solidFill>
                          <a:schemeClr val="bg2">
                            <a:lumMod val="25000"/>
                          </a:schemeClr>
                        </a:solidFill>
                        <a:latin typeface="Times New Roman" panose="02020603050405020304" pitchFamily="18" charset="0"/>
                        <a:ea typeface="+mn-ea"/>
                        <a:cs typeface="Times New Roman" panose="02020603050405020304" pitchFamily="18" charset="0"/>
                      </a:defRPr>
                    </a:pPr>
                    <a:fld id="{F2FE59FE-92F1-4652-AFC0-B85B79D9C075}" type="CATEGORYNAME">
                      <a:rPr lang="en-US" sz="900">
                        <a:solidFill>
                          <a:srgbClr val="404040"/>
                        </a:solidFill>
                        <a:latin typeface="Times New Roman" panose="02020603050405020304" pitchFamily="18" charset="0"/>
                        <a:cs typeface="Times New Roman" panose="02020603050405020304" pitchFamily="18" charset="0"/>
                      </a:rPr>
                      <a:pPr>
                        <a:defRPr b="1">
                          <a:solidFill>
                            <a:schemeClr val="bg2">
                              <a:lumMod val="25000"/>
                            </a:schemeClr>
                          </a:solidFill>
                          <a:latin typeface="Times New Roman" panose="02020603050405020304" pitchFamily="18" charset="0"/>
                          <a:cs typeface="Times New Roman" panose="02020603050405020304" pitchFamily="18" charset="0"/>
                        </a:defRPr>
                      </a:pPr>
                      <a:t>[CATEGORY NAME]</a:t>
                    </a:fld>
                    <a:r>
                      <a:rPr lang="en-US" sz="900" baseline="0">
                        <a:latin typeface="Times New Roman" panose="02020603050405020304" pitchFamily="18" charset="0"/>
                        <a:cs typeface="Times New Roman" panose="02020603050405020304" pitchFamily="18" charset="0"/>
                      </a:rPr>
                      <a:t>
</a:t>
                    </a:r>
                    <a:fld id="{185982DC-43FC-429F-939E-FD40B0BA03F8}" type="PERCENTAGE">
                      <a:rPr lang="en-US" sz="900" baseline="0">
                        <a:latin typeface="Times New Roman" panose="02020603050405020304" pitchFamily="18" charset="0"/>
                        <a:cs typeface="Times New Roman" panose="02020603050405020304" pitchFamily="18" charset="0"/>
                      </a:rPr>
                      <a:pPr>
                        <a:defRPr b="1">
                          <a:solidFill>
                            <a:schemeClr val="bg2">
                              <a:lumMod val="25000"/>
                            </a:schemeClr>
                          </a:solidFill>
                          <a:latin typeface="Times New Roman" panose="02020603050405020304" pitchFamily="18" charset="0"/>
                          <a:cs typeface="Times New Roman" panose="02020603050405020304" pitchFamily="18" charset="0"/>
                        </a:defRPr>
                      </a:pPr>
                      <a:t>[PERCENTAGE]</a:t>
                    </a:fld>
                    <a:endParaRPr lang="en-US" sz="900" baseline="0">
                      <a:latin typeface="Times New Roman" panose="02020603050405020304" pitchFamily="18" charset="0"/>
                      <a:cs typeface="Times New Roman" panose="02020603050405020304" pitchFamily="18" charset="0"/>
                    </a:endParaRPr>
                  </a:p>
                </c:rich>
              </c:tx>
              <c:numFmt formatCode="0.00%" sourceLinked="0"/>
              <c:spPr>
                <a:noFill/>
                <a:ln w="12700" cap="flat" cmpd="sng" algn="ctr">
                  <a:noFill/>
                  <a:prstDash val="solid"/>
                  <a:miter lim="800000"/>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bg2">
                          <a:lumMod val="25000"/>
                        </a:schemeClr>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7-AE72-4B49-83F4-FD5C1C107429}"/>
                </c:ext>
              </c:extLst>
            </c:dLbl>
            <c:dLbl>
              <c:idx val="4"/>
              <c:layout>
                <c:manualLayout>
                  <c:x val="-2.6552791099938286E-2"/>
                  <c:y val="-2.3079193253170392E-2"/>
                </c:manualLayout>
              </c:layout>
              <c:tx>
                <c:rich>
                  <a:bodyPr rot="0" spcFirstLastPara="1" vertOverflow="ellipsis" vert="horz" wrap="square" lIns="38100" tIns="19050" rIns="38100" bIns="19050" anchor="ctr" anchorCtr="1">
                    <a:spAutoFit/>
                  </a:bodyPr>
                  <a:lstStyle/>
                  <a:p>
                    <a:pPr>
                      <a:defRPr sz="900" b="1" i="0" u="none" strike="noStrike" kern="1200" baseline="0">
                        <a:solidFill>
                          <a:schemeClr val="accent3">
                            <a:lumMod val="75000"/>
                          </a:schemeClr>
                        </a:solidFill>
                        <a:latin typeface="Times New Roman" panose="02020603050405020304" pitchFamily="18" charset="0"/>
                        <a:ea typeface="+mn-ea"/>
                        <a:cs typeface="Times New Roman" panose="02020603050405020304" pitchFamily="18" charset="0"/>
                      </a:defRPr>
                    </a:pPr>
                    <a:fld id="{F1587B73-04C7-41F3-869A-F233732870E2}" type="CATEGORYNAME">
                      <a:rPr lang="en-US" sz="900">
                        <a:latin typeface="Times New Roman" panose="02020603050405020304" pitchFamily="18" charset="0"/>
                        <a:cs typeface="Times New Roman" panose="02020603050405020304" pitchFamily="18" charset="0"/>
                      </a:rPr>
                      <a:pPr>
                        <a:defRPr b="1">
                          <a:solidFill>
                            <a:schemeClr val="accent3">
                              <a:lumMod val="75000"/>
                            </a:schemeClr>
                          </a:solidFill>
                          <a:latin typeface="Times New Roman" panose="02020603050405020304" pitchFamily="18" charset="0"/>
                          <a:cs typeface="Times New Roman" panose="02020603050405020304" pitchFamily="18" charset="0"/>
                        </a:defRPr>
                      </a:pPr>
                      <a:t>[CATEGORY NAME]</a:t>
                    </a:fld>
                    <a:r>
                      <a:rPr lang="en-US" sz="900" baseline="0">
                        <a:latin typeface="Times New Roman" panose="02020603050405020304" pitchFamily="18" charset="0"/>
                        <a:cs typeface="Times New Roman" panose="02020603050405020304" pitchFamily="18" charset="0"/>
                      </a:rPr>
                      <a:t>
</a:t>
                    </a:r>
                    <a:fld id="{667F41E5-E929-4188-91F5-78879DC17D23}" type="PERCENTAGE">
                      <a:rPr lang="en-US" sz="900" baseline="0">
                        <a:solidFill>
                          <a:srgbClr val="7F7F7F"/>
                        </a:solidFill>
                        <a:latin typeface="Times New Roman" panose="02020603050405020304" pitchFamily="18" charset="0"/>
                        <a:cs typeface="Times New Roman" panose="02020603050405020304" pitchFamily="18" charset="0"/>
                      </a:rPr>
                      <a:pPr>
                        <a:defRPr b="1">
                          <a:solidFill>
                            <a:schemeClr val="accent3">
                              <a:lumMod val="75000"/>
                            </a:schemeClr>
                          </a:solidFill>
                          <a:latin typeface="Times New Roman" panose="02020603050405020304" pitchFamily="18" charset="0"/>
                          <a:cs typeface="Times New Roman" panose="02020603050405020304" pitchFamily="18" charset="0"/>
                        </a:defRPr>
                      </a:pPr>
                      <a:t>[PERCENTAGE]</a:t>
                    </a:fld>
                    <a:endParaRPr lang="en-US" sz="900" baseline="0">
                      <a:latin typeface="Times New Roman" panose="02020603050405020304" pitchFamily="18" charset="0"/>
                      <a:cs typeface="Times New Roman" panose="02020603050405020304" pitchFamily="18" charset="0"/>
                    </a:endParaRPr>
                  </a:p>
                </c:rich>
              </c:tx>
              <c:numFmt formatCode="0.00%" sourceLinked="0"/>
              <c:spPr>
                <a:noFill/>
                <a:ln w="12700" cap="flat" cmpd="sng" algn="ctr">
                  <a:noFill/>
                  <a:prstDash val="solid"/>
                  <a:miter lim="800000"/>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accent3">
                          <a:lumMod val="75000"/>
                        </a:schemeClr>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9-AE72-4B49-83F4-FD5C1C107429}"/>
                </c:ext>
              </c:extLst>
            </c:dLbl>
            <c:dLbl>
              <c:idx val="5"/>
              <c:layout>
                <c:manualLayout>
                  <c:x val="5.1552800837633687E-2"/>
                  <c:y val="6.3583168412870983E-2"/>
                </c:manualLayout>
              </c:layout>
              <c:tx>
                <c:rich>
                  <a:bodyPr rot="0" spcFirstLastPara="1" vertOverflow="ellipsis" vert="horz" wrap="square" lIns="38100" tIns="19050" rIns="38100" bIns="19050" anchor="ctr" anchorCtr="1">
                    <a:spAutoFit/>
                  </a:bodyPr>
                  <a:lstStyle/>
                  <a:p>
                    <a:pPr>
                      <a:defRPr sz="900" b="1" i="0" u="none" strike="noStrike" kern="1200" baseline="0">
                        <a:solidFill>
                          <a:srgbClr val="C9C9C9"/>
                        </a:solidFill>
                        <a:latin typeface="Times New Roman" panose="02020603050405020304" pitchFamily="18" charset="0"/>
                        <a:ea typeface="+mn-ea"/>
                        <a:cs typeface="Times New Roman" panose="02020603050405020304" pitchFamily="18" charset="0"/>
                      </a:defRPr>
                    </a:pPr>
                    <a:fld id="{1882D798-7B91-E84B-B82A-F640FF20C49E}" type="CATEGORYNAME">
                      <a:rPr lang="en-US" sz="900">
                        <a:solidFill>
                          <a:srgbClr val="C9C9C9"/>
                        </a:solidFill>
                        <a:latin typeface="Times New Roman" panose="02020603050405020304" pitchFamily="18" charset="0"/>
                        <a:cs typeface="Times New Roman" panose="02020603050405020304" pitchFamily="18" charset="0"/>
                      </a:rPr>
                      <a:pPr>
                        <a:defRPr b="1">
                          <a:solidFill>
                            <a:srgbClr val="C9C9C9"/>
                          </a:solidFill>
                          <a:latin typeface="Times New Roman" panose="02020603050405020304" pitchFamily="18" charset="0"/>
                          <a:cs typeface="Times New Roman" panose="02020603050405020304" pitchFamily="18" charset="0"/>
                        </a:defRPr>
                      </a:pPr>
                      <a:t>[CATEGORY NAME]</a:t>
                    </a:fld>
                    <a:r>
                      <a:rPr lang="en-US" sz="900" baseline="0">
                        <a:solidFill>
                          <a:srgbClr val="C9C9C9"/>
                        </a:solidFill>
                        <a:latin typeface="Times New Roman" panose="02020603050405020304" pitchFamily="18" charset="0"/>
                        <a:cs typeface="Times New Roman" panose="02020603050405020304" pitchFamily="18" charset="0"/>
                      </a:rPr>
                      <a:t>
9.83%</a:t>
                    </a:r>
                  </a:p>
                </c:rich>
              </c:tx>
              <c:numFmt formatCode="0.00%" sourceLinked="0"/>
              <c:spPr>
                <a:noFill/>
                <a:ln w="12700" cap="flat" cmpd="sng" algn="ctr">
                  <a:noFill/>
                  <a:prstDash val="solid"/>
                  <a:miter lim="800000"/>
                </a:ln>
                <a:effectLst/>
              </c:spPr>
              <c:txPr>
                <a:bodyPr rot="0" spcFirstLastPara="1" vertOverflow="ellipsis" vert="horz" wrap="square" lIns="38100" tIns="19050" rIns="38100" bIns="19050" anchor="ctr" anchorCtr="1">
                  <a:spAutoFit/>
                </a:bodyPr>
                <a:lstStyle/>
                <a:p>
                  <a:pPr>
                    <a:defRPr sz="900" b="1" i="0" u="none" strike="noStrike" kern="1200" baseline="0">
                      <a:solidFill>
                        <a:srgbClr val="C9C9C9"/>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B-AE72-4B49-83F4-FD5C1C107429}"/>
                </c:ext>
              </c:extLst>
            </c:dLbl>
            <c:dLbl>
              <c:idx val="6"/>
              <c:layout>
                <c:manualLayout>
                  <c:x val="-6.8272076967108744E-4"/>
                  <c:y val="9.1076311806806434E-2"/>
                </c:manualLayout>
              </c:layout>
              <c:tx>
                <c:rich>
                  <a:bodyPr rot="0" spcFirstLastPara="1" vertOverflow="ellipsis" vert="horz" wrap="square" lIns="38100" tIns="19050" rIns="38100" bIns="19050" anchor="ctr" anchorCtr="1">
                    <a:spAutoFit/>
                  </a:bodyPr>
                  <a:lstStyle/>
                  <a:p>
                    <a:pPr>
                      <a:defRPr sz="900" b="1" i="0" u="none" strike="noStrike" kern="1200" baseline="0">
                        <a:solidFill>
                          <a:schemeClr val="accent2"/>
                        </a:solidFill>
                        <a:latin typeface="Times New Roman" panose="02020603050405020304" pitchFamily="18" charset="0"/>
                        <a:ea typeface="+mn-ea"/>
                        <a:cs typeface="Times New Roman" panose="02020603050405020304" pitchFamily="18" charset="0"/>
                      </a:defRPr>
                    </a:pPr>
                    <a:fld id="{A36C6B1F-2F74-5A42-B4A7-B51983B42176}" type="CATEGORYNAME">
                      <a:rPr lang="en-US" sz="900">
                        <a:solidFill>
                          <a:schemeClr val="accent2">
                            <a:lumMod val="60000"/>
                            <a:lumOff val="40000"/>
                          </a:schemeClr>
                        </a:solidFill>
                        <a:latin typeface="Times New Roman" panose="02020603050405020304" pitchFamily="18" charset="0"/>
                        <a:cs typeface="Times New Roman" panose="02020603050405020304" pitchFamily="18" charset="0"/>
                      </a:rPr>
                      <a:pPr>
                        <a:defRPr b="1">
                          <a:solidFill>
                            <a:schemeClr val="accent2"/>
                          </a:solidFill>
                          <a:latin typeface="Times New Roman" panose="02020603050405020304" pitchFamily="18" charset="0"/>
                          <a:cs typeface="Times New Roman" panose="02020603050405020304" pitchFamily="18" charset="0"/>
                        </a:defRPr>
                      </a:pPr>
                      <a:t>[CATEGORY NAME]</a:t>
                    </a:fld>
                    <a:r>
                      <a:rPr lang="en-US" sz="900" baseline="0">
                        <a:solidFill>
                          <a:schemeClr val="accent2">
                            <a:lumMod val="60000"/>
                            <a:lumOff val="40000"/>
                          </a:schemeClr>
                        </a:solidFill>
                        <a:latin typeface="Times New Roman" panose="02020603050405020304" pitchFamily="18" charset="0"/>
                        <a:cs typeface="Times New Roman" panose="02020603050405020304" pitchFamily="18" charset="0"/>
                      </a:rPr>
                      <a:t>
3.33%</a:t>
                    </a:r>
                  </a:p>
                </c:rich>
              </c:tx>
              <c:numFmt formatCode="0.00%" sourceLinked="0"/>
              <c:spPr>
                <a:noFill/>
                <a:ln w="12700" cap="flat" cmpd="sng" algn="ctr">
                  <a:noFill/>
                  <a:prstDash val="solid"/>
                  <a:miter lim="800000"/>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accent2"/>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D-AE72-4B49-83F4-FD5C1C107429}"/>
                </c:ext>
              </c:extLst>
            </c:dLbl>
            <c:dLbl>
              <c:idx val="7"/>
              <c:layout>
                <c:manualLayout>
                  <c:x val="-7.0509454688087187E-3"/>
                  <c:y val="2.7074619574935777E-2"/>
                </c:manualLayout>
              </c:layout>
              <c:tx>
                <c:rich>
                  <a:bodyPr rot="0" spcFirstLastPara="1" vertOverflow="ellipsis" vert="horz" wrap="square" lIns="38100" tIns="19050" rIns="38100" bIns="19050" anchor="ctr" anchorCtr="1">
                    <a:spAutoFit/>
                  </a:bodyPr>
                  <a:lstStyle/>
                  <a:p>
                    <a:pPr>
                      <a:defRPr sz="900" b="1" i="0" u="none" strike="noStrike" kern="1200" baseline="0">
                        <a:solidFill>
                          <a:srgbClr val="C6AAF0"/>
                        </a:solidFill>
                        <a:latin typeface="Times New Roman" panose="02020603050405020304" pitchFamily="18" charset="0"/>
                        <a:ea typeface="+mn-ea"/>
                        <a:cs typeface="Times New Roman" panose="02020603050405020304" pitchFamily="18" charset="0"/>
                      </a:defRPr>
                    </a:pPr>
                    <a:fld id="{C8925F09-3C98-8F47-837A-EA2CDDD441DB}" type="CATEGORYNAME">
                      <a:rPr lang="en-US" sz="900">
                        <a:solidFill>
                          <a:srgbClr val="EFD06B"/>
                        </a:solidFill>
                        <a:latin typeface="Times New Roman" panose="02020603050405020304" pitchFamily="18" charset="0"/>
                        <a:cs typeface="Times New Roman" panose="02020603050405020304" pitchFamily="18" charset="0"/>
                      </a:rPr>
                      <a:pPr>
                        <a:defRPr b="1">
                          <a:solidFill>
                            <a:srgbClr val="C6AAF0"/>
                          </a:solidFill>
                          <a:latin typeface="Times New Roman" panose="02020603050405020304" pitchFamily="18" charset="0"/>
                          <a:cs typeface="Times New Roman" panose="02020603050405020304" pitchFamily="18" charset="0"/>
                        </a:defRPr>
                      </a:pPr>
                      <a:t>[CATEGORY NAME]</a:t>
                    </a:fld>
                    <a:r>
                      <a:rPr lang="en-US" sz="900" baseline="0">
                        <a:solidFill>
                          <a:srgbClr val="EFD06B"/>
                        </a:solidFill>
                        <a:latin typeface="Times New Roman" panose="02020603050405020304" pitchFamily="18" charset="0"/>
                        <a:cs typeface="Times New Roman" panose="02020603050405020304" pitchFamily="18" charset="0"/>
                      </a:rPr>
                      <a:t>
9.44%</a:t>
                    </a:r>
                  </a:p>
                </c:rich>
              </c:tx>
              <c:numFmt formatCode="0.00%" sourceLinked="0"/>
              <c:spPr>
                <a:noFill/>
                <a:ln w="12700" cap="flat" cmpd="sng" algn="ctr">
                  <a:noFill/>
                  <a:prstDash val="solid"/>
                  <a:miter lim="800000"/>
                </a:ln>
                <a:effectLst/>
              </c:spPr>
              <c:txPr>
                <a:bodyPr rot="0" spcFirstLastPara="1" vertOverflow="ellipsis" vert="horz" wrap="square" lIns="38100" tIns="19050" rIns="38100" bIns="19050" anchor="ctr" anchorCtr="1">
                  <a:spAutoFit/>
                </a:bodyPr>
                <a:lstStyle/>
                <a:p>
                  <a:pPr>
                    <a:defRPr sz="900" b="1" i="0" u="none" strike="noStrike" kern="1200" baseline="0">
                      <a:solidFill>
                        <a:srgbClr val="C6AAF0"/>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F-AE72-4B49-83F4-FD5C1C107429}"/>
                </c:ext>
              </c:extLst>
            </c:dLbl>
            <c:dLbl>
              <c:idx val="8"/>
              <c:layout>
                <c:manualLayout>
                  <c:x val="-8.6373086344905849E-3"/>
                  <c:y val="5.158493916131391E-2"/>
                </c:manualLayout>
              </c:layout>
              <c:tx>
                <c:rich>
                  <a:bodyPr rot="0" spcFirstLastPara="1" vertOverflow="clip" horzOverflow="clip" vert="horz" wrap="square" lIns="38100" tIns="19050" rIns="38100" bIns="19050" anchor="ctr" anchorCtr="1">
                    <a:spAutoFit/>
                  </a:bodyPr>
                  <a:lstStyle/>
                  <a:p>
                    <a:pPr>
                      <a:defRPr sz="900" b="1" i="0" u="none" strike="noStrike" kern="1200" baseline="0">
                        <a:solidFill>
                          <a:schemeClr val="accent6">
                            <a:lumMod val="60000"/>
                            <a:lumOff val="40000"/>
                          </a:schemeClr>
                        </a:solidFill>
                        <a:latin typeface="Times New Roman" panose="02020603050405020304" pitchFamily="18" charset="0"/>
                        <a:ea typeface="+mn-ea"/>
                        <a:cs typeface="Times New Roman" panose="02020603050405020304" pitchFamily="18" charset="0"/>
                      </a:defRPr>
                    </a:pPr>
                    <a:fld id="{56A4DAD9-C8B0-3E4A-B198-DB89A83F4825}" type="CATEGORYNAME">
                      <a:rPr lang="en-US" sz="900" b="1">
                        <a:solidFill>
                          <a:schemeClr val="accent6">
                            <a:lumMod val="60000"/>
                            <a:lumOff val="40000"/>
                          </a:schemeClr>
                        </a:solidFill>
                        <a:latin typeface="Times New Roman" panose="02020603050405020304" pitchFamily="18" charset="0"/>
                        <a:ea typeface="+mn-ea"/>
                        <a:cs typeface="Times New Roman" panose="02020603050405020304" pitchFamily="18" charset="0"/>
                      </a:rPr>
                      <a:pPr>
                        <a:defRPr b="1">
                          <a:solidFill>
                            <a:schemeClr val="accent6">
                              <a:lumMod val="60000"/>
                              <a:lumOff val="40000"/>
                            </a:schemeClr>
                          </a:solidFill>
                          <a:latin typeface="Times New Roman" panose="02020603050405020304" pitchFamily="18" charset="0"/>
                          <a:cs typeface="Times New Roman" panose="02020603050405020304" pitchFamily="18" charset="0"/>
                        </a:defRPr>
                      </a:pPr>
                      <a:t>[CATEGORY NAME]</a:t>
                    </a:fld>
                    <a:r>
                      <a:rPr lang="en-US" sz="900" b="1">
                        <a:solidFill>
                          <a:schemeClr val="accent6">
                            <a:lumMod val="60000"/>
                            <a:lumOff val="40000"/>
                          </a:schemeClr>
                        </a:solidFill>
                        <a:latin typeface="Times New Roman" panose="02020603050405020304" pitchFamily="18" charset="0"/>
                        <a:ea typeface="+mn-ea"/>
                        <a:cs typeface="Times New Roman" panose="02020603050405020304" pitchFamily="18" charset="0"/>
                      </a:rPr>
                      <a:t>
7.72%</a:t>
                    </a:r>
                  </a:p>
                </c:rich>
              </c:tx>
              <c:numFmt formatCode="0.00%" sourceLinked="0"/>
              <c:spPr>
                <a:noFill/>
                <a:ln w="12700" cap="flat" cmpd="sng" algn="ctr">
                  <a:noFill/>
                  <a:prstDash val="solid"/>
                  <a:miter lim="800000"/>
                </a:ln>
                <a:effectLst/>
              </c:spPr>
              <c:txPr>
                <a:bodyPr rot="0" spcFirstLastPara="1" vertOverflow="clip" horzOverflow="clip" vert="horz" wrap="square" lIns="38100" tIns="19050" rIns="38100" bIns="19050" anchor="ctr" anchorCtr="1">
                  <a:spAutoFit/>
                </a:bodyPr>
                <a:lstStyle/>
                <a:p>
                  <a:pPr>
                    <a:defRPr sz="900" b="1" i="0" u="none" strike="noStrike" kern="1200" baseline="0">
                      <a:solidFill>
                        <a:schemeClr val="accent6">
                          <a:lumMod val="60000"/>
                          <a:lumOff val="40000"/>
                        </a:schemeClr>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rect">
                      <a:avLst/>
                    </a:prstGeom>
                    <a:noFill/>
                    <a:ln>
                      <a:noFill/>
                    </a:ln>
                  </c15:spPr>
                  <c15:dlblFieldTable/>
                  <c15:showDataLabelsRange val="0"/>
                </c:ext>
                <c:ext xmlns:c16="http://schemas.microsoft.com/office/drawing/2014/chart" uri="{C3380CC4-5D6E-409C-BE32-E72D297353CC}">
                  <c16:uniqueId val="{00000011-AE72-4B49-83F4-FD5C1C107429}"/>
                </c:ext>
              </c:extLst>
            </c:dLbl>
            <c:dLbl>
              <c:idx val="9"/>
              <c:layout>
                <c:manualLayout>
                  <c:x val="-9.9159460895609664E-3"/>
                  <c:y val="6.8452540038239279E-2"/>
                </c:manualLayout>
              </c:layout>
              <c:tx>
                <c:rich>
                  <a:bodyPr/>
                  <a:lstStyle/>
                  <a:p>
                    <a:fld id="{28BA9D16-7F31-D24F-9FF2-67A056B43381}" type="CATEGORYNAME">
                      <a:rPr lang="en-US">
                        <a:solidFill>
                          <a:srgbClr val="9393FF"/>
                        </a:solidFill>
                      </a:rPr>
                      <a:pPr/>
                      <a:t>[CATEGORY NAME]</a:t>
                    </a:fld>
                    <a:r>
                      <a:rPr lang="en-US" baseline="0">
                        <a:solidFill>
                          <a:srgbClr val="9393FF"/>
                        </a:solidFill>
                      </a:rPr>
                      <a:t>
9.82%</a:t>
                    </a:r>
                  </a:p>
                </c:rich>
              </c:tx>
              <c:dLblPos val="bestFit"/>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13-AE72-4B49-83F4-FD5C1C107429}"/>
                </c:ext>
              </c:extLst>
            </c:dLbl>
            <c:dLbl>
              <c:idx val="10"/>
              <c:layout>
                <c:manualLayout>
                  <c:x val="-8.7928684798776785E-4"/>
                  <c:y val="-0.16178842226860854"/>
                </c:manualLayout>
              </c:layout>
              <c:tx>
                <c:rich>
                  <a:bodyPr rot="0" spcFirstLastPara="1" vertOverflow="ellipsis" vert="horz" wrap="square" lIns="38100" tIns="19050" rIns="38100" bIns="19050" anchor="ctr" anchorCtr="1">
                    <a:spAutoFit/>
                  </a:bodyPr>
                  <a:lstStyle/>
                  <a:p>
                    <a:pPr>
                      <a:defRPr sz="900" b="1" i="0" u="none" strike="noStrike" kern="1200" baseline="0">
                        <a:solidFill>
                          <a:schemeClr val="accent5">
                            <a:lumMod val="60000"/>
                            <a:lumOff val="40000"/>
                          </a:schemeClr>
                        </a:solidFill>
                        <a:latin typeface="Times New Roman" panose="02020603050405020304" pitchFamily="18" charset="0"/>
                        <a:ea typeface="+mn-ea"/>
                        <a:cs typeface="Times New Roman" panose="02020603050405020304" pitchFamily="18" charset="0"/>
                      </a:defRPr>
                    </a:pPr>
                    <a:fld id="{B4912510-EBFD-F346-B271-F0CCC9B734D2}" type="CATEGORYNAME">
                      <a:rPr lang="en-US" sz="900" b="1">
                        <a:solidFill>
                          <a:srgbClr val="9DC3E6"/>
                        </a:solidFill>
                        <a:latin typeface="Times New Roman" panose="02020603050405020304" pitchFamily="18" charset="0"/>
                        <a:cs typeface="Times New Roman" panose="02020603050405020304" pitchFamily="18" charset="0"/>
                      </a:rPr>
                      <a:pPr>
                        <a:defRPr b="1">
                          <a:solidFill>
                            <a:schemeClr val="accent5">
                              <a:lumMod val="60000"/>
                              <a:lumOff val="40000"/>
                            </a:schemeClr>
                          </a:solidFill>
                          <a:latin typeface="Times New Roman" panose="02020603050405020304" pitchFamily="18" charset="0"/>
                          <a:cs typeface="Times New Roman" panose="02020603050405020304" pitchFamily="18" charset="0"/>
                        </a:defRPr>
                      </a:pPr>
                      <a:t>[CATEGORY NAME]</a:t>
                    </a:fld>
                    <a:r>
                      <a:rPr lang="en-US" sz="900" b="1" baseline="0">
                        <a:solidFill>
                          <a:srgbClr val="9DC3E6"/>
                        </a:solidFill>
                        <a:latin typeface="Times New Roman" panose="02020603050405020304" pitchFamily="18" charset="0"/>
                        <a:cs typeface="Times New Roman" panose="02020603050405020304" pitchFamily="18" charset="0"/>
                      </a:rPr>
                      <a:t>
59.86%</a:t>
                    </a:r>
                  </a:p>
                </c:rich>
              </c:tx>
              <c:numFmt formatCode="0.00%" sourceLinked="0"/>
              <c:spPr>
                <a:noFill/>
                <a:ln w="12700" cap="flat" cmpd="sng" algn="ctr">
                  <a:noFill/>
                  <a:prstDash val="solid"/>
                  <a:miter lim="800000"/>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accent5">
                          <a:lumMod val="60000"/>
                          <a:lumOff val="40000"/>
                        </a:schemeClr>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15-AE72-4B49-83F4-FD5C1C107429}"/>
                </c:ext>
              </c:extLst>
            </c:dLbl>
            <c:dLbl>
              <c:idx val="11"/>
              <c:layout>
                <c:manualLayout>
                  <c:x val="-5.7058596203081978E-2"/>
                  <c:y val="-0.23241188846172298"/>
                </c:manualLayout>
              </c:layout>
              <c:tx>
                <c:rich>
                  <a:bodyPr rot="0" spcFirstLastPara="1" vertOverflow="ellipsis" vert="horz" wrap="square" lIns="38100" tIns="19050" rIns="38100" bIns="19050" anchor="ctr" anchorCtr="1">
                    <a:spAutoFit/>
                  </a:bodyPr>
                  <a:lstStyle/>
                  <a:p>
                    <a:pPr>
                      <a:defRPr sz="900" b="1" i="0" u="none" strike="noStrike" kern="1200" baseline="0">
                        <a:solidFill>
                          <a:schemeClr val="accent5">
                            <a:lumMod val="75000"/>
                          </a:schemeClr>
                        </a:solidFill>
                        <a:latin typeface="Times New Roman" panose="02020603050405020304" pitchFamily="18" charset="0"/>
                        <a:ea typeface="+mn-ea"/>
                        <a:cs typeface="Times New Roman" panose="02020603050405020304" pitchFamily="18" charset="0"/>
                      </a:defRPr>
                    </a:pPr>
                    <a:r>
                      <a:rPr lang="en-US">
                        <a:solidFill>
                          <a:srgbClr val="203864"/>
                        </a:solidFill>
                      </a:rPr>
                      <a:t>AAE Portfolio</a:t>
                    </a:r>
                    <a:r>
                      <a:rPr lang="en-US" baseline="0">
                        <a:solidFill>
                          <a:srgbClr val="203864"/>
                        </a:solidFill>
                      </a:rPr>
                      <a:t>
</a:t>
                    </a:r>
                    <a:fld id="{234D66BB-94F1-064C-8A48-A92E2CF89AC4}" type="PERCENTAGE">
                      <a:rPr lang="en-US" baseline="0">
                        <a:solidFill>
                          <a:srgbClr val="203864"/>
                        </a:solidFill>
                      </a:rPr>
                      <a:pPr>
                        <a:defRPr b="1">
                          <a:solidFill>
                            <a:schemeClr val="accent5">
                              <a:lumMod val="75000"/>
                            </a:schemeClr>
                          </a:solidFill>
                          <a:latin typeface="Times New Roman" panose="02020603050405020304" pitchFamily="18" charset="0"/>
                          <a:cs typeface="Times New Roman" panose="02020603050405020304" pitchFamily="18" charset="0"/>
                        </a:defRPr>
                      </a:pPr>
                      <a:t>[PERCENTAGE]</a:t>
                    </a:fld>
                    <a:endParaRPr lang="en-US" baseline="0">
                      <a:solidFill>
                        <a:srgbClr val="203864"/>
                      </a:solidFill>
                    </a:endParaRPr>
                  </a:p>
                </c:rich>
              </c:tx>
              <c:numFmt formatCode="0.00%" sourceLinked="0"/>
              <c:spPr>
                <a:noFill/>
                <a:ln w="12700" cap="flat" cmpd="sng" algn="ctr">
                  <a:noFill/>
                  <a:prstDash val="solid"/>
                  <a:miter lim="800000"/>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accent5">
                          <a:lumMod val="75000"/>
                        </a:schemeClr>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17-AE72-4B49-83F4-FD5C1C107429}"/>
                </c:ext>
              </c:extLst>
            </c:dLbl>
            <c:numFmt formatCode="0.00%" sourceLinked="0"/>
            <c:spPr>
              <a:noFill/>
              <a:ln w="12700" cap="flat" cmpd="sng" algn="ctr">
                <a:noFill/>
                <a:prstDash val="solid"/>
                <a:miter lim="800000"/>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dk1"/>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'[R&amp;C Performance Attribution S1 2019 (1).xlsx]Portfolio Weights'!$A$30:$A$40</c:f>
              <c:strCache>
                <c:ptCount val="11"/>
                <c:pt idx="0">
                  <c:v>Australian Equities</c:v>
                </c:pt>
                <c:pt idx="1">
                  <c:v>International
Equities,
Unhedged</c:v>
                </c:pt>
                <c:pt idx="2">
                  <c:v>International
Equities,
Hedged</c:v>
                </c:pt>
                <c:pt idx="3">
                  <c:v>Australian Fixed 
Income</c:v>
                </c:pt>
                <c:pt idx="4">
                  <c:v>Cash and Accruals</c:v>
                </c:pt>
                <c:pt idx="5">
                  <c:v>Telstra</c:v>
                </c:pt>
                <c:pt idx="6">
                  <c:v>Rio Tinto</c:v>
                </c:pt>
                <c:pt idx="7">
                  <c:v>Inghams</c:v>
                </c:pt>
                <c:pt idx="8">
                  <c:v>Bingo Industries</c:v>
                </c:pt>
                <c:pt idx="9">
                  <c:v>Westpac Banking Corporation</c:v>
                </c:pt>
                <c:pt idx="10">
                  <c:v>iShares Core S&amp;P/ASX 200 ETF</c:v>
                </c:pt>
              </c:strCache>
            </c:strRef>
          </c:cat>
          <c:val>
            <c:numRef>
              <c:f>'[R&amp;C Performance Attribution S1 2019 (1).xlsx]Portfolio Weights'!$B$30:$B$40</c:f>
              <c:numCache>
                <c:formatCode>_(* #,##0.00_);_(* \(#,##0.00\);_(* "-"??_);_(@_)</c:formatCode>
                <c:ptCount val="11"/>
                <c:pt idx="0">
                  <c:v>70472.800000000003</c:v>
                </c:pt>
                <c:pt idx="1">
                  <c:v>71910</c:v>
                </c:pt>
                <c:pt idx="2">
                  <c:v>67283.92</c:v>
                </c:pt>
                <c:pt idx="3">
                  <c:v>100575.09</c:v>
                </c:pt>
                <c:pt idx="4">
                  <c:v>35255.549999999996</c:v>
                </c:pt>
                <c:pt idx="5">
                  <c:v>34156.080000000002</c:v>
                </c:pt>
                <c:pt idx="6">
                  <c:v>11575.56</c:v>
                </c:pt>
                <c:pt idx="7">
                  <c:v>32793.300000000003</c:v>
                </c:pt>
                <c:pt idx="8">
                  <c:v>26836.880000000001</c:v>
                </c:pt>
                <c:pt idx="9">
                  <c:v>34130.07</c:v>
                </c:pt>
                <c:pt idx="10">
                  <c:v>208020.8</c:v>
                </c:pt>
              </c:numCache>
            </c:numRef>
          </c:val>
          <c:extLst>
            <c:ext xmlns:c16="http://schemas.microsoft.com/office/drawing/2014/chart" uri="{C3380CC4-5D6E-409C-BE32-E72D297353CC}">
              <c16:uniqueId val="{00000018-AE72-4B49-83F4-FD5C1C107429}"/>
            </c:ext>
          </c:extLst>
        </c:ser>
        <c:dLbls>
          <c:dLblPos val="outEnd"/>
          <c:showLegendKey val="0"/>
          <c:showVal val="0"/>
          <c:showCatName val="1"/>
          <c:showSerName val="0"/>
          <c:showPercent val="1"/>
          <c:showBubbleSize val="0"/>
          <c:showLeaderLines val="1"/>
        </c:dLbls>
        <c:gapWidth val="100"/>
        <c:splitType val="pos"/>
        <c:splitPos val="6"/>
        <c:secondPieSize val="75"/>
        <c:serLines>
          <c:spPr>
            <a:ln w="9525" cap="flat" cmpd="sng" algn="ctr">
              <a:solidFill>
                <a:schemeClr val="tx1">
                  <a:lumMod val="35000"/>
                  <a:lumOff val="65000"/>
                </a:schemeClr>
              </a:solidFill>
              <a:round/>
            </a:ln>
            <a:effectLst/>
          </c:spPr>
        </c:serLines>
      </c:ofPieChart>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44">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41EE1D543FB9164198D765219CBDAB4C" ma:contentTypeVersion="8" ma:contentTypeDescription="Create a new document." ma:contentTypeScope="" ma:versionID="8b9e97004e6cb1bd15079eddc70a7254">
  <xsd:schema xmlns:xsd="http://www.w3.org/2001/XMLSchema" xmlns:xs="http://www.w3.org/2001/XMLSchema" xmlns:p="http://schemas.microsoft.com/office/2006/metadata/properties" xmlns:ns2="45a56532-63ca-4d20-ab2d-f09fd61190d2" xmlns:ns3="759089d7-f8e0-4699-b9aa-0338cd91c886" targetNamespace="http://schemas.microsoft.com/office/2006/metadata/properties" ma:root="true" ma:fieldsID="4738cec047d630d37d54c2c425594019" ns2:_="" ns3:_="">
    <xsd:import namespace="45a56532-63ca-4d20-ab2d-f09fd61190d2"/>
    <xsd:import namespace="759089d7-f8e0-4699-b9aa-0338cd91c88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a56532-63ca-4d20-ab2d-f09fd61190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59089d7-f8e0-4699-b9aa-0338cd91c88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16C8E47-68AC-4D03-A376-A50C1F4C27F1}">
  <ds:schemaRefs>
    <ds:schemaRef ds:uri="http://schemas.openxmlformats.org/officeDocument/2006/bibliography"/>
  </ds:schemaRefs>
</ds:datastoreItem>
</file>

<file path=customXml/itemProps2.xml><?xml version="1.0" encoding="utf-8"?>
<ds:datastoreItem xmlns:ds="http://schemas.openxmlformats.org/officeDocument/2006/customXml" ds:itemID="{7EBAD216-6F70-455C-8658-43FD3A9F5808}"/>
</file>

<file path=customXml/itemProps3.xml><?xml version="1.0" encoding="utf-8"?>
<ds:datastoreItem xmlns:ds="http://schemas.openxmlformats.org/officeDocument/2006/customXml" ds:itemID="{A068977B-2D0C-4C1D-A7BD-4CE355E821EE}"/>
</file>

<file path=customXml/itemProps4.xml><?xml version="1.0" encoding="utf-8"?>
<ds:datastoreItem xmlns:ds="http://schemas.openxmlformats.org/officeDocument/2006/customXml" ds:itemID="{7E240CDB-F058-49D1-9002-B233CB350724}"/>
</file>

<file path=docProps/app.xml><?xml version="1.0" encoding="utf-8"?>
<Properties xmlns="http://schemas.openxmlformats.org/officeDocument/2006/extended-properties" xmlns:vt="http://schemas.openxmlformats.org/officeDocument/2006/docPropsVTypes">
  <Template>Normal</Template>
  <TotalTime>0</TotalTime>
  <Pages>15</Pages>
  <Words>6225</Words>
  <Characters>35485</Characters>
  <Application>Microsoft Office Word</Application>
  <DocSecurity>0</DocSecurity>
  <Lines>295</Lines>
  <Paragraphs>83</Paragraphs>
  <ScaleCrop>false</ScaleCrop>
  <HeadingPairs>
    <vt:vector size="2" baseType="variant">
      <vt:variant>
        <vt:lpstr>Title</vt:lpstr>
      </vt:variant>
      <vt:variant>
        <vt:i4>1</vt:i4>
      </vt:variant>
    </vt:vector>
  </HeadingPairs>
  <TitlesOfParts>
    <vt:vector size="1" baseType="lpstr">
      <vt:lpstr/>
    </vt:vector>
  </TitlesOfParts>
  <Company>The Australian National University</Company>
  <LinksUpToDate>false</LinksUpToDate>
  <CharactersWithSpaces>41627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Sophie Lebang</dc:creator>
  <cp:keywords/>
  <dc:description/>
  <cp:lastModifiedBy>Geoff Warren</cp:lastModifiedBy>
  <cp:revision>2</cp:revision>
  <cp:lastPrinted>2019-07-09T23:15:00Z</cp:lastPrinted>
  <dcterms:created xsi:type="dcterms:W3CDTF">2019-07-09T23:18:00Z</dcterms:created>
  <dcterms:modified xsi:type="dcterms:W3CDTF">2019-07-09T23:18:00Z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0x01010041EE1D543FB9164198D765219CBDAB4C</vt:lpwstr>
  </property>
</Properties>
</file>