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6D56B" w14:textId="77777777" w:rsidR="00277953" w:rsidRPr="002C3CF3" w:rsidRDefault="00277953" w:rsidP="00A250F3">
      <w:pPr>
        <w:pStyle w:val="Title"/>
        <w:spacing w:line="240" w:lineRule="auto"/>
        <w:rPr>
          <w:rFonts w:cs="Times New Roman"/>
          <w:sz w:val="20"/>
          <w:szCs w:val="20"/>
        </w:rPr>
      </w:pPr>
    </w:p>
    <w:p w14:paraId="2C464609" w14:textId="77777777" w:rsidR="00380F71" w:rsidRPr="002C3CF3" w:rsidRDefault="00380F71" w:rsidP="00A250F3">
      <w:pPr>
        <w:pStyle w:val="Title"/>
        <w:spacing w:line="240" w:lineRule="auto"/>
        <w:rPr>
          <w:rFonts w:cs="Times New Roman"/>
          <w:sz w:val="40"/>
          <w:szCs w:val="40"/>
        </w:rPr>
      </w:pPr>
    </w:p>
    <w:p w14:paraId="1EF98AC8" w14:textId="704DEBDB" w:rsidR="00DD448F" w:rsidRPr="002C3CF3" w:rsidRDefault="00841936" w:rsidP="00BE40D3">
      <w:pPr>
        <w:pStyle w:val="Title"/>
        <w:spacing w:line="240" w:lineRule="auto"/>
        <w:rPr>
          <w:rFonts w:cs="Times New Roman"/>
          <w:sz w:val="40"/>
          <w:szCs w:val="40"/>
        </w:rPr>
      </w:pPr>
      <w:r w:rsidRPr="002C3CF3">
        <w:rPr>
          <w:rFonts w:cs="Times New Roman"/>
          <w:sz w:val="40"/>
          <w:szCs w:val="40"/>
        </w:rPr>
        <w:t xml:space="preserve">Mid-Semester </w:t>
      </w:r>
      <w:r w:rsidR="004C7DE7" w:rsidRPr="002C3CF3">
        <w:rPr>
          <w:rFonts w:cs="Times New Roman"/>
          <w:sz w:val="40"/>
          <w:szCs w:val="40"/>
        </w:rPr>
        <w:t>Report</w:t>
      </w:r>
      <w:r w:rsidR="00BE40D3">
        <w:rPr>
          <w:rFonts w:cs="Times New Roman"/>
          <w:sz w:val="40"/>
          <w:szCs w:val="40"/>
        </w:rPr>
        <w:t xml:space="preserve"> –</w:t>
      </w:r>
      <w:r w:rsidRPr="002C3CF3">
        <w:rPr>
          <w:rFonts w:cs="Times New Roman"/>
          <w:sz w:val="40"/>
          <w:szCs w:val="40"/>
        </w:rPr>
        <w:t xml:space="preserve"> </w:t>
      </w:r>
      <w:r w:rsidR="00380F71" w:rsidRPr="002C3CF3">
        <w:rPr>
          <w:rFonts w:cs="Times New Roman"/>
          <w:sz w:val="40"/>
          <w:szCs w:val="40"/>
        </w:rPr>
        <w:t xml:space="preserve">Semester </w:t>
      </w:r>
      <w:r w:rsidR="007A16CD" w:rsidRPr="002C3CF3">
        <w:rPr>
          <w:rFonts w:cs="Times New Roman"/>
          <w:sz w:val="40"/>
          <w:szCs w:val="40"/>
        </w:rPr>
        <w:t>1</w:t>
      </w:r>
      <w:r w:rsidR="00380F71" w:rsidRPr="002C3CF3">
        <w:rPr>
          <w:rFonts w:cs="Times New Roman"/>
          <w:sz w:val="40"/>
          <w:szCs w:val="40"/>
        </w:rPr>
        <w:t>, 201</w:t>
      </w:r>
      <w:r w:rsidR="007A16CD" w:rsidRPr="002C3CF3">
        <w:rPr>
          <w:rFonts w:cs="Times New Roman"/>
          <w:sz w:val="40"/>
          <w:szCs w:val="40"/>
        </w:rPr>
        <w:t>9</w:t>
      </w:r>
    </w:p>
    <w:p w14:paraId="664DE761" w14:textId="77777777" w:rsidR="00A703D8" w:rsidRPr="002C3CF3" w:rsidRDefault="00A703D8" w:rsidP="00A250F3">
      <w:pPr>
        <w:rPr>
          <w:sz w:val="40"/>
          <w:szCs w:val="40"/>
        </w:rPr>
      </w:pPr>
    </w:p>
    <w:p w14:paraId="55B27471" w14:textId="77777777" w:rsidR="00DD448F" w:rsidRPr="002C3CF3" w:rsidRDefault="00DD448F" w:rsidP="00A250F3">
      <w:pPr>
        <w:pStyle w:val="Subtitle"/>
        <w:spacing w:line="240" w:lineRule="auto"/>
        <w:rPr>
          <w:rFonts w:cs="Times New Roman"/>
          <w:sz w:val="40"/>
          <w:szCs w:val="40"/>
        </w:rPr>
      </w:pPr>
      <w:r w:rsidRPr="002C3CF3">
        <w:rPr>
          <w:rFonts w:cs="Times New Roman"/>
          <w:sz w:val="40"/>
          <w:szCs w:val="40"/>
        </w:rPr>
        <w:t>ANU Student Managed Fund</w:t>
      </w:r>
    </w:p>
    <w:p w14:paraId="3A29E4B9" w14:textId="77777777" w:rsidR="00DD448F" w:rsidRPr="002C3CF3" w:rsidRDefault="00DD448F" w:rsidP="00A250F3">
      <w:pPr>
        <w:rPr>
          <w:sz w:val="20"/>
          <w:szCs w:val="20"/>
        </w:rPr>
      </w:pPr>
    </w:p>
    <w:p w14:paraId="74386698" w14:textId="77777777" w:rsidR="00DD448F" w:rsidRPr="002C3CF3" w:rsidRDefault="00DD448F" w:rsidP="00A250F3">
      <w:pPr>
        <w:spacing w:before="480"/>
        <w:jc w:val="center"/>
        <w:rPr>
          <w:sz w:val="22"/>
          <w:szCs w:val="22"/>
        </w:rPr>
      </w:pPr>
    </w:p>
    <w:p w14:paraId="32C4C9CF" w14:textId="76F750EB" w:rsidR="00DD448F" w:rsidRPr="002C3CF3" w:rsidRDefault="00DD448F" w:rsidP="00A250F3">
      <w:pPr>
        <w:jc w:val="center"/>
        <w:rPr>
          <w:sz w:val="22"/>
          <w:szCs w:val="22"/>
        </w:rPr>
      </w:pPr>
    </w:p>
    <w:p w14:paraId="427ED5F4" w14:textId="24B1F5C6" w:rsidR="00DD448F" w:rsidRDefault="004C7DE7" w:rsidP="003C7DCD">
      <w:pPr>
        <w:jc w:val="center"/>
        <w:rPr>
          <w:sz w:val="22"/>
          <w:szCs w:val="22"/>
        </w:rPr>
      </w:pPr>
      <w:r w:rsidRPr="002C3CF3">
        <w:rPr>
          <w:sz w:val="22"/>
          <w:szCs w:val="22"/>
        </w:rPr>
        <w:t xml:space="preserve">Creation Date: </w:t>
      </w:r>
      <w:r w:rsidR="007A16CD" w:rsidRPr="002C3CF3">
        <w:rPr>
          <w:sz w:val="22"/>
          <w:szCs w:val="22"/>
        </w:rPr>
        <w:t>1</w:t>
      </w:r>
      <w:r w:rsidR="00F32E9E" w:rsidRPr="002C3CF3">
        <w:rPr>
          <w:sz w:val="22"/>
          <w:szCs w:val="22"/>
        </w:rPr>
        <w:t>/</w:t>
      </w:r>
      <w:r w:rsidR="000B4115" w:rsidRPr="002C3CF3">
        <w:rPr>
          <w:sz w:val="22"/>
          <w:szCs w:val="22"/>
        </w:rPr>
        <w:t>0</w:t>
      </w:r>
      <w:r w:rsidR="007A16CD" w:rsidRPr="002C3CF3">
        <w:rPr>
          <w:sz w:val="22"/>
          <w:szCs w:val="22"/>
        </w:rPr>
        <w:t>4</w:t>
      </w:r>
      <w:r w:rsidR="000B4115" w:rsidRPr="002C3CF3">
        <w:rPr>
          <w:sz w:val="22"/>
          <w:szCs w:val="22"/>
        </w:rPr>
        <w:t>/201</w:t>
      </w:r>
      <w:r w:rsidR="007A16CD" w:rsidRPr="002C3CF3">
        <w:rPr>
          <w:sz w:val="22"/>
          <w:szCs w:val="22"/>
        </w:rPr>
        <w:t>9</w:t>
      </w:r>
      <w:r w:rsidR="000B4115" w:rsidRPr="002C3CF3">
        <w:rPr>
          <w:sz w:val="22"/>
          <w:szCs w:val="22"/>
        </w:rPr>
        <w:t xml:space="preserve"> </w:t>
      </w:r>
      <w:r w:rsidR="00C661E0" w:rsidRPr="002C3CF3">
        <w:rPr>
          <w:sz w:val="22"/>
          <w:szCs w:val="22"/>
        </w:rPr>
        <w:t xml:space="preserve">| </w:t>
      </w:r>
      <w:bookmarkStart w:id="0" w:name="_GoBack"/>
      <w:bookmarkEnd w:id="0"/>
      <w:r w:rsidR="00DD448F" w:rsidRPr="002C3CF3">
        <w:rPr>
          <w:sz w:val="22"/>
          <w:szCs w:val="22"/>
        </w:rPr>
        <w:t xml:space="preserve">Version Date: </w:t>
      </w:r>
      <w:r w:rsidR="006A1391">
        <w:rPr>
          <w:sz w:val="22"/>
          <w:szCs w:val="22"/>
        </w:rPr>
        <w:t>1</w:t>
      </w:r>
      <w:r w:rsidR="003C7DCD">
        <w:rPr>
          <w:sz w:val="22"/>
          <w:szCs w:val="22"/>
        </w:rPr>
        <w:t>6</w:t>
      </w:r>
      <w:r w:rsidR="000B4115" w:rsidRPr="002C3CF3">
        <w:rPr>
          <w:sz w:val="22"/>
          <w:szCs w:val="22"/>
        </w:rPr>
        <w:t>/</w:t>
      </w:r>
      <w:r w:rsidR="00CB2BFA" w:rsidRPr="002C3CF3">
        <w:rPr>
          <w:sz w:val="22"/>
          <w:szCs w:val="22"/>
        </w:rPr>
        <w:t>04</w:t>
      </w:r>
      <w:r w:rsidR="007A16CD" w:rsidRPr="002C3CF3">
        <w:rPr>
          <w:sz w:val="22"/>
          <w:szCs w:val="22"/>
        </w:rPr>
        <w:t>/</w:t>
      </w:r>
      <w:r w:rsidR="00CB2BFA" w:rsidRPr="002C3CF3">
        <w:rPr>
          <w:sz w:val="22"/>
          <w:szCs w:val="22"/>
        </w:rPr>
        <w:t>2019</w:t>
      </w:r>
      <w:r w:rsidR="00344A36">
        <w:rPr>
          <w:sz w:val="22"/>
          <w:szCs w:val="22"/>
        </w:rPr>
        <w:t xml:space="preserve"> (Final)</w:t>
      </w:r>
    </w:p>
    <w:p w14:paraId="3E30D4E9" w14:textId="77777777" w:rsidR="003C7DCD" w:rsidRPr="002C3CF3" w:rsidRDefault="003C7DCD" w:rsidP="00A250F3">
      <w:pPr>
        <w:jc w:val="center"/>
        <w:rPr>
          <w:sz w:val="22"/>
          <w:szCs w:val="22"/>
        </w:rPr>
      </w:pPr>
    </w:p>
    <w:sdt>
      <w:sdtPr>
        <w:rPr>
          <w:rFonts w:eastAsiaTheme="minorHAnsi"/>
          <w:b w:val="0"/>
          <w:noProof/>
          <w:color w:val="auto"/>
          <w:spacing w:val="0"/>
          <w:sz w:val="22"/>
          <w:szCs w:val="22"/>
          <w:lang w:eastAsia="zh-CN"/>
        </w:rPr>
        <w:id w:val="-1095473894"/>
        <w:docPartObj>
          <w:docPartGallery w:val="Table of Contents"/>
          <w:docPartUnique/>
        </w:docPartObj>
      </w:sdtPr>
      <w:sdtEndPr>
        <w:rPr>
          <w:rFonts w:eastAsia="SimSun"/>
          <w:bCs/>
          <w:sz w:val="20"/>
          <w:szCs w:val="20"/>
        </w:rPr>
      </w:sdtEndPr>
      <w:sdtContent>
        <w:p w14:paraId="16E2BD9F" w14:textId="366E7C22" w:rsidR="001C7CD7" w:rsidRPr="002C3CF3" w:rsidRDefault="001C7CD7" w:rsidP="00A250F3">
          <w:pPr>
            <w:pStyle w:val="TOCHeading"/>
            <w:spacing w:line="240" w:lineRule="auto"/>
            <w:rPr>
              <w:rFonts w:eastAsiaTheme="minorHAnsi"/>
              <w:b w:val="0"/>
              <w:color w:val="auto"/>
              <w:spacing w:val="0"/>
              <w:sz w:val="20"/>
              <w:szCs w:val="20"/>
            </w:rPr>
          </w:pPr>
        </w:p>
        <w:p w14:paraId="13913749" w14:textId="0F38B52B" w:rsidR="001C7CD7" w:rsidRPr="002C3CF3" w:rsidRDefault="003C7DCD" w:rsidP="00A250F3">
          <w:pPr>
            <w:rPr>
              <w:sz w:val="20"/>
              <w:szCs w:val="20"/>
            </w:rPr>
          </w:pPr>
          <w:r w:rsidRPr="002C3CF3">
            <w:rPr>
              <w:noProof/>
              <w:lang w:eastAsia="en-AU"/>
            </w:rPr>
            <w:drawing>
              <wp:anchor distT="0" distB="0" distL="114300" distR="114300" simplePos="0" relativeHeight="251693056" behindDoc="1" locked="0" layoutInCell="1" allowOverlap="1" wp14:anchorId="599526B9" wp14:editId="70492891">
                <wp:simplePos x="0" y="0"/>
                <wp:positionH relativeFrom="page">
                  <wp:align>left</wp:align>
                </wp:positionH>
                <wp:positionV relativeFrom="paragraph">
                  <wp:posOffset>1496695</wp:posOffset>
                </wp:positionV>
                <wp:extent cx="7555230" cy="3752850"/>
                <wp:effectExtent l="0" t="0" r="7620" b="0"/>
                <wp:wrapTight wrapText="bothSides">
                  <wp:wrapPolygon edited="0">
                    <wp:start x="0" y="0"/>
                    <wp:lineTo x="0" y="21490"/>
                    <wp:lineTo x="21567" y="21490"/>
                    <wp:lineTo x="21567" y="0"/>
                    <wp:lineTo x="0" y="0"/>
                  </wp:wrapPolygon>
                </wp:wrapTight>
                <wp:docPr id="827695018" name="picture" descr="Screen Shot 2017-09-01 at 3.37.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5230" cy="3752850"/>
                        </a:xfrm>
                        <a:prstGeom prst="rect">
                          <a:avLst/>
                        </a:prstGeom>
                        <a:noFill/>
                      </pic:spPr>
                    </pic:pic>
                  </a:graphicData>
                </a:graphic>
                <wp14:sizeRelH relativeFrom="page">
                  <wp14:pctWidth>0</wp14:pctWidth>
                </wp14:sizeRelH>
                <wp14:sizeRelV relativeFrom="page">
                  <wp14:pctHeight>0</wp14:pctHeight>
                </wp14:sizeRelV>
              </wp:anchor>
            </w:drawing>
          </w:r>
          <w:r w:rsidR="001C7CD7" w:rsidRPr="002C3CF3">
            <w:rPr>
              <w:b/>
              <w:sz w:val="20"/>
              <w:szCs w:val="20"/>
            </w:rPr>
            <w:br w:type="page"/>
          </w:r>
        </w:p>
        <w:p w14:paraId="450299AD" w14:textId="77777777" w:rsidR="001040F0" w:rsidRPr="002C3CF3" w:rsidRDefault="001040F0" w:rsidP="00A250F3">
          <w:pPr>
            <w:pStyle w:val="TOCHeading"/>
            <w:spacing w:after="240" w:line="240" w:lineRule="auto"/>
            <w:ind w:right="62"/>
            <w:rPr>
              <w:sz w:val="24"/>
              <w:szCs w:val="24"/>
            </w:rPr>
          </w:pPr>
        </w:p>
        <w:p w14:paraId="0FCE577E" w14:textId="77777777" w:rsidR="007D766D" w:rsidRPr="002C3CF3" w:rsidRDefault="00973FCE" w:rsidP="00A250F3">
          <w:pPr>
            <w:pStyle w:val="TOCHeading"/>
            <w:spacing w:after="240" w:line="240" w:lineRule="auto"/>
            <w:ind w:right="62"/>
            <w:rPr>
              <w:sz w:val="20"/>
              <w:szCs w:val="20"/>
            </w:rPr>
          </w:pPr>
          <w:r w:rsidRPr="002C3CF3">
            <w:rPr>
              <w:sz w:val="24"/>
              <w:szCs w:val="24"/>
            </w:rPr>
            <w:t>Contents</w:t>
          </w:r>
        </w:p>
        <w:p w14:paraId="30CF863C" w14:textId="5F31CA89" w:rsidR="00814C40" w:rsidRDefault="007933C9">
          <w:pPr>
            <w:pStyle w:val="TOC1"/>
            <w:rPr>
              <w:rFonts w:asciiTheme="minorHAnsi" w:eastAsiaTheme="minorEastAsia" w:hAnsiTheme="minorHAnsi" w:cstheme="minorBidi"/>
              <w:sz w:val="22"/>
              <w:szCs w:val="22"/>
              <w:lang w:eastAsia="en-AU"/>
            </w:rPr>
          </w:pPr>
          <w:r w:rsidRPr="002C3CF3">
            <w:rPr>
              <w:noProof w:val="0"/>
              <w:sz w:val="20"/>
              <w:szCs w:val="20"/>
            </w:rPr>
            <w:fldChar w:fldCharType="begin"/>
          </w:r>
          <w:r w:rsidR="00973FCE" w:rsidRPr="002C3CF3">
            <w:rPr>
              <w:sz w:val="20"/>
              <w:szCs w:val="20"/>
            </w:rPr>
            <w:instrText xml:space="preserve"> TOC \o "1-3" \h \z \u </w:instrText>
          </w:r>
          <w:r w:rsidRPr="002C3CF3">
            <w:rPr>
              <w:noProof w:val="0"/>
              <w:sz w:val="20"/>
              <w:szCs w:val="20"/>
            </w:rPr>
            <w:fldChar w:fldCharType="separate"/>
          </w:r>
          <w:hyperlink w:anchor="_Toc5995709" w:history="1">
            <w:r w:rsidR="00814C40" w:rsidRPr="00AC5713">
              <w:rPr>
                <w:rStyle w:val="Hyperlink"/>
              </w:rPr>
              <w:t>Glossary</w:t>
            </w:r>
            <w:r w:rsidR="00814C40">
              <w:rPr>
                <w:webHidden/>
              </w:rPr>
              <w:tab/>
            </w:r>
            <w:r w:rsidR="00814C40">
              <w:rPr>
                <w:webHidden/>
              </w:rPr>
              <w:fldChar w:fldCharType="begin"/>
            </w:r>
            <w:r w:rsidR="00814C40">
              <w:rPr>
                <w:webHidden/>
              </w:rPr>
              <w:instrText xml:space="preserve"> PAGEREF _Toc5995709 \h </w:instrText>
            </w:r>
            <w:r w:rsidR="00814C40">
              <w:rPr>
                <w:webHidden/>
              </w:rPr>
            </w:r>
            <w:r w:rsidR="00814C40">
              <w:rPr>
                <w:webHidden/>
              </w:rPr>
              <w:fldChar w:fldCharType="separate"/>
            </w:r>
            <w:r w:rsidR="00344A36">
              <w:rPr>
                <w:webHidden/>
              </w:rPr>
              <w:t>2</w:t>
            </w:r>
            <w:r w:rsidR="00814C40">
              <w:rPr>
                <w:webHidden/>
              </w:rPr>
              <w:fldChar w:fldCharType="end"/>
            </w:r>
          </w:hyperlink>
        </w:p>
        <w:p w14:paraId="245D8676" w14:textId="07AC5BCE" w:rsidR="00814C40" w:rsidRDefault="00911E9F">
          <w:pPr>
            <w:pStyle w:val="TOC1"/>
            <w:rPr>
              <w:rFonts w:asciiTheme="minorHAnsi" w:eastAsiaTheme="minorEastAsia" w:hAnsiTheme="minorHAnsi" w:cstheme="minorBidi"/>
              <w:sz w:val="22"/>
              <w:szCs w:val="22"/>
              <w:lang w:eastAsia="en-AU"/>
            </w:rPr>
          </w:pPr>
          <w:hyperlink w:anchor="_Toc5995710" w:history="1">
            <w:r w:rsidR="00814C40" w:rsidRPr="00AC5713">
              <w:rPr>
                <w:rStyle w:val="Hyperlink"/>
              </w:rPr>
              <w:t>About this Report</w:t>
            </w:r>
            <w:r w:rsidR="00814C40">
              <w:rPr>
                <w:webHidden/>
              </w:rPr>
              <w:tab/>
            </w:r>
            <w:r w:rsidR="00814C40">
              <w:rPr>
                <w:webHidden/>
              </w:rPr>
              <w:fldChar w:fldCharType="begin"/>
            </w:r>
            <w:r w:rsidR="00814C40">
              <w:rPr>
                <w:webHidden/>
              </w:rPr>
              <w:instrText xml:space="preserve"> PAGEREF _Toc5995710 \h </w:instrText>
            </w:r>
            <w:r w:rsidR="00814C40">
              <w:rPr>
                <w:webHidden/>
              </w:rPr>
            </w:r>
            <w:r w:rsidR="00814C40">
              <w:rPr>
                <w:webHidden/>
              </w:rPr>
              <w:fldChar w:fldCharType="separate"/>
            </w:r>
            <w:r w:rsidR="00344A36">
              <w:rPr>
                <w:webHidden/>
              </w:rPr>
              <w:t>3</w:t>
            </w:r>
            <w:r w:rsidR="00814C40">
              <w:rPr>
                <w:webHidden/>
              </w:rPr>
              <w:fldChar w:fldCharType="end"/>
            </w:r>
          </w:hyperlink>
        </w:p>
        <w:p w14:paraId="32FC2E77" w14:textId="1D4BFE07" w:rsidR="00814C40" w:rsidRDefault="00911E9F">
          <w:pPr>
            <w:pStyle w:val="TOC1"/>
            <w:rPr>
              <w:rFonts w:asciiTheme="minorHAnsi" w:eastAsiaTheme="minorEastAsia" w:hAnsiTheme="minorHAnsi" w:cstheme="minorBidi"/>
              <w:sz w:val="22"/>
              <w:szCs w:val="22"/>
              <w:lang w:eastAsia="en-AU"/>
            </w:rPr>
          </w:pPr>
          <w:hyperlink w:anchor="_Toc5995711" w:history="1">
            <w:r w:rsidR="00814C40" w:rsidRPr="00AC5713">
              <w:rPr>
                <w:rStyle w:val="Hyperlink"/>
              </w:rPr>
              <w:t>Chief Investment Officer Report</w:t>
            </w:r>
            <w:r w:rsidR="00814C40">
              <w:rPr>
                <w:webHidden/>
              </w:rPr>
              <w:tab/>
            </w:r>
            <w:r w:rsidR="00814C40">
              <w:rPr>
                <w:webHidden/>
              </w:rPr>
              <w:fldChar w:fldCharType="begin"/>
            </w:r>
            <w:r w:rsidR="00814C40">
              <w:rPr>
                <w:webHidden/>
              </w:rPr>
              <w:instrText xml:space="preserve"> PAGEREF _Toc5995711 \h </w:instrText>
            </w:r>
            <w:r w:rsidR="00814C40">
              <w:rPr>
                <w:webHidden/>
              </w:rPr>
            </w:r>
            <w:r w:rsidR="00814C40">
              <w:rPr>
                <w:webHidden/>
              </w:rPr>
              <w:fldChar w:fldCharType="separate"/>
            </w:r>
            <w:r w:rsidR="00344A36">
              <w:rPr>
                <w:webHidden/>
              </w:rPr>
              <w:t>3</w:t>
            </w:r>
            <w:r w:rsidR="00814C40">
              <w:rPr>
                <w:webHidden/>
              </w:rPr>
              <w:fldChar w:fldCharType="end"/>
            </w:r>
          </w:hyperlink>
        </w:p>
        <w:p w14:paraId="0F8F5DA8" w14:textId="1A3217A9" w:rsidR="00814C40" w:rsidRDefault="00911E9F">
          <w:pPr>
            <w:pStyle w:val="TOC1"/>
            <w:rPr>
              <w:rFonts w:asciiTheme="minorHAnsi" w:eastAsiaTheme="minorEastAsia" w:hAnsiTheme="minorHAnsi" w:cstheme="minorBidi"/>
              <w:sz w:val="22"/>
              <w:szCs w:val="22"/>
              <w:lang w:eastAsia="en-AU"/>
            </w:rPr>
          </w:pPr>
          <w:hyperlink w:anchor="_Toc5995712" w:history="1">
            <w:r w:rsidR="00814C40" w:rsidRPr="00AC5713">
              <w:rPr>
                <w:rStyle w:val="Hyperlink"/>
              </w:rPr>
              <w:t>Team Updates</w:t>
            </w:r>
            <w:r w:rsidR="00814C40">
              <w:rPr>
                <w:webHidden/>
              </w:rPr>
              <w:tab/>
            </w:r>
            <w:r w:rsidR="00814C40">
              <w:rPr>
                <w:webHidden/>
              </w:rPr>
              <w:fldChar w:fldCharType="begin"/>
            </w:r>
            <w:r w:rsidR="00814C40">
              <w:rPr>
                <w:webHidden/>
              </w:rPr>
              <w:instrText xml:space="preserve"> PAGEREF _Toc5995712 \h </w:instrText>
            </w:r>
            <w:r w:rsidR="00814C40">
              <w:rPr>
                <w:webHidden/>
              </w:rPr>
            </w:r>
            <w:r w:rsidR="00814C40">
              <w:rPr>
                <w:webHidden/>
              </w:rPr>
              <w:fldChar w:fldCharType="separate"/>
            </w:r>
            <w:r w:rsidR="00344A36">
              <w:rPr>
                <w:webHidden/>
              </w:rPr>
              <w:t>4</w:t>
            </w:r>
            <w:r w:rsidR="00814C40">
              <w:rPr>
                <w:webHidden/>
              </w:rPr>
              <w:fldChar w:fldCharType="end"/>
            </w:r>
          </w:hyperlink>
        </w:p>
        <w:p w14:paraId="0A08A205" w14:textId="51A1C026" w:rsidR="00814C40" w:rsidRDefault="00911E9F">
          <w:pPr>
            <w:pStyle w:val="TOC2"/>
            <w:rPr>
              <w:rFonts w:asciiTheme="minorHAnsi" w:eastAsiaTheme="minorEastAsia" w:hAnsiTheme="minorHAnsi" w:cstheme="minorBidi"/>
              <w:noProof/>
              <w:sz w:val="22"/>
              <w:szCs w:val="22"/>
              <w:lang w:eastAsia="en-AU"/>
            </w:rPr>
          </w:pPr>
          <w:hyperlink w:anchor="_Toc5995713" w:history="1">
            <w:r w:rsidR="00814C40" w:rsidRPr="00AC5713">
              <w:rPr>
                <w:rStyle w:val="Hyperlink"/>
                <w:noProof/>
              </w:rPr>
              <w:t>AA Team</w:t>
            </w:r>
            <w:r w:rsidR="00814C40">
              <w:rPr>
                <w:noProof/>
                <w:webHidden/>
              </w:rPr>
              <w:tab/>
            </w:r>
            <w:r w:rsidR="00814C40">
              <w:rPr>
                <w:noProof/>
                <w:webHidden/>
              </w:rPr>
              <w:fldChar w:fldCharType="begin"/>
            </w:r>
            <w:r w:rsidR="00814C40">
              <w:rPr>
                <w:noProof/>
                <w:webHidden/>
              </w:rPr>
              <w:instrText xml:space="preserve"> PAGEREF _Toc5995713 \h </w:instrText>
            </w:r>
            <w:r w:rsidR="00814C40">
              <w:rPr>
                <w:noProof/>
                <w:webHidden/>
              </w:rPr>
            </w:r>
            <w:r w:rsidR="00814C40">
              <w:rPr>
                <w:noProof/>
                <w:webHidden/>
              </w:rPr>
              <w:fldChar w:fldCharType="separate"/>
            </w:r>
            <w:r w:rsidR="00344A36">
              <w:rPr>
                <w:noProof/>
                <w:webHidden/>
              </w:rPr>
              <w:t>4</w:t>
            </w:r>
            <w:r w:rsidR="00814C40">
              <w:rPr>
                <w:noProof/>
                <w:webHidden/>
              </w:rPr>
              <w:fldChar w:fldCharType="end"/>
            </w:r>
          </w:hyperlink>
        </w:p>
        <w:p w14:paraId="083C3ED6" w14:textId="7654B2D0" w:rsidR="00814C40" w:rsidRDefault="00911E9F">
          <w:pPr>
            <w:pStyle w:val="TOC2"/>
            <w:rPr>
              <w:rFonts w:asciiTheme="minorHAnsi" w:eastAsiaTheme="minorEastAsia" w:hAnsiTheme="minorHAnsi" w:cstheme="minorBidi"/>
              <w:noProof/>
              <w:sz w:val="22"/>
              <w:szCs w:val="22"/>
              <w:lang w:eastAsia="en-AU"/>
            </w:rPr>
          </w:pPr>
          <w:hyperlink w:anchor="_Toc5995714" w:history="1">
            <w:r w:rsidR="00814C40" w:rsidRPr="00AC5713">
              <w:rPr>
                <w:rStyle w:val="Hyperlink"/>
                <w:noProof/>
              </w:rPr>
              <w:t>AAE Team</w:t>
            </w:r>
            <w:r w:rsidR="00814C40">
              <w:rPr>
                <w:noProof/>
                <w:webHidden/>
              </w:rPr>
              <w:tab/>
            </w:r>
            <w:r w:rsidR="00814C40">
              <w:rPr>
                <w:noProof/>
                <w:webHidden/>
              </w:rPr>
              <w:fldChar w:fldCharType="begin"/>
            </w:r>
            <w:r w:rsidR="00814C40">
              <w:rPr>
                <w:noProof/>
                <w:webHidden/>
              </w:rPr>
              <w:instrText xml:space="preserve"> PAGEREF _Toc5995714 \h </w:instrText>
            </w:r>
            <w:r w:rsidR="00814C40">
              <w:rPr>
                <w:noProof/>
                <w:webHidden/>
              </w:rPr>
            </w:r>
            <w:r w:rsidR="00814C40">
              <w:rPr>
                <w:noProof/>
                <w:webHidden/>
              </w:rPr>
              <w:fldChar w:fldCharType="separate"/>
            </w:r>
            <w:r w:rsidR="00344A36">
              <w:rPr>
                <w:noProof/>
                <w:webHidden/>
              </w:rPr>
              <w:t>4</w:t>
            </w:r>
            <w:r w:rsidR="00814C40">
              <w:rPr>
                <w:noProof/>
                <w:webHidden/>
              </w:rPr>
              <w:fldChar w:fldCharType="end"/>
            </w:r>
          </w:hyperlink>
        </w:p>
        <w:p w14:paraId="0A4340E2" w14:textId="47C94335" w:rsidR="00814C40" w:rsidRDefault="00911E9F">
          <w:pPr>
            <w:pStyle w:val="TOC2"/>
            <w:rPr>
              <w:rFonts w:asciiTheme="minorHAnsi" w:eastAsiaTheme="minorEastAsia" w:hAnsiTheme="minorHAnsi" w:cstheme="minorBidi"/>
              <w:noProof/>
              <w:sz w:val="22"/>
              <w:szCs w:val="22"/>
              <w:lang w:eastAsia="en-AU"/>
            </w:rPr>
          </w:pPr>
          <w:hyperlink w:anchor="_Toc5995715" w:history="1">
            <w:r w:rsidR="00814C40" w:rsidRPr="00AC5713">
              <w:rPr>
                <w:rStyle w:val="Hyperlink"/>
                <w:noProof/>
              </w:rPr>
              <w:t>R&amp;C Team</w:t>
            </w:r>
            <w:r w:rsidR="00814C40">
              <w:rPr>
                <w:noProof/>
                <w:webHidden/>
              </w:rPr>
              <w:tab/>
            </w:r>
            <w:r w:rsidR="00814C40">
              <w:rPr>
                <w:noProof/>
                <w:webHidden/>
              </w:rPr>
              <w:fldChar w:fldCharType="begin"/>
            </w:r>
            <w:r w:rsidR="00814C40">
              <w:rPr>
                <w:noProof/>
                <w:webHidden/>
              </w:rPr>
              <w:instrText xml:space="preserve"> PAGEREF _Toc5995715 \h </w:instrText>
            </w:r>
            <w:r w:rsidR="00814C40">
              <w:rPr>
                <w:noProof/>
                <w:webHidden/>
              </w:rPr>
            </w:r>
            <w:r w:rsidR="00814C40">
              <w:rPr>
                <w:noProof/>
                <w:webHidden/>
              </w:rPr>
              <w:fldChar w:fldCharType="separate"/>
            </w:r>
            <w:r w:rsidR="00344A36">
              <w:rPr>
                <w:noProof/>
                <w:webHidden/>
              </w:rPr>
              <w:t>4</w:t>
            </w:r>
            <w:r w:rsidR="00814C40">
              <w:rPr>
                <w:noProof/>
                <w:webHidden/>
              </w:rPr>
              <w:fldChar w:fldCharType="end"/>
            </w:r>
          </w:hyperlink>
        </w:p>
        <w:p w14:paraId="511CC6DD" w14:textId="77CCA96E" w:rsidR="00814C40" w:rsidRDefault="00911E9F">
          <w:pPr>
            <w:pStyle w:val="TOC2"/>
            <w:rPr>
              <w:rFonts w:asciiTheme="minorHAnsi" w:eastAsiaTheme="minorEastAsia" w:hAnsiTheme="minorHAnsi" w:cstheme="minorBidi"/>
              <w:noProof/>
              <w:sz w:val="22"/>
              <w:szCs w:val="22"/>
              <w:lang w:eastAsia="en-AU"/>
            </w:rPr>
          </w:pPr>
          <w:hyperlink w:anchor="_Toc5995716" w:history="1">
            <w:r w:rsidR="00814C40" w:rsidRPr="00AC5713">
              <w:rPr>
                <w:rStyle w:val="Hyperlink"/>
                <w:noProof/>
              </w:rPr>
              <w:t>Relationship Team</w:t>
            </w:r>
            <w:r w:rsidR="00814C40">
              <w:rPr>
                <w:noProof/>
                <w:webHidden/>
              </w:rPr>
              <w:tab/>
            </w:r>
            <w:r w:rsidR="00814C40">
              <w:rPr>
                <w:noProof/>
                <w:webHidden/>
              </w:rPr>
              <w:fldChar w:fldCharType="begin"/>
            </w:r>
            <w:r w:rsidR="00814C40">
              <w:rPr>
                <w:noProof/>
                <w:webHidden/>
              </w:rPr>
              <w:instrText xml:space="preserve"> PAGEREF _Toc5995716 \h </w:instrText>
            </w:r>
            <w:r w:rsidR="00814C40">
              <w:rPr>
                <w:noProof/>
                <w:webHidden/>
              </w:rPr>
            </w:r>
            <w:r w:rsidR="00814C40">
              <w:rPr>
                <w:noProof/>
                <w:webHidden/>
              </w:rPr>
              <w:fldChar w:fldCharType="separate"/>
            </w:r>
            <w:r w:rsidR="00344A36">
              <w:rPr>
                <w:noProof/>
                <w:webHidden/>
              </w:rPr>
              <w:t>4</w:t>
            </w:r>
            <w:r w:rsidR="00814C40">
              <w:rPr>
                <w:noProof/>
                <w:webHidden/>
              </w:rPr>
              <w:fldChar w:fldCharType="end"/>
            </w:r>
          </w:hyperlink>
        </w:p>
        <w:p w14:paraId="5805DEEE" w14:textId="15AC6E50" w:rsidR="00814C40" w:rsidRDefault="00911E9F">
          <w:pPr>
            <w:pStyle w:val="TOC2"/>
            <w:rPr>
              <w:rFonts w:asciiTheme="minorHAnsi" w:eastAsiaTheme="minorEastAsia" w:hAnsiTheme="minorHAnsi" w:cstheme="minorBidi"/>
              <w:noProof/>
              <w:sz w:val="22"/>
              <w:szCs w:val="22"/>
              <w:lang w:eastAsia="en-AU"/>
            </w:rPr>
          </w:pPr>
          <w:hyperlink w:anchor="_Toc5995717" w:history="1">
            <w:r w:rsidR="00814C40" w:rsidRPr="00AC5713">
              <w:rPr>
                <w:rStyle w:val="Hyperlink"/>
                <w:noProof/>
              </w:rPr>
              <w:t>SMF Team Photo</w:t>
            </w:r>
            <w:r w:rsidR="00814C40">
              <w:rPr>
                <w:noProof/>
                <w:webHidden/>
              </w:rPr>
              <w:tab/>
            </w:r>
            <w:r w:rsidR="00814C40">
              <w:rPr>
                <w:noProof/>
                <w:webHidden/>
              </w:rPr>
              <w:fldChar w:fldCharType="begin"/>
            </w:r>
            <w:r w:rsidR="00814C40">
              <w:rPr>
                <w:noProof/>
                <w:webHidden/>
              </w:rPr>
              <w:instrText xml:space="preserve"> PAGEREF _Toc5995717 \h </w:instrText>
            </w:r>
            <w:r w:rsidR="00814C40">
              <w:rPr>
                <w:noProof/>
                <w:webHidden/>
              </w:rPr>
            </w:r>
            <w:r w:rsidR="00814C40">
              <w:rPr>
                <w:noProof/>
                <w:webHidden/>
              </w:rPr>
              <w:fldChar w:fldCharType="separate"/>
            </w:r>
            <w:r w:rsidR="00344A36">
              <w:rPr>
                <w:noProof/>
                <w:webHidden/>
              </w:rPr>
              <w:t>5</w:t>
            </w:r>
            <w:r w:rsidR="00814C40">
              <w:rPr>
                <w:noProof/>
                <w:webHidden/>
              </w:rPr>
              <w:fldChar w:fldCharType="end"/>
            </w:r>
          </w:hyperlink>
        </w:p>
        <w:p w14:paraId="744637B6" w14:textId="0421D329" w:rsidR="00814C40" w:rsidRDefault="00911E9F">
          <w:pPr>
            <w:pStyle w:val="TOC1"/>
            <w:rPr>
              <w:rFonts w:asciiTheme="minorHAnsi" w:eastAsiaTheme="minorEastAsia" w:hAnsiTheme="minorHAnsi" w:cstheme="minorBidi"/>
              <w:sz w:val="22"/>
              <w:szCs w:val="22"/>
              <w:lang w:eastAsia="en-AU"/>
            </w:rPr>
          </w:pPr>
          <w:hyperlink w:anchor="_Toc5995718" w:history="1">
            <w:r w:rsidR="00814C40" w:rsidRPr="00AC5713">
              <w:rPr>
                <w:rStyle w:val="Hyperlink"/>
              </w:rPr>
              <w:t>Active Stock Positions</w:t>
            </w:r>
            <w:r w:rsidR="00814C40">
              <w:rPr>
                <w:webHidden/>
              </w:rPr>
              <w:tab/>
            </w:r>
            <w:r w:rsidR="00814C40">
              <w:rPr>
                <w:webHidden/>
              </w:rPr>
              <w:fldChar w:fldCharType="begin"/>
            </w:r>
            <w:r w:rsidR="00814C40">
              <w:rPr>
                <w:webHidden/>
              </w:rPr>
              <w:instrText xml:space="preserve"> PAGEREF _Toc5995718 \h </w:instrText>
            </w:r>
            <w:r w:rsidR="00814C40">
              <w:rPr>
                <w:webHidden/>
              </w:rPr>
            </w:r>
            <w:r w:rsidR="00814C40">
              <w:rPr>
                <w:webHidden/>
              </w:rPr>
              <w:fldChar w:fldCharType="separate"/>
            </w:r>
            <w:r w:rsidR="00344A36">
              <w:rPr>
                <w:webHidden/>
              </w:rPr>
              <w:t>6</w:t>
            </w:r>
            <w:r w:rsidR="00814C40">
              <w:rPr>
                <w:webHidden/>
              </w:rPr>
              <w:fldChar w:fldCharType="end"/>
            </w:r>
          </w:hyperlink>
        </w:p>
        <w:p w14:paraId="44D4267F" w14:textId="5F833654" w:rsidR="00814C40" w:rsidRDefault="00911E9F">
          <w:pPr>
            <w:pStyle w:val="TOC2"/>
            <w:rPr>
              <w:rFonts w:asciiTheme="minorHAnsi" w:eastAsiaTheme="minorEastAsia" w:hAnsiTheme="minorHAnsi" w:cstheme="minorBidi"/>
              <w:noProof/>
              <w:sz w:val="22"/>
              <w:szCs w:val="22"/>
              <w:lang w:eastAsia="en-AU"/>
            </w:rPr>
          </w:pPr>
          <w:hyperlink w:anchor="_Toc5995719" w:history="1">
            <w:r w:rsidR="00814C40" w:rsidRPr="00AC5713">
              <w:rPr>
                <w:rStyle w:val="Hyperlink"/>
                <w:noProof/>
              </w:rPr>
              <w:t>Stock Spotlight: Bingo Industries</w:t>
            </w:r>
            <w:r w:rsidR="00814C40">
              <w:rPr>
                <w:noProof/>
                <w:webHidden/>
              </w:rPr>
              <w:tab/>
            </w:r>
            <w:r w:rsidR="00814C40">
              <w:rPr>
                <w:noProof/>
                <w:webHidden/>
              </w:rPr>
              <w:fldChar w:fldCharType="begin"/>
            </w:r>
            <w:r w:rsidR="00814C40">
              <w:rPr>
                <w:noProof/>
                <w:webHidden/>
              </w:rPr>
              <w:instrText xml:space="preserve"> PAGEREF _Toc5995719 \h </w:instrText>
            </w:r>
            <w:r w:rsidR="00814C40">
              <w:rPr>
                <w:noProof/>
                <w:webHidden/>
              </w:rPr>
            </w:r>
            <w:r w:rsidR="00814C40">
              <w:rPr>
                <w:noProof/>
                <w:webHidden/>
              </w:rPr>
              <w:fldChar w:fldCharType="separate"/>
            </w:r>
            <w:r w:rsidR="00344A36">
              <w:rPr>
                <w:noProof/>
                <w:webHidden/>
              </w:rPr>
              <w:t>6</w:t>
            </w:r>
            <w:r w:rsidR="00814C40">
              <w:rPr>
                <w:noProof/>
                <w:webHidden/>
              </w:rPr>
              <w:fldChar w:fldCharType="end"/>
            </w:r>
          </w:hyperlink>
        </w:p>
        <w:p w14:paraId="19D5A6D6" w14:textId="6127B744" w:rsidR="00814C40" w:rsidRDefault="00911E9F">
          <w:pPr>
            <w:pStyle w:val="TOC1"/>
            <w:rPr>
              <w:rFonts w:asciiTheme="minorHAnsi" w:eastAsiaTheme="minorEastAsia" w:hAnsiTheme="minorHAnsi" w:cstheme="minorBidi"/>
              <w:sz w:val="22"/>
              <w:szCs w:val="22"/>
              <w:lang w:eastAsia="en-AU"/>
            </w:rPr>
          </w:pPr>
          <w:hyperlink w:anchor="_Toc5995720" w:history="1">
            <w:r w:rsidR="00814C40" w:rsidRPr="00AC5713">
              <w:rPr>
                <w:rStyle w:val="Hyperlink"/>
                <w:bdr w:val="none" w:sz="0" w:space="0" w:color="auto" w:frame="1"/>
              </w:rPr>
              <w:t>Portfolio Overview</w:t>
            </w:r>
            <w:r w:rsidR="00814C40">
              <w:rPr>
                <w:webHidden/>
              </w:rPr>
              <w:tab/>
            </w:r>
            <w:r w:rsidR="00814C40">
              <w:rPr>
                <w:webHidden/>
              </w:rPr>
              <w:fldChar w:fldCharType="begin"/>
            </w:r>
            <w:r w:rsidR="00814C40">
              <w:rPr>
                <w:webHidden/>
              </w:rPr>
              <w:instrText xml:space="preserve"> PAGEREF _Toc5995720 \h </w:instrText>
            </w:r>
            <w:r w:rsidR="00814C40">
              <w:rPr>
                <w:webHidden/>
              </w:rPr>
            </w:r>
            <w:r w:rsidR="00814C40">
              <w:rPr>
                <w:webHidden/>
              </w:rPr>
              <w:fldChar w:fldCharType="separate"/>
            </w:r>
            <w:r w:rsidR="00344A36">
              <w:rPr>
                <w:webHidden/>
              </w:rPr>
              <w:t>7</w:t>
            </w:r>
            <w:r w:rsidR="00814C40">
              <w:rPr>
                <w:webHidden/>
              </w:rPr>
              <w:fldChar w:fldCharType="end"/>
            </w:r>
          </w:hyperlink>
        </w:p>
        <w:p w14:paraId="346E2B45" w14:textId="0190B3CF" w:rsidR="00814C40" w:rsidRDefault="00911E9F">
          <w:pPr>
            <w:pStyle w:val="TOC2"/>
            <w:rPr>
              <w:rFonts w:asciiTheme="minorHAnsi" w:eastAsiaTheme="minorEastAsia" w:hAnsiTheme="minorHAnsi" w:cstheme="minorBidi"/>
              <w:noProof/>
              <w:sz w:val="22"/>
              <w:szCs w:val="22"/>
              <w:lang w:eastAsia="en-AU"/>
            </w:rPr>
          </w:pPr>
          <w:hyperlink w:anchor="_Toc5995721" w:history="1">
            <w:r w:rsidR="00814C40" w:rsidRPr="00AC5713">
              <w:rPr>
                <w:rStyle w:val="Hyperlink"/>
                <w:noProof/>
              </w:rPr>
              <w:t>Attribution Analysis</w:t>
            </w:r>
            <w:r w:rsidR="00814C40">
              <w:rPr>
                <w:noProof/>
                <w:webHidden/>
              </w:rPr>
              <w:tab/>
            </w:r>
            <w:r w:rsidR="00814C40">
              <w:rPr>
                <w:noProof/>
                <w:webHidden/>
              </w:rPr>
              <w:fldChar w:fldCharType="begin"/>
            </w:r>
            <w:r w:rsidR="00814C40">
              <w:rPr>
                <w:noProof/>
                <w:webHidden/>
              </w:rPr>
              <w:instrText xml:space="preserve"> PAGEREF _Toc5995721 \h </w:instrText>
            </w:r>
            <w:r w:rsidR="00814C40">
              <w:rPr>
                <w:noProof/>
                <w:webHidden/>
              </w:rPr>
            </w:r>
            <w:r w:rsidR="00814C40">
              <w:rPr>
                <w:noProof/>
                <w:webHidden/>
              </w:rPr>
              <w:fldChar w:fldCharType="separate"/>
            </w:r>
            <w:r w:rsidR="00344A36">
              <w:rPr>
                <w:noProof/>
                <w:webHidden/>
              </w:rPr>
              <w:t>9</w:t>
            </w:r>
            <w:r w:rsidR="00814C40">
              <w:rPr>
                <w:noProof/>
                <w:webHidden/>
              </w:rPr>
              <w:fldChar w:fldCharType="end"/>
            </w:r>
          </w:hyperlink>
        </w:p>
        <w:p w14:paraId="017ED382" w14:textId="143B9497" w:rsidR="00814C40" w:rsidRDefault="00911E9F">
          <w:pPr>
            <w:pStyle w:val="TOC1"/>
            <w:rPr>
              <w:rFonts w:asciiTheme="minorHAnsi" w:eastAsiaTheme="minorEastAsia" w:hAnsiTheme="minorHAnsi" w:cstheme="minorBidi"/>
              <w:sz w:val="22"/>
              <w:szCs w:val="22"/>
              <w:lang w:eastAsia="en-AU"/>
            </w:rPr>
          </w:pPr>
          <w:hyperlink w:anchor="_Toc5995722" w:history="1">
            <w:r w:rsidR="00814C40" w:rsidRPr="00AC5713">
              <w:rPr>
                <w:rStyle w:val="Hyperlink"/>
              </w:rPr>
              <w:t>Socially Responsible Investment (SRI) Report</w:t>
            </w:r>
            <w:r w:rsidR="00814C40">
              <w:rPr>
                <w:webHidden/>
              </w:rPr>
              <w:tab/>
            </w:r>
            <w:r w:rsidR="00814C40">
              <w:rPr>
                <w:webHidden/>
              </w:rPr>
              <w:fldChar w:fldCharType="begin"/>
            </w:r>
            <w:r w:rsidR="00814C40">
              <w:rPr>
                <w:webHidden/>
              </w:rPr>
              <w:instrText xml:space="preserve"> PAGEREF _Toc5995722 \h </w:instrText>
            </w:r>
            <w:r w:rsidR="00814C40">
              <w:rPr>
                <w:webHidden/>
              </w:rPr>
            </w:r>
            <w:r w:rsidR="00814C40">
              <w:rPr>
                <w:webHidden/>
              </w:rPr>
              <w:fldChar w:fldCharType="separate"/>
            </w:r>
            <w:r w:rsidR="00344A36">
              <w:rPr>
                <w:webHidden/>
              </w:rPr>
              <w:t>10</w:t>
            </w:r>
            <w:r w:rsidR="00814C40">
              <w:rPr>
                <w:webHidden/>
              </w:rPr>
              <w:fldChar w:fldCharType="end"/>
            </w:r>
          </w:hyperlink>
        </w:p>
        <w:p w14:paraId="31A32A9B" w14:textId="6F48A5C1" w:rsidR="001040F0" w:rsidRPr="002C3CF3" w:rsidRDefault="007933C9" w:rsidP="00A250F3">
          <w:pPr>
            <w:pStyle w:val="TOC1"/>
            <w:spacing w:line="240" w:lineRule="auto"/>
            <w:rPr>
              <w:rFonts w:eastAsiaTheme="minorEastAsia"/>
              <w:sz w:val="22"/>
              <w:szCs w:val="22"/>
              <w:lang w:eastAsia="en-AU"/>
            </w:rPr>
          </w:pPr>
          <w:r w:rsidRPr="002C3CF3">
            <w:rPr>
              <w:b/>
              <w:bCs/>
              <w:sz w:val="20"/>
              <w:szCs w:val="20"/>
            </w:rPr>
            <w:fldChar w:fldCharType="end"/>
          </w:r>
        </w:p>
      </w:sdtContent>
    </w:sdt>
    <w:p w14:paraId="13F0E7C3" w14:textId="44A5833A" w:rsidR="009E2493" w:rsidRPr="002C3CF3" w:rsidRDefault="00BF3830" w:rsidP="00A250F3">
      <w:pPr>
        <w:pStyle w:val="Heading1"/>
        <w:spacing w:before="360" w:line="240" w:lineRule="auto"/>
        <w:rPr>
          <w:sz w:val="24"/>
          <w:szCs w:val="24"/>
          <w:lang w:eastAsia="zh-CN"/>
        </w:rPr>
      </w:pPr>
      <w:bookmarkStart w:id="1" w:name="_Toc5995709"/>
      <w:bookmarkStart w:id="2" w:name="_Toc385405354"/>
      <w:r w:rsidRPr="002C3CF3">
        <w:rPr>
          <w:sz w:val="24"/>
          <w:szCs w:val="24"/>
          <w:lang w:eastAsia="zh-CN"/>
        </w:rPr>
        <w:t>Glossary</w:t>
      </w:r>
      <w:bookmarkEnd w:id="1"/>
      <w:r w:rsidR="009E2493" w:rsidRPr="002C3CF3">
        <w:t xml:space="preserve"> </w:t>
      </w:r>
    </w:p>
    <w:p w14:paraId="1BF7CF13" w14:textId="77777777" w:rsidR="009E2493" w:rsidRPr="002C3CF3" w:rsidRDefault="009E2493" w:rsidP="00A250F3">
      <w:pPr>
        <w:spacing w:before="60"/>
        <w:rPr>
          <w:sz w:val="20"/>
          <w:szCs w:val="20"/>
        </w:rPr>
      </w:pPr>
      <w:r w:rsidRPr="002C3CF3">
        <w:rPr>
          <w:b/>
          <w:sz w:val="20"/>
          <w:szCs w:val="20"/>
        </w:rPr>
        <w:t xml:space="preserve">AA </w:t>
      </w:r>
      <w:r w:rsidRPr="002C3CF3">
        <w:rPr>
          <w:sz w:val="20"/>
          <w:szCs w:val="20"/>
        </w:rPr>
        <w:t xml:space="preserve">– </w:t>
      </w:r>
      <w:r w:rsidR="001C7CD7" w:rsidRPr="002C3CF3">
        <w:rPr>
          <w:sz w:val="20"/>
          <w:szCs w:val="20"/>
        </w:rPr>
        <w:t>Asset Allocation</w:t>
      </w:r>
    </w:p>
    <w:p w14:paraId="0CCFDE54" w14:textId="397D2CDC" w:rsidR="001C7CD7" w:rsidRDefault="009E2493" w:rsidP="00A250F3">
      <w:pPr>
        <w:spacing w:before="60"/>
        <w:rPr>
          <w:sz w:val="20"/>
          <w:szCs w:val="20"/>
        </w:rPr>
      </w:pPr>
      <w:r w:rsidRPr="002C3CF3">
        <w:rPr>
          <w:b/>
          <w:sz w:val="20"/>
          <w:szCs w:val="20"/>
        </w:rPr>
        <w:t xml:space="preserve">AAE </w:t>
      </w:r>
      <w:r w:rsidRPr="002C3CF3">
        <w:rPr>
          <w:sz w:val="20"/>
          <w:szCs w:val="20"/>
        </w:rPr>
        <w:t>–</w:t>
      </w:r>
      <w:r w:rsidR="001C7CD7" w:rsidRPr="002C3CF3">
        <w:rPr>
          <w:sz w:val="20"/>
          <w:szCs w:val="20"/>
        </w:rPr>
        <w:t xml:space="preserve"> Active Australian Equities</w:t>
      </w:r>
    </w:p>
    <w:p w14:paraId="122ED1F6" w14:textId="4FA690C5" w:rsidR="00D45997" w:rsidRPr="002C3CF3" w:rsidRDefault="00D45997" w:rsidP="00A250F3">
      <w:pPr>
        <w:spacing w:before="60"/>
        <w:rPr>
          <w:sz w:val="20"/>
          <w:szCs w:val="20"/>
        </w:rPr>
      </w:pPr>
      <w:r w:rsidRPr="002C3CF3">
        <w:rPr>
          <w:b/>
          <w:sz w:val="20"/>
          <w:szCs w:val="20"/>
        </w:rPr>
        <w:t>A</w:t>
      </w:r>
      <w:r>
        <w:rPr>
          <w:b/>
          <w:sz w:val="20"/>
          <w:szCs w:val="20"/>
        </w:rPr>
        <w:t>CCC</w:t>
      </w:r>
      <w:r w:rsidRPr="002C3CF3">
        <w:rPr>
          <w:b/>
          <w:sz w:val="20"/>
          <w:szCs w:val="20"/>
        </w:rPr>
        <w:t xml:space="preserve"> </w:t>
      </w:r>
      <w:r w:rsidRPr="002C3CF3">
        <w:rPr>
          <w:sz w:val="20"/>
          <w:szCs w:val="20"/>
        </w:rPr>
        <w:t xml:space="preserve">– </w:t>
      </w:r>
      <w:r w:rsidRPr="00D45997">
        <w:rPr>
          <w:sz w:val="20"/>
          <w:szCs w:val="20"/>
        </w:rPr>
        <w:t>Australian Competition and Consumer Commission</w:t>
      </w:r>
    </w:p>
    <w:p w14:paraId="1D90E880" w14:textId="77777777" w:rsidR="009E2493" w:rsidRPr="002C3CF3" w:rsidRDefault="009E2493" w:rsidP="00A250F3">
      <w:pPr>
        <w:spacing w:before="60"/>
        <w:rPr>
          <w:sz w:val="20"/>
          <w:szCs w:val="20"/>
        </w:rPr>
      </w:pPr>
      <w:r w:rsidRPr="002C3CF3">
        <w:rPr>
          <w:b/>
          <w:sz w:val="20"/>
          <w:szCs w:val="20"/>
        </w:rPr>
        <w:t xml:space="preserve">ANU </w:t>
      </w:r>
      <w:r w:rsidRPr="002C3CF3">
        <w:rPr>
          <w:sz w:val="20"/>
          <w:szCs w:val="20"/>
        </w:rPr>
        <w:t>– The Australian National University</w:t>
      </w:r>
    </w:p>
    <w:p w14:paraId="52637391" w14:textId="77777777" w:rsidR="004E4F67" w:rsidRPr="002C3CF3" w:rsidRDefault="004E4F67" w:rsidP="00A250F3">
      <w:pPr>
        <w:spacing w:before="60"/>
        <w:rPr>
          <w:sz w:val="20"/>
          <w:szCs w:val="20"/>
        </w:rPr>
      </w:pPr>
      <w:r w:rsidRPr="002C3CF3">
        <w:rPr>
          <w:b/>
          <w:sz w:val="20"/>
          <w:szCs w:val="20"/>
        </w:rPr>
        <w:t>BIN</w:t>
      </w:r>
      <w:r w:rsidRPr="002C3CF3">
        <w:rPr>
          <w:sz w:val="20"/>
          <w:szCs w:val="20"/>
        </w:rPr>
        <w:t xml:space="preserve"> – Bingo Industries</w:t>
      </w:r>
    </w:p>
    <w:p w14:paraId="60293BD1" w14:textId="41353E5B" w:rsidR="00BB07B6" w:rsidRDefault="000464A2" w:rsidP="00A250F3">
      <w:pPr>
        <w:spacing w:before="60"/>
        <w:rPr>
          <w:sz w:val="20"/>
          <w:szCs w:val="20"/>
        </w:rPr>
      </w:pPr>
      <w:r w:rsidRPr="002C3CF3">
        <w:rPr>
          <w:b/>
          <w:sz w:val="20"/>
          <w:szCs w:val="20"/>
        </w:rPr>
        <w:t xml:space="preserve">CIO </w:t>
      </w:r>
      <w:r w:rsidRPr="00BB07B6">
        <w:rPr>
          <w:sz w:val="20"/>
          <w:szCs w:val="20"/>
        </w:rPr>
        <w:t>–</w:t>
      </w:r>
      <w:r w:rsidRPr="002C3CF3">
        <w:rPr>
          <w:b/>
          <w:sz w:val="20"/>
          <w:szCs w:val="20"/>
        </w:rPr>
        <w:t xml:space="preserve"> </w:t>
      </w:r>
      <w:r w:rsidRPr="002C3CF3">
        <w:rPr>
          <w:sz w:val="20"/>
          <w:szCs w:val="20"/>
        </w:rPr>
        <w:t>Chief Investment Officer</w:t>
      </w:r>
    </w:p>
    <w:p w14:paraId="45524F43" w14:textId="15BA9FE5" w:rsidR="00B10414" w:rsidRPr="00BB07B6" w:rsidRDefault="00BB07B6" w:rsidP="00A250F3">
      <w:pPr>
        <w:spacing w:before="60"/>
        <w:rPr>
          <w:sz w:val="20"/>
          <w:szCs w:val="20"/>
        </w:rPr>
      </w:pPr>
      <w:r>
        <w:rPr>
          <w:b/>
          <w:sz w:val="20"/>
          <w:szCs w:val="20"/>
        </w:rPr>
        <w:t>CRO</w:t>
      </w:r>
      <w:r w:rsidR="00B10414" w:rsidRPr="00B10414">
        <w:rPr>
          <w:sz w:val="20"/>
          <w:szCs w:val="20"/>
        </w:rPr>
        <w:t xml:space="preserve"> </w:t>
      </w:r>
      <w:r w:rsidR="00B10414" w:rsidRPr="00BB07B6">
        <w:rPr>
          <w:sz w:val="20"/>
          <w:szCs w:val="20"/>
        </w:rPr>
        <w:t>–</w:t>
      </w:r>
      <w:r w:rsidR="00B10414" w:rsidRPr="002C3CF3">
        <w:rPr>
          <w:b/>
          <w:sz w:val="20"/>
          <w:szCs w:val="20"/>
        </w:rPr>
        <w:t xml:space="preserve"> </w:t>
      </w:r>
      <w:r w:rsidR="00B10414" w:rsidRPr="002C3CF3">
        <w:rPr>
          <w:sz w:val="20"/>
          <w:szCs w:val="20"/>
        </w:rPr>
        <w:t xml:space="preserve">Chief </w:t>
      </w:r>
      <w:r w:rsidR="00B10414">
        <w:rPr>
          <w:sz w:val="20"/>
          <w:szCs w:val="20"/>
        </w:rPr>
        <w:t>Risk</w:t>
      </w:r>
      <w:r w:rsidR="00B10414" w:rsidRPr="002C3CF3">
        <w:rPr>
          <w:sz w:val="20"/>
          <w:szCs w:val="20"/>
        </w:rPr>
        <w:t xml:space="preserve"> Officer</w:t>
      </w:r>
    </w:p>
    <w:p w14:paraId="10F4EE15" w14:textId="6DA06157" w:rsidR="004F3046" w:rsidRDefault="004F3046" w:rsidP="00A250F3">
      <w:pPr>
        <w:spacing w:before="60"/>
        <w:rPr>
          <w:b/>
          <w:sz w:val="20"/>
          <w:szCs w:val="20"/>
        </w:rPr>
      </w:pPr>
      <w:r>
        <w:rPr>
          <w:b/>
          <w:sz w:val="20"/>
          <w:szCs w:val="20"/>
        </w:rPr>
        <w:t>DADI</w:t>
      </w:r>
      <w:r w:rsidRPr="00B10414">
        <w:rPr>
          <w:sz w:val="20"/>
          <w:szCs w:val="20"/>
        </w:rPr>
        <w:t xml:space="preserve"> </w:t>
      </w:r>
      <w:r w:rsidRPr="00BB07B6">
        <w:rPr>
          <w:sz w:val="20"/>
          <w:szCs w:val="20"/>
        </w:rPr>
        <w:t>–</w:t>
      </w:r>
      <w:r w:rsidRPr="002C3CF3">
        <w:rPr>
          <w:b/>
          <w:sz w:val="20"/>
          <w:szCs w:val="20"/>
        </w:rPr>
        <w:t xml:space="preserve"> </w:t>
      </w:r>
      <w:r>
        <w:rPr>
          <w:color w:val="000000"/>
          <w:sz w:val="20"/>
          <w:szCs w:val="20"/>
          <w:bdr w:val="none" w:sz="0" w:space="0" w:color="auto" w:frame="1"/>
          <w:lang w:val="en-GB" w:eastAsia="en-GB"/>
        </w:rPr>
        <w:t>Dial-A-Dump</w:t>
      </w:r>
      <w:r w:rsidRPr="002C3CF3">
        <w:rPr>
          <w:color w:val="000000"/>
          <w:sz w:val="20"/>
          <w:szCs w:val="20"/>
          <w:bdr w:val="none" w:sz="0" w:space="0" w:color="auto" w:frame="1"/>
          <w:lang w:val="en-GB" w:eastAsia="en-GB"/>
        </w:rPr>
        <w:t xml:space="preserve"> </w:t>
      </w:r>
      <w:r>
        <w:rPr>
          <w:color w:val="000000"/>
          <w:sz w:val="20"/>
          <w:szCs w:val="20"/>
          <w:bdr w:val="none" w:sz="0" w:space="0" w:color="auto" w:frame="1"/>
          <w:lang w:val="en-GB" w:eastAsia="en-GB"/>
        </w:rPr>
        <w:t>Industries</w:t>
      </w:r>
    </w:p>
    <w:p w14:paraId="7ED0243C" w14:textId="12BA5253" w:rsidR="005462FB" w:rsidRPr="002C3CF3" w:rsidRDefault="005462FB" w:rsidP="00A250F3">
      <w:pPr>
        <w:spacing w:before="60"/>
        <w:rPr>
          <w:sz w:val="20"/>
          <w:szCs w:val="20"/>
        </w:rPr>
      </w:pPr>
      <w:r w:rsidRPr="002C3CF3">
        <w:rPr>
          <w:b/>
          <w:sz w:val="20"/>
          <w:szCs w:val="20"/>
        </w:rPr>
        <w:t>ESG</w:t>
      </w:r>
      <w:r w:rsidRPr="002C3CF3">
        <w:rPr>
          <w:sz w:val="20"/>
          <w:szCs w:val="20"/>
        </w:rPr>
        <w:t xml:space="preserve"> – Environmental, Social and Governance</w:t>
      </w:r>
    </w:p>
    <w:p w14:paraId="120B074A" w14:textId="77777777" w:rsidR="00B76460" w:rsidRPr="002C3CF3" w:rsidRDefault="00B76460" w:rsidP="00A250F3">
      <w:pPr>
        <w:spacing w:before="60"/>
        <w:rPr>
          <w:sz w:val="20"/>
          <w:szCs w:val="20"/>
        </w:rPr>
      </w:pPr>
      <w:r w:rsidRPr="002C3CF3">
        <w:rPr>
          <w:b/>
          <w:sz w:val="20"/>
          <w:szCs w:val="20"/>
        </w:rPr>
        <w:t>ETF</w:t>
      </w:r>
      <w:r w:rsidRPr="002C3CF3">
        <w:rPr>
          <w:sz w:val="20"/>
          <w:szCs w:val="20"/>
        </w:rPr>
        <w:t xml:space="preserve"> – Exchanged-</w:t>
      </w:r>
      <w:r w:rsidR="004448A0" w:rsidRPr="002C3CF3">
        <w:rPr>
          <w:sz w:val="20"/>
          <w:szCs w:val="20"/>
        </w:rPr>
        <w:t>T</w:t>
      </w:r>
      <w:r w:rsidRPr="002C3CF3">
        <w:rPr>
          <w:sz w:val="20"/>
          <w:szCs w:val="20"/>
        </w:rPr>
        <w:t>raded Fund</w:t>
      </w:r>
    </w:p>
    <w:p w14:paraId="4C234E2A" w14:textId="77777777" w:rsidR="00B76460" w:rsidRPr="002C3CF3" w:rsidRDefault="00B76460" w:rsidP="00A250F3">
      <w:pPr>
        <w:spacing w:before="60"/>
        <w:rPr>
          <w:sz w:val="20"/>
          <w:szCs w:val="20"/>
        </w:rPr>
      </w:pPr>
      <w:r w:rsidRPr="002C3CF3">
        <w:rPr>
          <w:b/>
          <w:sz w:val="20"/>
          <w:szCs w:val="20"/>
        </w:rPr>
        <w:t xml:space="preserve">IAC </w:t>
      </w:r>
      <w:r w:rsidRPr="002C3CF3">
        <w:rPr>
          <w:sz w:val="20"/>
          <w:szCs w:val="20"/>
        </w:rPr>
        <w:t>– Investment Advisory Committee</w:t>
      </w:r>
    </w:p>
    <w:p w14:paraId="017A8883" w14:textId="77777777" w:rsidR="00D323AC" w:rsidRPr="002C3CF3" w:rsidRDefault="00D323AC" w:rsidP="00A250F3">
      <w:pPr>
        <w:spacing w:before="60"/>
        <w:rPr>
          <w:sz w:val="20"/>
          <w:szCs w:val="20"/>
        </w:rPr>
      </w:pPr>
      <w:r w:rsidRPr="002C3CF3">
        <w:rPr>
          <w:b/>
          <w:sz w:val="20"/>
          <w:szCs w:val="20"/>
        </w:rPr>
        <w:t xml:space="preserve">IP </w:t>
      </w:r>
      <w:r w:rsidRPr="002C3CF3">
        <w:rPr>
          <w:sz w:val="20"/>
          <w:szCs w:val="20"/>
        </w:rPr>
        <w:t>– Investment Process</w:t>
      </w:r>
    </w:p>
    <w:p w14:paraId="54D3C89B" w14:textId="77777777" w:rsidR="00B76460" w:rsidRPr="002C3CF3" w:rsidRDefault="00B76460" w:rsidP="00A250F3">
      <w:pPr>
        <w:spacing w:before="60"/>
        <w:rPr>
          <w:b/>
          <w:sz w:val="20"/>
          <w:szCs w:val="20"/>
        </w:rPr>
      </w:pPr>
      <w:r w:rsidRPr="002C3CF3">
        <w:rPr>
          <w:b/>
          <w:sz w:val="20"/>
          <w:szCs w:val="20"/>
        </w:rPr>
        <w:t>LTIP</w:t>
      </w:r>
      <w:r w:rsidRPr="002C3CF3">
        <w:rPr>
          <w:sz w:val="20"/>
          <w:szCs w:val="20"/>
        </w:rPr>
        <w:t xml:space="preserve"> – Long Term Investment Pool</w:t>
      </w:r>
    </w:p>
    <w:p w14:paraId="61CD5084" w14:textId="70A2C1FC" w:rsidR="006842B5" w:rsidRPr="006842B5" w:rsidRDefault="006842B5" w:rsidP="00A250F3">
      <w:pPr>
        <w:spacing w:before="60"/>
        <w:rPr>
          <w:sz w:val="20"/>
          <w:szCs w:val="20"/>
        </w:rPr>
      </w:pPr>
      <w:r>
        <w:rPr>
          <w:b/>
          <w:sz w:val="20"/>
          <w:szCs w:val="20"/>
        </w:rPr>
        <w:t xml:space="preserve">NSW </w:t>
      </w:r>
      <w:r w:rsidRPr="006842B5">
        <w:rPr>
          <w:sz w:val="20"/>
          <w:szCs w:val="20"/>
        </w:rPr>
        <w:t>–</w:t>
      </w:r>
      <w:r w:rsidRPr="002C3CF3">
        <w:rPr>
          <w:b/>
          <w:sz w:val="20"/>
          <w:szCs w:val="20"/>
        </w:rPr>
        <w:t xml:space="preserve"> </w:t>
      </w:r>
      <w:r w:rsidRPr="002C3CF3">
        <w:rPr>
          <w:color w:val="000000"/>
          <w:sz w:val="20"/>
          <w:szCs w:val="20"/>
          <w:bdr w:val="none" w:sz="0" w:space="0" w:color="auto" w:frame="1"/>
          <w:lang w:val="en-GB" w:eastAsia="en-GB"/>
        </w:rPr>
        <w:t>N</w:t>
      </w:r>
      <w:r>
        <w:rPr>
          <w:color w:val="000000"/>
          <w:sz w:val="20"/>
          <w:szCs w:val="20"/>
          <w:bdr w:val="none" w:sz="0" w:space="0" w:color="auto" w:frame="1"/>
          <w:lang w:val="en-GB" w:eastAsia="en-GB"/>
        </w:rPr>
        <w:t xml:space="preserve">ew </w:t>
      </w:r>
      <w:r w:rsidRPr="002C3CF3">
        <w:rPr>
          <w:color w:val="000000"/>
          <w:sz w:val="20"/>
          <w:szCs w:val="20"/>
          <w:bdr w:val="none" w:sz="0" w:space="0" w:color="auto" w:frame="1"/>
          <w:lang w:val="en-GB" w:eastAsia="en-GB"/>
        </w:rPr>
        <w:t>S</w:t>
      </w:r>
      <w:r>
        <w:rPr>
          <w:color w:val="000000"/>
          <w:sz w:val="20"/>
          <w:szCs w:val="20"/>
          <w:bdr w:val="none" w:sz="0" w:space="0" w:color="auto" w:frame="1"/>
          <w:lang w:val="en-GB" w:eastAsia="en-GB"/>
        </w:rPr>
        <w:t xml:space="preserve">outh </w:t>
      </w:r>
      <w:r w:rsidRPr="002C3CF3">
        <w:rPr>
          <w:color w:val="000000"/>
          <w:sz w:val="20"/>
          <w:szCs w:val="20"/>
          <w:bdr w:val="none" w:sz="0" w:space="0" w:color="auto" w:frame="1"/>
          <w:lang w:val="en-GB" w:eastAsia="en-GB"/>
        </w:rPr>
        <w:t>W</w:t>
      </w:r>
      <w:r>
        <w:rPr>
          <w:color w:val="000000"/>
          <w:sz w:val="20"/>
          <w:szCs w:val="20"/>
          <w:bdr w:val="none" w:sz="0" w:space="0" w:color="auto" w:frame="1"/>
          <w:lang w:val="en-GB" w:eastAsia="en-GB"/>
        </w:rPr>
        <w:t>ales</w:t>
      </w:r>
    </w:p>
    <w:p w14:paraId="67BF6E4C" w14:textId="77777777" w:rsidR="004E4F67" w:rsidRPr="002C3CF3" w:rsidRDefault="004E4F67" w:rsidP="00A250F3">
      <w:pPr>
        <w:spacing w:before="60"/>
        <w:rPr>
          <w:sz w:val="20"/>
          <w:szCs w:val="20"/>
        </w:rPr>
      </w:pPr>
      <w:r w:rsidRPr="002C3CF3">
        <w:rPr>
          <w:b/>
          <w:sz w:val="20"/>
          <w:szCs w:val="20"/>
        </w:rPr>
        <w:t>R&amp;C</w:t>
      </w:r>
      <w:r w:rsidRPr="002C3CF3">
        <w:rPr>
          <w:sz w:val="20"/>
          <w:szCs w:val="20"/>
        </w:rPr>
        <w:t xml:space="preserve"> – Risk and Compliance</w:t>
      </w:r>
    </w:p>
    <w:p w14:paraId="35F74775" w14:textId="77777777" w:rsidR="004E4F67" w:rsidRPr="002C3CF3" w:rsidRDefault="004E4F67" w:rsidP="00A250F3">
      <w:pPr>
        <w:spacing w:before="60"/>
        <w:rPr>
          <w:sz w:val="20"/>
          <w:szCs w:val="20"/>
        </w:rPr>
      </w:pPr>
      <w:r w:rsidRPr="002C3CF3">
        <w:rPr>
          <w:b/>
          <w:sz w:val="20"/>
          <w:szCs w:val="20"/>
        </w:rPr>
        <w:t>RIO</w:t>
      </w:r>
      <w:r w:rsidRPr="002C3CF3">
        <w:rPr>
          <w:sz w:val="20"/>
          <w:szCs w:val="20"/>
        </w:rPr>
        <w:t xml:space="preserve"> – Rio Tinto Limited</w:t>
      </w:r>
    </w:p>
    <w:p w14:paraId="5BC3B2EE" w14:textId="4B178EC7" w:rsidR="009E2493" w:rsidRPr="002C3CF3" w:rsidRDefault="009E2493" w:rsidP="00A250F3">
      <w:pPr>
        <w:spacing w:before="60"/>
        <w:rPr>
          <w:sz w:val="20"/>
          <w:szCs w:val="20"/>
        </w:rPr>
      </w:pPr>
      <w:r w:rsidRPr="002C3CF3">
        <w:rPr>
          <w:b/>
          <w:sz w:val="20"/>
          <w:szCs w:val="20"/>
        </w:rPr>
        <w:t xml:space="preserve">SMF </w:t>
      </w:r>
      <w:r w:rsidRPr="006842B5">
        <w:rPr>
          <w:sz w:val="20"/>
          <w:szCs w:val="20"/>
        </w:rPr>
        <w:t>–</w:t>
      </w:r>
      <w:r w:rsidRPr="002C3CF3">
        <w:rPr>
          <w:b/>
          <w:sz w:val="20"/>
          <w:szCs w:val="20"/>
        </w:rPr>
        <w:t xml:space="preserve"> </w:t>
      </w:r>
      <w:r w:rsidRPr="002C3CF3">
        <w:rPr>
          <w:sz w:val="20"/>
          <w:szCs w:val="20"/>
        </w:rPr>
        <w:t>Student Managed Fund</w:t>
      </w:r>
    </w:p>
    <w:p w14:paraId="7DB44AD8" w14:textId="77777777" w:rsidR="00B76460" w:rsidRPr="002C3CF3" w:rsidRDefault="009E2493" w:rsidP="00A250F3">
      <w:pPr>
        <w:spacing w:before="60"/>
        <w:rPr>
          <w:sz w:val="20"/>
          <w:szCs w:val="20"/>
        </w:rPr>
      </w:pPr>
      <w:r w:rsidRPr="002C3CF3">
        <w:rPr>
          <w:b/>
          <w:sz w:val="20"/>
          <w:szCs w:val="20"/>
        </w:rPr>
        <w:t xml:space="preserve">SRI </w:t>
      </w:r>
      <w:r w:rsidRPr="006842B5">
        <w:rPr>
          <w:sz w:val="20"/>
          <w:szCs w:val="20"/>
        </w:rPr>
        <w:t>–</w:t>
      </w:r>
      <w:r w:rsidRPr="002C3CF3">
        <w:rPr>
          <w:b/>
          <w:sz w:val="20"/>
          <w:szCs w:val="20"/>
        </w:rPr>
        <w:t xml:space="preserve"> </w:t>
      </w:r>
      <w:r w:rsidRPr="002C3CF3">
        <w:rPr>
          <w:sz w:val="20"/>
          <w:szCs w:val="20"/>
        </w:rPr>
        <w:t>Sociall</w:t>
      </w:r>
      <w:r w:rsidR="001C7CD7" w:rsidRPr="002C3CF3">
        <w:rPr>
          <w:sz w:val="20"/>
          <w:szCs w:val="20"/>
        </w:rPr>
        <w:t>y Responsible Investment</w:t>
      </w:r>
    </w:p>
    <w:p w14:paraId="3CEB883B" w14:textId="4C556255" w:rsidR="00B76460" w:rsidRDefault="00B76460" w:rsidP="00A250F3">
      <w:pPr>
        <w:spacing w:before="60"/>
        <w:rPr>
          <w:sz w:val="20"/>
          <w:szCs w:val="20"/>
        </w:rPr>
      </w:pPr>
      <w:r w:rsidRPr="002C3CF3">
        <w:rPr>
          <w:b/>
          <w:sz w:val="20"/>
          <w:szCs w:val="20"/>
        </w:rPr>
        <w:t>TLS</w:t>
      </w:r>
      <w:r w:rsidRPr="002C3CF3">
        <w:rPr>
          <w:sz w:val="20"/>
          <w:szCs w:val="20"/>
        </w:rPr>
        <w:t xml:space="preserve"> – Telstra Corporation Limited</w:t>
      </w:r>
    </w:p>
    <w:p w14:paraId="02AA3CDC" w14:textId="1AE3488E" w:rsidR="004E4F67" w:rsidRPr="004E4F67" w:rsidRDefault="004E4F67" w:rsidP="00A250F3">
      <w:pPr>
        <w:spacing w:before="60"/>
        <w:rPr>
          <w:b/>
          <w:sz w:val="20"/>
          <w:szCs w:val="20"/>
        </w:rPr>
      </w:pPr>
      <w:r>
        <w:rPr>
          <w:b/>
          <w:sz w:val="20"/>
          <w:szCs w:val="20"/>
        </w:rPr>
        <w:t xml:space="preserve">VIC </w:t>
      </w:r>
      <w:r w:rsidRPr="006842B5">
        <w:rPr>
          <w:sz w:val="20"/>
          <w:szCs w:val="20"/>
        </w:rPr>
        <w:t>–</w:t>
      </w:r>
      <w:r>
        <w:rPr>
          <w:sz w:val="20"/>
          <w:szCs w:val="20"/>
        </w:rPr>
        <w:t xml:space="preserve"> Victoria </w:t>
      </w:r>
    </w:p>
    <w:p w14:paraId="4D102D27" w14:textId="1C6326D0" w:rsidR="006842B5" w:rsidRPr="006842B5" w:rsidRDefault="001C7CD7" w:rsidP="00A250F3">
      <w:pPr>
        <w:rPr>
          <w:sz w:val="20"/>
          <w:szCs w:val="20"/>
        </w:rPr>
      </w:pPr>
      <w:bookmarkStart w:id="3" w:name="_Toc494985951"/>
      <w:bookmarkStart w:id="4" w:name="_Toc496710173"/>
      <w:bookmarkStart w:id="5" w:name="_Toc496709698"/>
      <w:bookmarkStart w:id="6" w:name="_Toc496709553"/>
      <w:bookmarkStart w:id="7" w:name="_Toc496709491"/>
      <w:bookmarkStart w:id="8" w:name="_Toc496709051"/>
      <w:bookmarkStart w:id="9" w:name="_Toc496708862"/>
      <w:bookmarkStart w:id="10" w:name="_Toc495302408"/>
      <w:bookmarkStart w:id="11" w:name="_Toc495301915"/>
      <w:r w:rsidRPr="002C3CF3">
        <w:rPr>
          <w:sz w:val="20"/>
          <w:szCs w:val="20"/>
        </w:rPr>
        <w:br w:type="page"/>
      </w:r>
      <w:bookmarkEnd w:id="3"/>
      <w:bookmarkEnd w:id="4"/>
      <w:bookmarkEnd w:id="5"/>
      <w:bookmarkEnd w:id="6"/>
      <w:bookmarkEnd w:id="7"/>
      <w:bookmarkEnd w:id="8"/>
      <w:bookmarkEnd w:id="9"/>
      <w:bookmarkEnd w:id="10"/>
      <w:bookmarkEnd w:id="11"/>
    </w:p>
    <w:p w14:paraId="768DEFFB" w14:textId="1D2AD1EA" w:rsidR="00C66578" w:rsidRPr="002C3CF3" w:rsidRDefault="00D00196" w:rsidP="00603E4B">
      <w:pPr>
        <w:pStyle w:val="Heading1"/>
        <w:spacing w:before="360" w:after="240" w:line="240" w:lineRule="auto"/>
        <w:rPr>
          <w:sz w:val="24"/>
          <w:szCs w:val="24"/>
          <w:lang w:eastAsia="zh-CN"/>
        </w:rPr>
      </w:pPr>
      <w:bookmarkStart w:id="12" w:name="_Toc5995710"/>
      <w:r w:rsidRPr="002C3CF3">
        <w:rPr>
          <w:sz w:val="24"/>
          <w:szCs w:val="24"/>
          <w:lang w:eastAsia="zh-CN"/>
        </w:rPr>
        <w:lastRenderedPageBreak/>
        <w:t xml:space="preserve">About </w:t>
      </w:r>
      <w:r w:rsidR="00380F71" w:rsidRPr="002C3CF3">
        <w:rPr>
          <w:sz w:val="24"/>
          <w:szCs w:val="24"/>
          <w:lang w:eastAsia="zh-CN"/>
        </w:rPr>
        <w:t>this Report</w:t>
      </w:r>
      <w:bookmarkEnd w:id="12"/>
    </w:p>
    <w:p w14:paraId="3EB4BC52" w14:textId="05D64C21" w:rsidR="00DB7030" w:rsidRDefault="00F27A02" w:rsidP="00BE40D3">
      <w:pPr>
        <w:spacing w:before="180"/>
        <w:jc w:val="both"/>
        <w:rPr>
          <w:sz w:val="20"/>
          <w:szCs w:val="20"/>
          <w:lang w:eastAsia="zh-CN"/>
        </w:rPr>
      </w:pPr>
      <w:r w:rsidRPr="002C3CF3">
        <w:rPr>
          <w:sz w:val="20"/>
          <w:szCs w:val="20"/>
          <w:lang w:eastAsia="zh-CN"/>
        </w:rPr>
        <w:t>The ANU Student Managed Fund</w:t>
      </w:r>
      <w:r w:rsidR="00BE40D3">
        <w:rPr>
          <w:sz w:val="20"/>
          <w:szCs w:val="20"/>
          <w:lang w:eastAsia="zh-CN"/>
        </w:rPr>
        <w:t xml:space="preserve"> (SMF)</w:t>
      </w:r>
      <w:r w:rsidRPr="002C3CF3">
        <w:rPr>
          <w:sz w:val="20"/>
          <w:szCs w:val="20"/>
          <w:lang w:eastAsia="zh-CN"/>
        </w:rPr>
        <w:t xml:space="preserve"> is pleased to report on </w:t>
      </w:r>
      <w:r w:rsidR="00BE40D3">
        <w:rPr>
          <w:sz w:val="20"/>
          <w:szCs w:val="20"/>
          <w:lang w:eastAsia="zh-CN"/>
        </w:rPr>
        <w:t>its</w:t>
      </w:r>
      <w:r w:rsidRPr="002C3CF3">
        <w:rPr>
          <w:sz w:val="20"/>
          <w:szCs w:val="20"/>
          <w:lang w:eastAsia="zh-CN"/>
        </w:rPr>
        <w:t xml:space="preserve"> progress and achievements </w:t>
      </w:r>
      <w:r w:rsidR="001D53CF" w:rsidRPr="002C3CF3">
        <w:rPr>
          <w:sz w:val="20"/>
          <w:szCs w:val="20"/>
          <w:lang w:eastAsia="zh-CN"/>
        </w:rPr>
        <w:t xml:space="preserve">over the first half of Semester 1, 2019. The report features a </w:t>
      </w:r>
      <w:r w:rsidR="00D04A06">
        <w:rPr>
          <w:sz w:val="20"/>
          <w:szCs w:val="20"/>
          <w:lang w:eastAsia="zh-CN"/>
        </w:rPr>
        <w:t>Chief Investment Officer (</w:t>
      </w:r>
      <w:r w:rsidR="001D53CF" w:rsidRPr="002C3CF3">
        <w:rPr>
          <w:sz w:val="20"/>
          <w:szCs w:val="20"/>
          <w:lang w:eastAsia="zh-CN"/>
        </w:rPr>
        <w:t>CIO</w:t>
      </w:r>
      <w:r w:rsidR="00D04A06">
        <w:rPr>
          <w:sz w:val="20"/>
          <w:szCs w:val="20"/>
          <w:lang w:eastAsia="zh-CN"/>
        </w:rPr>
        <w:t>)</w:t>
      </w:r>
      <w:r w:rsidR="001D53CF" w:rsidRPr="002C3CF3">
        <w:rPr>
          <w:sz w:val="20"/>
          <w:szCs w:val="20"/>
          <w:lang w:eastAsia="zh-CN"/>
        </w:rPr>
        <w:t xml:space="preserve"> update, an introduction </w:t>
      </w:r>
      <w:r w:rsidR="00DB7030">
        <w:rPr>
          <w:sz w:val="20"/>
          <w:szCs w:val="20"/>
          <w:lang w:eastAsia="zh-CN"/>
        </w:rPr>
        <w:t>to</w:t>
      </w:r>
      <w:r w:rsidR="001D53CF" w:rsidRPr="002C3CF3">
        <w:rPr>
          <w:sz w:val="20"/>
          <w:szCs w:val="20"/>
          <w:lang w:eastAsia="zh-CN"/>
        </w:rPr>
        <w:t xml:space="preserve"> </w:t>
      </w:r>
      <w:r w:rsidR="00D04A06">
        <w:rPr>
          <w:sz w:val="20"/>
          <w:szCs w:val="20"/>
          <w:lang w:eastAsia="zh-CN"/>
        </w:rPr>
        <w:t xml:space="preserve">the </w:t>
      </w:r>
      <w:r w:rsidR="001D53CF" w:rsidRPr="002C3CF3">
        <w:rPr>
          <w:sz w:val="20"/>
          <w:szCs w:val="20"/>
          <w:lang w:eastAsia="zh-CN"/>
        </w:rPr>
        <w:t xml:space="preserve">new </w:t>
      </w:r>
      <w:r w:rsidR="00DB7030">
        <w:rPr>
          <w:sz w:val="20"/>
          <w:szCs w:val="20"/>
          <w:lang w:eastAsia="zh-CN"/>
        </w:rPr>
        <w:t xml:space="preserve">SMF team </w:t>
      </w:r>
      <w:r w:rsidR="001D53CF" w:rsidRPr="002C3CF3">
        <w:rPr>
          <w:sz w:val="20"/>
          <w:szCs w:val="20"/>
          <w:lang w:eastAsia="zh-CN"/>
        </w:rPr>
        <w:t xml:space="preserve">members and an analysis of the </w:t>
      </w:r>
      <w:r w:rsidR="002B4512">
        <w:rPr>
          <w:sz w:val="20"/>
          <w:szCs w:val="20"/>
          <w:lang w:eastAsia="zh-CN"/>
        </w:rPr>
        <w:t>F</w:t>
      </w:r>
      <w:r w:rsidR="002B4512" w:rsidRPr="002C3CF3">
        <w:rPr>
          <w:sz w:val="20"/>
          <w:szCs w:val="20"/>
          <w:lang w:eastAsia="zh-CN"/>
        </w:rPr>
        <w:t xml:space="preserve">und’s </w:t>
      </w:r>
      <w:r w:rsidR="001D53CF" w:rsidRPr="002C3CF3">
        <w:rPr>
          <w:sz w:val="20"/>
          <w:szCs w:val="20"/>
          <w:lang w:eastAsia="zh-CN"/>
        </w:rPr>
        <w:t>portfolio. We report on performance, including a stock performance summary</w:t>
      </w:r>
      <w:r w:rsidR="00D04A06">
        <w:rPr>
          <w:sz w:val="20"/>
          <w:szCs w:val="20"/>
          <w:lang w:eastAsia="zh-CN"/>
        </w:rPr>
        <w:t xml:space="preserve"> and an</w:t>
      </w:r>
      <w:r w:rsidR="001D53CF" w:rsidRPr="002C3CF3">
        <w:rPr>
          <w:sz w:val="20"/>
          <w:szCs w:val="20"/>
          <w:lang w:eastAsia="zh-CN"/>
        </w:rPr>
        <w:t xml:space="preserve"> attribution analysis of </w:t>
      </w:r>
      <w:r w:rsidR="002B4512">
        <w:rPr>
          <w:sz w:val="20"/>
          <w:szCs w:val="20"/>
          <w:lang w:eastAsia="zh-CN"/>
        </w:rPr>
        <w:t>F</w:t>
      </w:r>
      <w:r w:rsidR="00D04A06">
        <w:rPr>
          <w:sz w:val="20"/>
          <w:szCs w:val="20"/>
          <w:lang w:eastAsia="zh-CN"/>
        </w:rPr>
        <w:t>und</w:t>
      </w:r>
      <w:r w:rsidR="00D04A06" w:rsidRPr="002C3CF3">
        <w:rPr>
          <w:sz w:val="20"/>
          <w:szCs w:val="20"/>
          <w:lang w:eastAsia="zh-CN"/>
        </w:rPr>
        <w:t xml:space="preserve"> </w:t>
      </w:r>
      <w:r w:rsidR="00DB7030">
        <w:rPr>
          <w:sz w:val="20"/>
          <w:szCs w:val="20"/>
          <w:lang w:eastAsia="zh-CN"/>
        </w:rPr>
        <w:t xml:space="preserve">returns versus </w:t>
      </w:r>
      <w:r w:rsidR="001D53CF" w:rsidRPr="002C3CF3">
        <w:rPr>
          <w:sz w:val="20"/>
          <w:szCs w:val="20"/>
          <w:lang w:eastAsia="zh-CN"/>
        </w:rPr>
        <w:t>the benchmark</w:t>
      </w:r>
      <w:r w:rsidR="00DB7030">
        <w:rPr>
          <w:sz w:val="20"/>
          <w:szCs w:val="20"/>
          <w:lang w:eastAsia="zh-CN"/>
        </w:rPr>
        <w:t>. We also</w:t>
      </w:r>
      <w:r w:rsidR="00CB2BFA" w:rsidRPr="002C3CF3">
        <w:rPr>
          <w:sz w:val="20"/>
          <w:szCs w:val="20"/>
          <w:lang w:eastAsia="zh-CN"/>
        </w:rPr>
        <w:t xml:space="preserve"> </w:t>
      </w:r>
      <w:r w:rsidR="001D53CF" w:rsidRPr="002C3CF3">
        <w:rPr>
          <w:sz w:val="20"/>
          <w:szCs w:val="20"/>
          <w:lang w:eastAsia="zh-CN"/>
        </w:rPr>
        <w:t xml:space="preserve">provide a statement of SRI compliance. </w:t>
      </w:r>
    </w:p>
    <w:p w14:paraId="0EC3B0BD" w14:textId="3E2CB010" w:rsidR="00F27A02" w:rsidRPr="002C3CF3" w:rsidRDefault="001D53CF" w:rsidP="00BE40D3">
      <w:pPr>
        <w:spacing w:before="180"/>
        <w:jc w:val="both"/>
        <w:rPr>
          <w:sz w:val="20"/>
          <w:szCs w:val="20"/>
          <w:lang w:eastAsia="zh-CN"/>
        </w:rPr>
      </w:pPr>
      <w:r w:rsidRPr="002C3CF3">
        <w:rPr>
          <w:sz w:val="20"/>
          <w:szCs w:val="20"/>
          <w:lang w:eastAsia="zh-CN"/>
        </w:rPr>
        <w:t xml:space="preserve">The </w:t>
      </w:r>
      <w:r w:rsidR="004E54B4" w:rsidRPr="002C3CF3">
        <w:rPr>
          <w:sz w:val="20"/>
          <w:szCs w:val="20"/>
          <w:lang w:eastAsia="zh-CN"/>
        </w:rPr>
        <w:t xml:space="preserve">SMF team produces a shorter report at mid-semester, </w:t>
      </w:r>
      <w:r w:rsidR="00D04A06">
        <w:rPr>
          <w:sz w:val="20"/>
          <w:szCs w:val="20"/>
          <w:lang w:eastAsia="zh-CN"/>
        </w:rPr>
        <w:t>with</w:t>
      </w:r>
      <w:r w:rsidR="00D04A06" w:rsidRPr="002C3CF3">
        <w:rPr>
          <w:sz w:val="20"/>
          <w:szCs w:val="20"/>
          <w:lang w:eastAsia="zh-CN"/>
        </w:rPr>
        <w:t xml:space="preserve"> </w:t>
      </w:r>
      <w:r w:rsidR="004E54B4" w:rsidRPr="002C3CF3">
        <w:rPr>
          <w:sz w:val="20"/>
          <w:szCs w:val="20"/>
          <w:lang w:eastAsia="zh-CN"/>
        </w:rPr>
        <w:t xml:space="preserve">a more in-depth report </w:t>
      </w:r>
      <w:r w:rsidR="00D04A06">
        <w:rPr>
          <w:sz w:val="20"/>
          <w:szCs w:val="20"/>
          <w:lang w:eastAsia="zh-CN"/>
        </w:rPr>
        <w:t xml:space="preserve">provided </w:t>
      </w:r>
      <w:r w:rsidR="004E54B4" w:rsidRPr="002C3CF3">
        <w:rPr>
          <w:sz w:val="20"/>
          <w:szCs w:val="20"/>
          <w:lang w:eastAsia="zh-CN"/>
        </w:rPr>
        <w:t>at</w:t>
      </w:r>
      <w:r w:rsidR="003C1684" w:rsidRPr="002C3CF3">
        <w:rPr>
          <w:sz w:val="20"/>
          <w:szCs w:val="20"/>
          <w:lang w:eastAsia="zh-CN"/>
        </w:rPr>
        <w:t xml:space="preserve"> </w:t>
      </w:r>
      <w:r w:rsidR="004E54B4" w:rsidRPr="002C3CF3">
        <w:rPr>
          <w:sz w:val="20"/>
          <w:szCs w:val="20"/>
          <w:lang w:eastAsia="zh-CN"/>
        </w:rPr>
        <w:t>end-semester that include</w:t>
      </w:r>
      <w:r w:rsidR="003C1684" w:rsidRPr="002C3CF3">
        <w:rPr>
          <w:sz w:val="20"/>
          <w:szCs w:val="20"/>
          <w:lang w:eastAsia="zh-CN"/>
        </w:rPr>
        <w:t>s</w:t>
      </w:r>
      <w:r w:rsidR="004E54B4" w:rsidRPr="002C3CF3">
        <w:rPr>
          <w:sz w:val="20"/>
          <w:szCs w:val="20"/>
          <w:lang w:eastAsia="zh-CN"/>
        </w:rPr>
        <w:t xml:space="preserve"> commentary by all team leaders and the Course Convenors. </w:t>
      </w:r>
    </w:p>
    <w:p w14:paraId="14BE341F" w14:textId="7744ACAC" w:rsidR="004E54B4" w:rsidRPr="002C3CF3" w:rsidRDefault="00241597" w:rsidP="00BE40D3">
      <w:pPr>
        <w:spacing w:before="180"/>
        <w:jc w:val="both"/>
        <w:rPr>
          <w:i/>
          <w:sz w:val="20"/>
          <w:szCs w:val="20"/>
          <w:lang w:val="en-US"/>
        </w:rPr>
      </w:pPr>
      <w:r w:rsidRPr="002C3CF3">
        <w:rPr>
          <w:sz w:val="20"/>
          <w:szCs w:val="20"/>
          <w:lang w:eastAsia="zh-CN"/>
        </w:rPr>
        <w:t>We would welcome feedback and t</w:t>
      </w:r>
      <w:r w:rsidR="002C3C8B" w:rsidRPr="002C3CF3">
        <w:rPr>
          <w:sz w:val="20"/>
          <w:szCs w:val="20"/>
          <w:lang w:eastAsia="zh-CN"/>
        </w:rPr>
        <w:t>he opportunity to address any further enqu</w:t>
      </w:r>
      <w:r w:rsidR="00762F49" w:rsidRPr="002C3CF3">
        <w:rPr>
          <w:sz w:val="20"/>
          <w:szCs w:val="20"/>
          <w:lang w:eastAsia="zh-CN"/>
        </w:rPr>
        <w:t>i</w:t>
      </w:r>
      <w:r w:rsidR="002C3C8B" w:rsidRPr="002C3CF3">
        <w:rPr>
          <w:sz w:val="20"/>
          <w:szCs w:val="20"/>
          <w:lang w:eastAsia="zh-CN"/>
        </w:rPr>
        <w:t>r</w:t>
      </w:r>
      <w:r w:rsidR="00C22C5C" w:rsidRPr="002C3CF3">
        <w:rPr>
          <w:sz w:val="20"/>
          <w:szCs w:val="20"/>
          <w:lang w:eastAsia="zh-CN"/>
        </w:rPr>
        <w:t>i</w:t>
      </w:r>
      <w:r w:rsidR="002C3C8B" w:rsidRPr="002C3CF3">
        <w:rPr>
          <w:sz w:val="20"/>
          <w:szCs w:val="20"/>
          <w:lang w:eastAsia="zh-CN"/>
        </w:rPr>
        <w:t>es</w:t>
      </w:r>
      <w:r w:rsidR="00E8386E" w:rsidRPr="002C3CF3">
        <w:rPr>
          <w:sz w:val="20"/>
          <w:szCs w:val="20"/>
          <w:lang w:eastAsia="zh-CN"/>
        </w:rPr>
        <w:t>,</w:t>
      </w:r>
      <w:r w:rsidR="001F7E59" w:rsidRPr="002C3CF3">
        <w:rPr>
          <w:sz w:val="20"/>
          <w:szCs w:val="20"/>
          <w:lang w:eastAsia="zh-CN"/>
        </w:rPr>
        <w:t xml:space="preserve"> which </w:t>
      </w:r>
      <w:r w:rsidR="002F156B" w:rsidRPr="002C3CF3">
        <w:rPr>
          <w:sz w:val="20"/>
          <w:szCs w:val="20"/>
          <w:lang w:eastAsia="zh-CN"/>
        </w:rPr>
        <w:t>can be directed to the SMF email add</w:t>
      </w:r>
      <w:r w:rsidR="0064707E" w:rsidRPr="002C3CF3">
        <w:rPr>
          <w:sz w:val="20"/>
          <w:szCs w:val="20"/>
          <w:lang w:eastAsia="zh-CN"/>
        </w:rPr>
        <w:t>ress (</w:t>
      </w:r>
      <w:hyperlink r:id="rId12" w:history="1">
        <w:r w:rsidR="0064707E" w:rsidRPr="002C3CF3">
          <w:rPr>
            <w:rStyle w:val="Hyperlink"/>
            <w:sz w:val="20"/>
            <w:szCs w:val="20"/>
          </w:rPr>
          <w:t>smf.rsfas@anu.edu.au</w:t>
        </w:r>
      </w:hyperlink>
      <w:r w:rsidR="0064707E" w:rsidRPr="002C3CF3">
        <w:rPr>
          <w:sz w:val="20"/>
          <w:szCs w:val="20"/>
        </w:rPr>
        <w:t>).</w:t>
      </w:r>
    </w:p>
    <w:p w14:paraId="16A127B7" w14:textId="02BFAE15" w:rsidR="004E54B4" w:rsidRPr="002C3CF3" w:rsidRDefault="004E54B4" w:rsidP="00BE40D3">
      <w:pPr>
        <w:spacing w:before="180"/>
        <w:rPr>
          <w:i/>
          <w:sz w:val="20"/>
          <w:szCs w:val="20"/>
          <w:lang w:val="en-US"/>
        </w:rPr>
      </w:pPr>
      <w:r w:rsidRPr="002C3CF3">
        <w:rPr>
          <w:i/>
          <w:sz w:val="20"/>
          <w:szCs w:val="20"/>
          <w:lang w:val="en-US"/>
        </w:rPr>
        <w:t xml:space="preserve">Sophie Lebang &amp; Alisha Nath </w:t>
      </w:r>
    </w:p>
    <w:p w14:paraId="488A9056" w14:textId="05CFF971" w:rsidR="00C43657" w:rsidRPr="002C3CF3" w:rsidRDefault="00136215" w:rsidP="00A250F3">
      <w:pPr>
        <w:rPr>
          <w:sz w:val="20"/>
          <w:szCs w:val="20"/>
          <w:lang w:eastAsia="zh-CN"/>
        </w:rPr>
      </w:pPr>
      <w:r w:rsidRPr="002C3CF3">
        <w:rPr>
          <w:i/>
          <w:sz w:val="20"/>
          <w:szCs w:val="20"/>
          <w:lang w:val="en-US"/>
        </w:rPr>
        <w:t xml:space="preserve">Relationship </w:t>
      </w:r>
      <w:r w:rsidR="00FD7983" w:rsidRPr="002C3CF3">
        <w:rPr>
          <w:i/>
          <w:sz w:val="20"/>
          <w:szCs w:val="20"/>
          <w:lang w:val="en-US"/>
        </w:rPr>
        <w:t>Team</w:t>
      </w:r>
    </w:p>
    <w:p w14:paraId="197F0C54" w14:textId="5ABFA58C" w:rsidR="00E82EAA" w:rsidRPr="002C3CF3" w:rsidRDefault="00E82EAA" w:rsidP="00A250F3">
      <w:pPr>
        <w:pStyle w:val="Heading1"/>
        <w:spacing w:before="360" w:line="240" w:lineRule="auto"/>
        <w:rPr>
          <w:sz w:val="24"/>
          <w:szCs w:val="24"/>
          <w:lang w:eastAsia="zh-CN"/>
        </w:rPr>
      </w:pPr>
      <w:bookmarkStart w:id="13" w:name="_Toc5995711"/>
      <w:r w:rsidRPr="002C3CF3">
        <w:rPr>
          <w:sz w:val="24"/>
          <w:szCs w:val="24"/>
          <w:lang w:eastAsia="zh-CN"/>
        </w:rPr>
        <w:t>Chief Investment Officer Report</w:t>
      </w:r>
      <w:bookmarkEnd w:id="13"/>
    </w:p>
    <w:p w14:paraId="5C7CE508" w14:textId="5C078179" w:rsidR="007A16CD" w:rsidRPr="002C3CF3" w:rsidRDefault="007A16CD" w:rsidP="00BE40D3">
      <w:pPr>
        <w:spacing w:before="180"/>
        <w:jc w:val="both"/>
        <w:rPr>
          <w:sz w:val="20"/>
          <w:lang w:eastAsia="zh-CN"/>
        </w:rPr>
      </w:pPr>
      <w:r w:rsidRPr="002C3CF3">
        <w:rPr>
          <w:sz w:val="20"/>
          <w:lang w:eastAsia="zh-CN"/>
        </w:rPr>
        <w:t>The SMF team consists of 18 members in Semester 1, 2019. It is with great pleasure I have been able to welcome our new cohort of students for what</w:t>
      </w:r>
      <w:r w:rsidR="007E2AA1">
        <w:rPr>
          <w:sz w:val="20"/>
          <w:lang w:eastAsia="zh-CN"/>
        </w:rPr>
        <w:t xml:space="preserve"> is already proving to be </w:t>
      </w:r>
      <w:r w:rsidRPr="002C3CF3">
        <w:rPr>
          <w:sz w:val="20"/>
          <w:lang w:eastAsia="zh-CN"/>
        </w:rPr>
        <w:t>another semester of significant learning, development and challenge.</w:t>
      </w:r>
    </w:p>
    <w:p w14:paraId="3E6B4098" w14:textId="4F74883D" w:rsidR="007A16CD" w:rsidRPr="002C3CF3" w:rsidRDefault="007A16CD" w:rsidP="00BE40D3">
      <w:pPr>
        <w:spacing w:before="180"/>
        <w:jc w:val="both"/>
        <w:rPr>
          <w:sz w:val="20"/>
          <w:lang w:eastAsia="zh-CN"/>
        </w:rPr>
      </w:pPr>
      <w:r w:rsidRPr="002C3CF3">
        <w:rPr>
          <w:sz w:val="20"/>
          <w:lang w:eastAsia="zh-CN"/>
        </w:rPr>
        <w:t>On an individual level,</w:t>
      </w:r>
      <w:r w:rsidR="00BE40D3">
        <w:rPr>
          <w:sz w:val="20"/>
          <w:lang w:eastAsia="zh-CN"/>
        </w:rPr>
        <w:t xml:space="preserve"> </w:t>
      </w:r>
      <w:r w:rsidR="00D2676F">
        <w:rPr>
          <w:sz w:val="20"/>
          <w:lang w:eastAsia="zh-CN"/>
        </w:rPr>
        <w:t>taking</w:t>
      </w:r>
      <w:r w:rsidRPr="002C3CF3">
        <w:rPr>
          <w:sz w:val="20"/>
          <w:lang w:eastAsia="zh-CN"/>
        </w:rPr>
        <w:t xml:space="preserve"> over as CIO</w:t>
      </w:r>
      <w:r w:rsidR="00BE40D3">
        <w:rPr>
          <w:sz w:val="20"/>
          <w:lang w:eastAsia="zh-CN"/>
        </w:rPr>
        <w:t xml:space="preserve"> has seen </w:t>
      </w:r>
      <w:r w:rsidRPr="002C3CF3">
        <w:rPr>
          <w:sz w:val="20"/>
          <w:lang w:eastAsia="zh-CN"/>
        </w:rPr>
        <w:t>a dramatic shift in the type of work I am completing and the demands of my role. Indeed, many of our now senior members have also reflected on this transition and the new ways in which we are all being tested. I believe this is a tremendous opportunity for personal growth for us all</w:t>
      </w:r>
      <w:r w:rsidR="005D4ACE">
        <w:rPr>
          <w:sz w:val="20"/>
          <w:lang w:eastAsia="zh-CN"/>
        </w:rPr>
        <w:t xml:space="preserve">. It </w:t>
      </w:r>
      <w:r w:rsidRPr="002C3CF3">
        <w:rPr>
          <w:sz w:val="20"/>
          <w:lang w:eastAsia="zh-CN"/>
        </w:rPr>
        <w:t xml:space="preserve">reaffirms the benefits of our </w:t>
      </w:r>
      <w:r w:rsidRPr="002C3CF3">
        <w:rPr>
          <w:i/>
          <w:sz w:val="20"/>
          <w:lang w:eastAsia="zh-CN"/>
        </w:rPr>
        <w:t>Legacy</w:t>
      </w:r>
      <w:r w:rsidRPr="002C3CF3">
        <w:rPr>
          <w:sz w:val="20"/>
          <w:lang w:eastAsia="zh-CN"/>
        </w:rPr>
        <w:t xml:space="preserve"> value</w:t>
      </w:r>
      <w:r w:rsidR="00D2676F">
        <w:rPr>
          <w:sz w:val="20"/>
          <w:lang w:eastAsia="zh-CN"/>
        </w:rPr>
        <w:t>,</w:t>
      </w:r>
      <w:r w:rsidRPr="002C3CF3">
        <w:rPr>
          <w:sz w:val="20"/>
          <w:lang w:eastAsia="zh-CN"/>
        </w:rPr>
        <w:t xml:space="preserve"> in which we prioritise the ongoing cycle of learning (junior members) and leading (senior members).</w:t>
      </w:r>
    </w:p>
    <w:p w14:paraId="3399D525" w14:textId="3B8BB24D" w:rsidR="007A16CD" w:rsidRPr="002C3CF3" w:rsidRDefault="007A16CD" w:rsidP="00BE40D3">
      <w:pPr>
        <w:spacing w:before="180"/>
        <w:jc w:val="both"/>
        <w:rPr>
          <w:sz w:val="20"/>
          <w:lang w:eastAsia="zh-CN"/>
        </w:rPr>
      </w:pPr>
      <w:r w:rsidRPr="002C3CF3">
        <w:rPr>
          <w:sz w:val="20"/>
          <w:lang w:eastAsia="zh-CN"/>
        </w:rPr>
        <w:t xml:space="preserve">Across our sub-teams, I see the significant work our individual teams are </w:t>
      </w:r>
      <w:r w:rsidR="00293C59">
        <w:rPr>
          <w:sz w:val="20"/>
          <w:lang w:eastAsia="zh-CN"/>
        </w:rPr>
        <w:t>producing,</w:t>
      </w:r>
      <w:r w:rsidR="00D2676F" w:rsidRPr="002C3CF3">
        <w:rPr>
          <w:sz w:val="20"/>
          <w:lang w:eastAsia="zh-CN"/>
        </w:rPr>
        <w:t xml:space="preserve"> </w:t>
      </w:r>
      <w:r w:rsidRPr="002C3CF3">
        <w:rPr>
          <w:sz w:val="20"/>
          <w:lang w:eastAsia="zh-CN"/>
        </w:rPr>
        <w:t xml:space="preserve">and the exciting progress being made. Our </w:t>
      </w:r>
      <w:r w:rsidR="00D2676F">
        <w:rPr>
          <w:sz w:val="20"/>
          <w:lang w:eastAsia="zh-CN"/>
        </w:rPr>
        <w:t>A</w:t>
      </w:r>
      <w:r w:rsidR="00D2676F" w:rsidRPr="002C3CF3">
        <w:rPr>
          <w:sz w:val="20"/>
          <w:lang w:eastAsia="zh-CN"/>
        </w:rPr>
        <w:t xml:space="preserve">ctive </w:t>
      </w:r>
      <w:r w:rsidRPr="002C3CF3">
        <w:rPr>
          <w:sz w:val="20"/>
          <w:lang w:eastAsia="zh-CN"/>
        </w:rPr>
        <w:t xml:space="preserve">Australian </w:t>
      </w:r>
      <w:r w:rsidR="002B0DB5">
        <w:rPr>
          <w:sz w:val="20"/>
          <w:lang w:eastAsia="zh-CN"/>
        </w:rPr>
        <w:t>E</w:t>
      </w:r>
      <w:r w:rsidR="002B0DB5" w:rsidRPr="002C3CF3">
        <w:rPr>
          <w:sz w:val="20"/>
          <w:lang w:eastAsia="zh-CN"/>
        </w:rPr>
        <w:t xml:space="preserve">quities </w:t>
      </w:r>
      <w:r w:rsidRPr="002C3CF3">
        <w:rPr>
          <w:sz w:val="20"/>
          <w:lang w:eastAsia="zh-CN"/>
        </w:rPr>
        <w:t xml:space="preserve">(AAE) team have completed their candidate stock analysis, presented </w:t>
      </w:r>
      <w:r w:rsidR="00D2676F">
        <w:rPr>
          <w:sz w:val="20"/>
          <w:lang w:eastAsia="zh-CN"/>
        </w:rPr>
        <w:t>it</w:t>
      </w:r>
      <w:r w:rsidRPr="002C3CF3">
        <w:rPr>
          <w:sz w:val="20"/>
          <w:lang w:eastAsia="zh-CN"/>
        </w:rPr>
        <w:t xml:space="preserve"> to the SMF</w:t>
      </w:r>
      <w:r w:rsidR="005D4ACE">
        <w:rPr>
          <w:sz w:val="20"/>
          <w:lang w:eastAsia="zh-CN"/>
        </w:rPr>
        <w:t xml:space="preserve"> team</w:t>
      </w:r>
      <w:r w:rsidRPr="002C3CF3">
        <w:rPr>
          <w:sz w:val="20"/>
          <w:lang w:eastAsia="zh-CN"/>
        </w:rPr>
        <w:t xml:space="preserve">, and are now </w:t>
      </w:r>
      <w:r w:rsidR="005D4ACE">
        <w:rPr>
          <w:sz w:val="20"/>
          <w:lang w:eastAsia="zh-CN"/>
        </w:rPr>
        <w:t xml:space="preserve">undertaking </w:t>
      </w:r>
      <w:r w:rsidRPr="002C3CF3">
        <w:rPr>
          <w:sz w:val="20"/>
          <w:lang w:eastAsia="zh-CN"/>
        </w:rPr>
        <w:t xml:space="preserve">further in-depth research. Our </w:t>
      </w:r>
      <w:r w:rsidR="002B0DB5">
        <w:rPr>
          <w:sz w:val="20"/>
          <w:lang w:eastAsia="zh-CN"/>
        </w:rPr>
        <w:t>A</w:t>
      </w:r>
      <w:r w:rsidR="002B0DB5" w:rsidRPr="002C3CF3">
        <w:rPr>
          <w:sz w:val="20"/>
          <w:lang w:eastAsia="zh-CN"/>
        </w:rPr>
        <w:t xml:space="preserve">sset </w:t>
      </w:r>
      <w:r w:rsidR="002B0DB5">
        <w:rPr>
          <w:sz w:val="20"/>
          <w:lang w:eastAsia="zh-CN"/>
        </w:rPr>
        <w:t>A</w:t>
      </w:r>
      <w:r w:rsidR="002B0DB5" w:rsidRPr="002C3CF3">
        <w:rPr>
          <w:sz w:val="20"/>
          <w:lang w:eastAsia="zh-CN"/>
        </w:rPr>
        <w:t xml:space="preserve">llocation </w:t>
      </w:r>
      <w:r w:rsidRPr="002C3CF3">
        <w:rPr>
          <w:sz w:val="20"/>
          <w:lang w:eastAsia="zh-CN"/>
        </w:rPr>
        <w:t xml:space="preserve">(AA) team </w:t>
      </w:r>
      <w:r w:rsidR="00D2676F">
        <w:rPr>
          <w:sz w:val="20"/>
          <w:lang w:eastAsia="zh-CN"/>
        </w:rPr>
        <w:t xml:space="preserve">are progressing towards the challenging task of </w:t>
      </w:r>
      <w:r w:rsidRPr="002C3CF3">
        <w:rPr>
          <w:sz w:val="20"/>
          <w:lang w:eastAsia="zh-CN"/>
        </w:rPr>
        <w:t xml:space="preserve">finalising their </w:t>
      </w:r>
      <w:r w:rsidR="00D2676F">
        <w:rPr>
          <w:sz w:val="20"/>
          <w:lang w:eastAsia="zh-CN"/>
        </w:rPr>
        <w:t>I</w:t>
      </w:r>
      <w:r w:rsidR="00D2676F" w:rsidRPr="002C3CF3">
        <w:rPr>
          <w:sz w:val="20"/>
          <w:lang w:eastAsia="zh-CN"/>
        </w:rPr>
        <w:t xml:space="preserve">nvestment </w:t>
      </w:r>
      <w:r w:rsidR="00D2676F">
        <w:rPr>
          <w:sz w:val="20"/>
          <w:lang w:eastAsia="zh-CN"/>
        </w:rPr>
        <w:t>P</w:t>
      </w:r>
      <w:r w:rsidR="00D2676F" w:rsidRPr="002C3CF3">
        <w:rPr>
          <w:sz w:val="20"/>
          <w:lang w:eastAsia="zh-CN"/>
        </w:rPr>
        <w:t xml:space="preserve">rocess </w:t>
      </w:r>
      <w:r w:rsidRPr="002C3CF3">
        <w:rPr>
          <w:sz w:val="20"/>
          <w:lang w:eastAsia="zh-CN"/>
        </w:rPr>
        <w:t xml:space="preserve">(IP). Our </w:t>
      </w:r>
      <w:r w:rsidR="002B0DB5">
        <w:rPr>
          <w:sz w:val="20"/>
          <w:lang w:eastAsia="zh-CN"/>
        </w:rPr>
        <w:t>R</w:t>
      </w:r>
      <w:r w:rsidR="002B0DB5" w:rsidRPr="002C3CF3">
        <w:rPr>
          <w:sz w:val="20"/>
          <w:lang w:eastAsia="zh-CN"/>
        </w:rPr>
        <w:t xml:space="preserve">isk </w:t>
      </w:r>
      <w:r w:rsidRPr="002C3CF3">
        <w:rPr>
          <w:sz w:val="20"/>
          <w:lang w:eastAsia="zh-CN"/>
        </w:rPr>
        <w:t xml:space="preserve">and </w:t>
      </w:r>
      <w:r w:rsidR="002B0DB5">
        <w:rPr>
          <w:sz w:val="20"/>
          <w:lang w:eastAsia="zh-CN"/>
        </w:rPr>
        <w:t>C</w:t>
      </w:r>
      <w:r w:rsidR="002B0DB5" w:rsidRPr="002C3CF3">
        <w:rPr>
          <w:sz w:val="20"/>
          <w:lang w:eastAsia="zh-CN"/>
        </w:rPr>
        <w:t xml:space="preserve">ompliance </w:t>
      </w:r>
      <w:r w:rsidR="00293C59" w:rsidRPr="002C3CF3">
        <w:rPr>
          <w:sz w:val="20"/>
          <w:lang w:eastAsia="zh-CN"/>
        </w:rPr>
        <w:t>(R&amp;C)</w:t>
      </w:r>
      <w:r w:rsidR="00293C59">
        <w:rPr>
          <w:sz w:val="20"/>
          <w:lang w:eastAsia="zh-CN"/>
        </w:rPr>
        <w:t xml:space="preserve"> </w:t>
      </w:r>
      <w:r w:rsidRPr="002C3CF3">
        <w:rPr>
          <w:sz w:val="20"/>
          <w:lang w:eastAsia="zh-CN"/>
        </w:rPr>
        <w:t xml:space="preserve">team continue to advance the reporting and performance attribution processes </w:t>
      </w:r>
      <w:r w:rsidR="005D4ACE">
        <w:rPr>
          <w:sz w:val="20"/>
          <w:lang w:eastAsia="zh-CN"/>
        </w:rPr>
        <w:t>that</w:t>
      </w:r>
      <w:r w:rsidRPr="002C3CF3">
        <w:rPr>
          <w:sz w:val="20"/>
          <w:lang w:eastAsia="zh-CN"/>
        </w:rPr>
        <w:t xml:space="preserve"> underpin this report</w:t>
      </w:r>
      <w:r w:rsidR="002B4512">
        <w:rPr>
          <w:sz w:val="20"/>
          <w:lang w:eastAsia="zh-CN"/>
        </w:rPr>
        <w:t>,</w:t>
      </w:r>
      <w:r w:rsidR="003C7DCD">
        <w:rPr>
          <w:sz w:val="20"/>
          <w:lang w:eastAsia="zh-CN"/>
        </w:rPr>
        <w:t xml:space="preserve"> while</w:t>
      </w:r>
      <w:r w:rsidRPr="002C3CF3">
        <w:rPr>
          <w:sz w:val="20"/>
          <w:lang w:eastAsia="zh-CN"/>
        </w:rPr>
        <w:t xml:space="preserve"> also developing a risk management framework for the Fund. Lastly, our </w:t>
      </w:r>
      <w:r w:rsidR="005D4ACE">
        <w:rPr>
          <w:sz w:val="20"/>
          <w:lang w:eastAsia="zh-CN"/>
        </w:rPr>
        <w:t>R</w:t>
      </w:r>
      <w:r w:rsidRPr="002C3CF3">
        <w:rPr>
          <w:sz w:val="20"/>
          <w:lang w:eastAsia="zh-CN"/>
        </w:rPr>
        <w:t>elationship team is at the centre of much exciting activity, including the establishment of a website and social media platforms. We believe these actions are vital for the development of the Fund and our commitment to engaging with parties within and outside of the ANU.</w:t>
      </w:r>
      <w:r w:rsidR="00803706">
        <w:rPr>
          <w:sz w:val="20"/>
          <w:lang w:eastAsia="zh-CN"/>
        </w:rPr>
        <w:t xml:space="preserve"> </w:t>
      </w:r>
      <w:r w:rsidR="005D4ACE">
        <w:rPr>
          <w:sz w:val="20"/>
          <w:lang w:eastAsia="zh-CN"/>
        </w:rPr>
        <w:t xml:space="preserve">An </w:t>
      </w:r>
      <w:r w:rsidR="006A7EF7">
        <w:rPr>
          <w:sz w:val="20"/>
          <w:lang w:eastAsia="zh-CN"/>
        </w:rPr>
        <w:t xml:space="preserve">example of </w:t>
      </w:r>
      <w:r w:rsidR="00803706">
        <w:rPr>
          <w:sz w:val="20"/>
          <w:lang w:eastAsia="zh-CN"/>
        </w:rPr>
        <w:t xml:space="preserve">this engagement </w:t>
      </w:r>
      <w:r w:rsidR="005D4ACE">
        <w:rPr>
          <w:sz w:val="20"/>
          <w:lang w:eastAsia="zh-CN"/>
        </w:rPr>
        <w:t>is</w:t>
      </w:r>
      <w:r w:rsidR="006A7EF7">
        <w:rPr>
          <w:sz w:val="20"/>
          <w:lang w:eastAsia="zh-CN"/>
        </w:rPr>
        <w:t xml:space="preserve"> the </w:t>
      </w:r>
      <w:r w:rsidR="006A7EF7" w:rsidRPr="002B4512">
        <w:rPr>
          <w:sz w:val="20"/>
          <w:lang w:eastAsia="zh-CN"/>
        </w:rPr>
        <w:t>Fund’s</w:t>
      </w:r>
      <w:r w:rsidR="006A7EF7">
        <w:rPr>
          <w:sz w:val="20"/>
          <w:lang w:eastAsia="zh-CN"/>
        </w:rPr>
        <w:t xml:space="preserve"> participation in t</w:t>
      </w:r>
      <w:r w:rsidR="00D20689">
        <w:rPr>
          <w:sz w:val="20"/>
          <w:lang w:eastAsia="zh-CN"/>
        </w:rPr>
        <w:t xml:space="preserve">he College of Business and Economics (CBE) Student Information Market </w:t>
      </w:r>
      <w:r w:rsidR="0038060A">
        <w:rPr>
          <w:sz w:val="20"/>
          <w:lang w:eastAsia="zh-CN"/>
        </w:rPr>
        <w:t>in February</w:t>
      </w:r>
      <w:r w:rsidR="00D67527" w:rsidRPr="00062FC2">
        <w:rPr>
          <w:sz w:val="20"/>
          <w:lang w:eastAsia="zh-CN"/>
        </w:rPr>
        <w:t xml:space="preserve">. </w:t>
      </w:r>
      <w:r w:rsidR="00D67527" w:rsidRPr="006D0A67">
        <w:rPr>
          <w:sz w:val="20"/>
          <w:lang w:eastAsia="zh-CN"/>
        </w:rPr>
        <w:t xml:space="preserve">We </w:t>
      </w:r>
      <w:r w:rsidR="005D4ACE" w:rsidRPr="006D0A67">
        <w:rPr>
          <w:sz w:val="20"/>
          <w:lang w:eastAsia="zh-CN"/>
        </w:rPr>
        <w:t xml:space="preserve">will </w:t>
      </w:r>
      <w:r w:rsidR="006A7EF7" w:rsidRPr="006D0A67">
        <w:rPr>
          <w:sz w:val="20"/>
          <w:lang w:eastAsia="zh-CN"/>
        </w:rPr>
        <w:t xml:space="preserve">participate again in </w:t>
      </w:r>
      <w:r w:rsidR="00D01D4B" w:rsidRPr="006D0A67">
        <w:rPr>
          <w:sz w:val="20"/>
          <w:lang w:eastAsia="zh-CN"/>
        </w:rPr>
        <w:t>May and</w:t>
      </w:r>
      <w:r w:rsidR="005D4ACE" w:rsidRPr="006D0A67">
        <w:rPr>
          <w:sz w:val="20"/>
          <w:lang w:eastAsia="zh-CN"/>
        </w:rPr>
        <w:t xml:space="preserve"> </w:t>
      </w:r>
      <w:r w:rsidR="00D67527" w:rsidRPr="006D0A67">
        <w:rPr>
          <w:sz w:val="20"/>
          <w:lang w:eastAsia="zh-CN"/>
        </w:rPr>
        <w:t xml:space="preserve">attend various Finance classes to </w:t>
      </w:r>
      <w:r w:rsidR="000E2AFB" w:rsidRPr="006D0A67">
        <w:rPr>
          <w:sz w:val="20"/>
          <w:lang w:eastAsia="zh-CN"/>
        </w:rPr>
        <w:t xml:space="preserve">raise awareness of the Fund </w:t>
      </w:r>
      <w:r w:rsidR="00136780" w:rsidRPr="006D0A67">
        <w:rPr>
          <w:sz w:val="20"/>
          <w:lang w:eastAsia="zh-CN"/>
        </w:rPr>
        <w:t>and</w:t>
      </w:r>
      <w:r w:rsidR="00D01D4B" w:rsidRPr="006D0A67">
        <w:rPr>
          <w:sz w:val="20"/>
          <w:lang w:eastAsia="zh-CN"/>
        </w:rPr>
        <w:t xml:space="preserve"> </w:t>
      </w:r>
      <w:r w:rsidR="000E2AFB" w:rsidRPr="006D0A67">
        <w:rPr>
          <w:sz w:val="20"/>
          <w:lang w:eastAsia="zh-CN"/>
        </w:rPr>
        <w:t>engag</w:t>
      </w:r>
      <w:r w:rsidR="00136780" w:rsidRPr="006D0A67">
        <w:rPr>
          <w:sz w:val="20"/>
          <w:lang w:eastAsia="zh-CN"/>
        </w:rPr>
        <w:t>e</w:t>
      </w:r>
      <w:r w:rsidR="000E2AFB" w:rsidRPr="006D0A67">
        <w:rPr>
          <w:sz w:val="20"/>
          <w:lang w:eastAsia="zh-CN"/>
        </w:rPr>
        <w:t xml:space="preserve"> with potential applicants.</w:t>
      </w:r>
      <w:r w:rsidR="000E2AFB">
        <w:rPr>
          <w:sz w:val="20"/>
          <w:lang w:eastAsia="zh-CN"/>
        </w:rPr>
        <w:t xml:space="preserve"> </w:t>
      </w:r>
    </w:p>
    <w:p w14:paraId="2F92C2AF" w14:textId="4CC5EB5C" w:rsidR="007A16CD" w:rsidRPr="002C3CF3" w:rsidRDefault="006952B5" w:rsidP="00BE40D3">
      <w:pPr>
        <w:spacing w:before="180"/>
        <w:jc w:val="both"/>
        <w:rPr>
          <w:sz w:val="20"/>
          <w:lang w:eastAsia="zh-CN"/>
        </w:rPr>
      </w:pPr>
      <w:r w:rsidRPr="006D0A67">
        <w:rPr>
          <w:sz w:val="20"/>
          <w:lang w:eastAsia="zh-CN"/>
        </w:rPr>
        <w:t xml:space="preserve">I am pleased to report </w:t>
      </w:r>
      <w:r w:rsidR="00D765AF" w:rsidRPr="006D0A67">
        <w:rPr>
          <w:sz w:val="20"/>
          <w:lang w:eastAsia="zh-CN"/>
        </w:rPr>
        <w:t xml:space="preserve">that the Fund is </w:t>
      </w:r>
      <w:r w:rsidR="00277648" w:rsidRPr="006D0A67">
        <w:rPr>
          <w:sz w:val="20"/>
          <w:lang w:eastAsia="zh-CN"/>
        </w:rPr>
        <w:t xml:space="preserve">achieving our return objectives. </w:t>
      </w:r>
      <w:r w:rsidR="00136780" w:rsidRPr="006D0A67">
        <w:rPr>
          <w:sz w:val="20"/>
          <w:lang w:eastAsia="zh-CN"/>
        </w:rPr>
        <w:t>One year since funds were invested into the SMF reference portfolio w</w:t>
      </w:r>
      <w:r w:rsidR="00B55D32" w:rsidRPr="006D0A67">
        <w:rPr>
          <w:sz w:val="20"/>
          <w:lang w:eastAsia="zh-CN"/>
        </w:rPr>
        <w:t xml:space="preserve">e have generated a </w:t>
      </w:r>
      <w:r w:rsidR="00B55D32" w:rsidRPr="00207DD5">
        <w:rPr>
          <w:sz w:val="20"/>
          <w:lang w:eastAsia="zh-CN"/>
        </w:rPr>
        <w:t xml:space="preserve">return of </w:t>
      </w:r>
      <w:r w:rsidR="005A7ECC" w:rsidRPr="00207DD5">
        <w:rPr>
          <w:sz w:val="20"/>
          <w:lang w:eastAsia="zh-CN"/>
        </w:rPr>
        <w:t>8.83</w:t>
      </w:r>
      <w:r w:rsidR="00F22905" w:rsidRPr="00207DD5">
        <w:rPr>
          <w:sz w:val="20"/>
          <w:lang w:eastAsia="zh-CN"/>
        </w:rPr>
        <w:t>%</w:t>
      </w:r>
      <w:r w:rsidR="00172C3F" w:rsidRPr="00207DD5">
        <w:rPr>
          <w:sz w:val="20"/>
          <w:lang w:eastAsia="zh-CN"/>
        </w:rPr>
        <w:t xml:space="preserve"> against the</w:t>
      </w:r>
      <w:r w:rsidR="00F22905" w:rsidRPr="006D0A67">
        <w:rPr>
          <w:sz w:val="20"/>
          <w:lang w:eastAsia="zh-CN"/>
        </w:rPr>
        <w:t xml:space="preserve"> </w:t>
      </w:r>
      <w:r w:rsidR="00172C3F" w:rsidRPr="006D0A67">
        <w:rPr>
          <w:sz w:val="20"/>
          <w:lang w:eastAsia="zh-CN"/>
        </w:rPr>
        <w:t>nominal</w:t>
      </w:r>
      <w:r w:rsidR="00F22905" w:rsidRPr="006D0A67">
        <w:rPr>
          <w:sz w:val="20"/>
          <w:lang w:eastAsia="zh-CN"/>
        </w:rPr>
        <w:t xml:space="preserve"> target return of 7%. </w:t>
      </w:r>
      <w:r w:rsidR="00634806" w:rsidRPr="006D0A67">
        <w:rPr>
          <w:sz w:val="20"/>
          <w:lang w:eastAsia="zh-CN"/>
        </w:rPr>
        <w:t>The Fund’s holdings in Rio Tinto (RIO) and Telstra</w:t>
      </w:r>
      <w:r w:rsidR="00C32082">
        <w:rPr>
          <w:sz w:val="20"/>
          <w:lang w:eastAsia="zh-CN"/>
        </w:rPr>
        <w:t xml:space="preserve"> </w:t>
      </w:r>
      <w:r w:rsidR="00634806" w:rsidRPr="006D0A67">
        <w:rPr>
          <w:sz w:val="20"/>
          <w:lang w:eastAsia="zh-CN"/>
        </w:rPr>
        <w:t xml:space="preserve">(TLS) have </w:t>
      </w:r>
      <w:r w:rsidR="008A4D3D" w:rsidRPr="006D0A67">
        <w:rPr>
          <w:sz w:val="20"/>
          <w:lang w:eastAsia="zh-CN"/>
        </w:rPr>
        <w:t xml:space="preserve">provided positive </w:t>
      </w:r>
      <w:r w:rsidR="00634806" w:rsidRPr="006D0A67">
        <w:rPr>
          <w:sz w:val="20"/>
          <w:lang w:eastAsia="zh-CN"/>
        </w:rPr>
        <w:t>contribut</w:t>
      </w:r>
      <w:r w:rsidR="008A4D3D" w:rsidRPr="006D0A67">
        <w:rPr>
          <w:sz w:val="20"/>
          <w:lang w:eastAsia="zh-CN"/>
        </w:rPr>
        <w:t>ions</w:t>
      </w:r>
      <w:r w:rsidR="00DD3D86" w:rsidRPr="006D0A67">
        <w:rPr>
          <w:sz w:val="20"/>
          <w:lang w:eastAsia="zh-CN"/>
        </w:rPr>
        <w:t>,</w:t>
      </w:r>
      <w:r w:rsidR="008A4D3D" w:rsidRPr="006D0A67">
        <w:rPr>
          <w:sz w:val="20"/>
          <w:lang w:eastAsia="zh-CN"/>
        </w:rPr>
        <w:t xml:space="preserve"> </w:t>
      </w:r>
      <w:r w:rsidR="006E76B7" w:rsidRPr="006D0A67">
        <w:rPr>
          <w:sz w:val="20"/>
          <w:lang w:eastAsia="zh-CN"/>
        </w:rPr>
        <w:t xml:space="preserve">while </w:t>
      </w:r>
      <w:r w:rsidR="003257C4" w:rsidRPr="006D0A67">
        <w:rPr>
          <w:sz w:val="20"/>
          <w:lang w:eastAsia="zh-CN"/>
        </w:rPr>
        <w:t xml:space="preserve">Bingo Industries (BIN) has </w:t>
      </w:r>
      <w:r w:rsidR="008F6F7A" w:rsidRPr="006D0A67">
        <w:rPr>
          <w:sz w:val="20"/>
          <w:lang w:eastAsia="zh-CN"/>
        </w:rPr>
        <w:t>proved more challenging.</w:t>
      </w:r>
      <w:r w:rsidR="008F6F7A" w:rsidRPr="00062FC2">
        <w:rPr>
          <w:sz w:val="20"/>
          <w:lang w:eastAsia="zh-CN"/>
        </w:rPr>
        <w:t xml:space="preserve"> </w:t>
      </w:r>
      <w:r w:rsidR="007A16CD" w:rsidRPr="00062FC2">
        <w:rPr>
          <w:sz w:val="20"/>
          <w:lang w:eastAsia="zh-CN"/>
        </w:rPr>
        <w:t xml:space="preserve">Although covered in </w:t>
      </w:r>
      <w:r w:rsidR="00DD3D86" w:rsidRPr="00062FC2">
        <w:rPr>
          <w:sz w:val="20"/>
          <w:lang w:eastAsia="zh-CN"/>
        </w:rPr>
        <w:t>a ‘Spotlight’</w:t>
      </w:r>
      <w:r w:rsidR="007A16CD" w:rsidRPr="00062FC2">
        <w:rPr>
          <w:sz w:val="20"/>
          <w:lang w:eastAsia="zh-CN"/>
        </w:rPr>
        <w:t xml:space="preserve"> within this report, I would like to address the Fund’s </w:t>
      </w:r>
      <w:r w:rsidR="00C32082">
        <w:rPr>
          <w:sz w:val="20"/>
          <w:lang w:eastAsia="zh-CN"/>
        </w:rPr>
        <w:t xml:space="preserve">Bingo </w:t>
      </w:r>
      <w:r w:rsidR="007A16CD" w:rsidRPr="00062FC2">
        <w:rPr>
          <w:sz w:val="20"/>
          <w:lang w:eastAsia="zh-CN"/>
        </w:rPr>
        <w:t>position</w:t>
      </w:r>
      <w:r w:rsidR="003257C4" w:rsidRPr="00062FC2">
        <w:rPr>
          <w:sz w:val="20"/>
          <w:lang w:eastAsia="zh-CN"/>
        </w:rPr>
        <w:t xml:space="preserve">. </w:t>
      </w:r>
      <w:r w:rsidR="007A16CD" w:rsidRPr="00062FC2">
        <w:rPr>
          <w:sz w:val="20"/>
          <w:lang w:eastAsia="zh-CN"/>
        </w:rPr>
        <w:t>Bingo</w:t>
      </w:r>
      <w:r w:rsidR="007A16CD" w:rsidRPr="002C3CF3">
        <w:rPr>
          <w:sz w:val="20"/>
          <w:lang w:eastAsia="zh-CN"/>
        </w:rPr>
        <w:t xml:space="preserve"> has performed significantly below our expectations</w:t>
      </w:r>
      <w:r w:rsidR="003C2C86">
        <w:rPr>
          <w:sz w:val="20"/>
          <w:lang w:eastAsia="zh-CN"/>
        </w:rPr>
        <w:t>,</w:t>
      </w:r>
      <w:r w:rsidR="007A16CD" w:rsidRPr="002C3CF3">
        <w:rPr>
          <w:sz w:val="20"/>
          <w:lang w:eastAsia="zh-CN"/>
        </w:rPr>
        <w:t xml:space="preserve"> and errors </w:t>
      </w:r>
      <w:r w:rsidR="00034981">
        <w:rPr>
          <w:sz w:val="20"/>
          <w:lang w:eastAsia="zh-CN"/>
        </w:rPr>
        <w:t xml:space="preserve">were made </w:t>
      </w:r>
      <w:r w:rsidR="007A16CD" w:rsidRPr="002C3CF3">
        <w:rPr>
          <w:sz w:val="20"/>
          <w:lang w:eastAsia="zh-CN"/>
        </w:rPr>
        <w:t xml:space="preserve">during our </w:t>
      </w:r>
      <w:r w:rsidR="003C2C86">
        <w:rPr>
          <w:sz w:val="20"/>
          <w:lang w:eastAsia="zh-CN"/>
        </w:rPr>
        <w:t>initial e</w:t>
      </w:r>
      <w:r w:rsidR="007A16CD" w:rsidRPr="002C3CF3">
        <w:rPr>
          <w:sz w:val="20"/>
          <w:lang w:eastAsia="zh-CN"/>
        </w:rPr>
        <w:t xml:space="preserve">valuation. We have devoted countless hours, both during SMF meetings and outside, to discussing </w:t>
      </w:r>
      <w:r w:rsidR="00034981">
        <w:rPr>
          <w:sz w:val="20"/>
          <w:lang w:eastAsia="zh-CN"/>
        </w:rPr>
        <w:t xml:space="preserve">the </w:t>
      </w:r>
      <w:r w:rsidR="00B761EF">
        <w:rPr>
          <w:sz w:val="20"/>
          <w:lang w:eastAsia="zh-CN"/>
        </w:rPr>
        <w:t xml:space="preserve">future of the company, our </w:t>
      </w:r>
      <w:r w:rsidR="00034981">
        <w:rPr>
          <w:sz w:val="20"/>
          <w:lang w:eastAsia="zh-CN"/>
        </w:rPr>
        <w:t xml:space="preserve">revised valuation </w:t>
      </w:r>
      <w:r w:rsidR="007A16CD" w:rsidRPr="002C3CF3">
        <w:rPr>
          <w:sz w:val="20"/>
          <w:lang w:eastAsia="zh-CN"/>
        </w:rPr>
        <w:t xml:space="preserve">and the way we </w:t>
      </w:r>
      <w:r w:rsidR="00034981">
        <w:rPr>
          <w:sz w:val="20"/>
          <w:lang w:eastAsia="zh-CN"/>
        </w:rPr>
        <w:t xml:space="preserve">should </w:t>
      </w:r>
      <w:r w:rsidR="007A16CD" w:rsidRPr="002C3CF3">
        <w:rPr>
          <w:sz w:val="20"/>
          <w:lang w:eastAsia="zh-CN"/>
        </w:rPr>
        <w:t xml:space="preserve">proceed. The SMF </w:t>
      </w:r>
      <w:r w:rsidR="003C2C86">
        <w:rPr>
          <w:sz w:val="20"/>
          <w:lang w:eastAsia="zh-CN"/>
        </w:rPr>
        <w:t>will soon</w:t>
      </w:r>
      <w:r w:rsidR="007A16CD" w:rsidRPr="002C3CF3">
        <w:rPr>
          <w:sz w:val="20"/>
          <w:lang w:eastAsia="zh-CN"/>
        </w:rPr>
        <w:t xml:space="preserve"> finalis</w:t>
      </w:r>
      <w:r w:rsidR="003C2C86">
        <w:rPr>
          <w:sz w:val="20"/>
          <w:lang w:eastAsia="zh-CN"/>
        </w:rPr>
        <w:t>e</w:t>
      </w:r>
      <w:r w:rsidR="007A16CD" w:rsidRPr="002C3CF3">
        <w:rPr>
          <w:sz w:val="20"/>
          <w:lang w:eastAsia="zh-CN"/>
        </w:rPr>
        <w:t xml:space="preserve"> the direction from here</w:t>
      </w:r>
      <w:r w:rsidR="003C2C86">
        <w:rPr>
          <w:sz w:val="20"/>
          <w:lang w:eastAsia="zh-CN"/>
        </w:rPr>
        <w:t>,</w:t>
      </w:r>
      <w:r w:rsidR="007E569E">
        <w:rPr>
          <w:sz w:val="20"/>
          <w:lang w:eastAsia="zh-CN"/>
        </w:rPr>
        <w:t xml:space="preserve"> </w:t>
      </w:r>
      <w:r w:rsidR="007A16CD" w:rsidRPr="002C3CF3">
        <w:rPr>
          <w:sz w:val="20"/>
          <w:lang w:eastAsia="zh-CN"/>
        </w:rPr>
        <w:t xml:space="preserve">and seek the endorsement of the Investment Advisory Committee (IAC) in coming weeks. </w:t>
      </w:r>
      <w:r w:rsidR="003C2C86">
        <w:rPr>
          <w:sz w:val="20"/>
          <w:lang w:eastAsia="zh-CN"/>
        </w:rPr>
        <w:t xml:space="preserve">While </w:t>
      </w:r>
      <w:r w:rsidR="007A16CD" w:rsidRPr="002C3CF3">
        <w:rPr>
          <w:sz w:val="20"/>
          <w:lang w:eastAsia="zh-CN"/>
        </w:rPr>
        <w:t>Bingo has impacted us all, we remain committed to our underlying processes</w:t>
      </w:r>
      <w:r w:rsidR="003C2C86">
        <w:rPr>
          <w:sz w:val="20"/>
          <w:lang w:eastAsia="zh-CN"/>
        </w:rPr>
        <w:t xml:space="preserve">, </w:t>
      </w:r>
      <w:r w:rsidR="007A16CD" w:rsidRPr="002C3CF3">
        <w:rPr>
          <w:sz w:val="20"/>
          <w:lang w:eastAsia="zh-CN"/>
        </w:rPr>
        <w:t xml:space="preserve">overarching objectives </w:t>
      </w:r>
      <w:r w:rsidR="003C2C86">
        <w:rPr>
          <w:sz w:val="20"/>
          <w:lang w:eastAsia="zh-CN"/>
        </w:rPr>
        <w:t>and</w:t>
      </w:r>
      <w:r w:rsidR="007A16CD" w:rsidRPr="002C3CF3">
        <w:rPr>
          <w:sz w:val="20"/>
          <w:lang w:eastAsia="zh-CN"/>
        </w:rPr>
        <w:t xml:space="preserve"> long-term nature of the Fund. I strongly believe we have learnt invaluable lessons, and our future investment recommendations will benefit from th</w:t>
      </w:r>
      <w:r w:rsidR="003C2C86">
        <w:rPr>
          <w:sz w:val="20"/>
          <w:lang w:eastAsia="zh-CN"/>
        </w:rPr>
        <w:t>e</w:t>
      </w:r>
      <w:r w:rsidR="007A16CD" w:rsidRPr="002C3CF3">
        <w:rPr>
          <w:sz w:val="20"/>
          <w:lang w:eastAsia="zh-CN"/>
        </w:rPr>
        <w:t xml:space="preserve"> experience.</w:t>
      </w:r>
    </w:p>
    <w:p w14:paraId="2C43900A" w14:textId="2EA1BDC9" w:rsidR="007A16CD" w:rsidRPr="002C3CF3" w:rsidRDefault="007A16CD" w:rsidP="00BE40D3">
      <w:pPr>
        <w:spacing w:before="180"/>
        <w:jc w:val="both"/>
        <w:rPr>
          <w:sz w:val="20"/>
          <w:lang w:eastAsia="zh-CN"/>
        </w:rPr>
      </w:pPr>
      <w:r w:rsidRPr="002C3CF3">
        <w:rPr>
          <w:sz w:val="20"/>
          <w:lang w:eastAsia="zh-CN"/>
        </w:rPr>
        <w:t xml:space="preserve">Semester 1, 2019 saw the </w:t>
      </w:r>
      <w:r w:rsidR="003C2C86">
        <w:rPr>
          <w:sz w:val="20"/>
          <w:lang w:eastAsia="zh-CN"/>
        </w:rPr>
        <w:t xml:space="preserve">inaugural </w:t>
      </w:r>
      <w:r w:rsidRPr="002C3CF3">
        <w:rPr>
          <w:sz w:val="20"/>
          <w:lang w:eastAsia="zh-CN"/>
        </w:rPr>
        <w:t>award of the RSFAS Student Managed Fund Equity Scholarship</w:t>
      </w:r>
      <w:r w:rsidR="003C2C86">
        <w:rPr>
          <w:sz w:val="20"/>
          <w:lang w:eastAsia="zh-CN"/>
        </w:rPr>
        <w:t xml:space="preserve"> to </w:t>
      </w:r>
      <w:r w:rsidR="003C2C86" w:rsidRPr="002C3CF3">
        <w:rPr>
          <w:sz w:val="20"/>
          <w:lang w:eastAsia="zh-CN"/>
        </w:rPr>
        <w:t>Maliha Hoque</w:t>
      </w:r>
      <w:r w:rsidRPr="002C3CF3">
        <w:rPr>
          <w:sz w:val="20"/>
          <w:lang w:eastAsia="zh-CN"/>
        </w:rPr>
        <w:t xml:space="preserve">. Amidst </w:t>
      </w:r>
      <w:r w:rsidR="00B761EF">
        <w:rPr>
          <w:sz w:val="20"/>
          <w:lang w:eastAsia="zh-CN"/>
        </w:rPr>
        <w:t>the ongoing development</w:t>
      </w:r>
      <w:r w:rsidRPr="002C3CF3">
        <w:rPr>
          <w:sz w:val="20"/>
          <w:lang w:eastAsia="zh-CN"/>
        </w:rPr>
        <w:t xml:space="preserve"> of the SMF, our philanthropic </w:t>
      </w:r>
      <w:r w:rsidR="003C2C86">
        <w:rPr>
          <w:sz w:val="20"/>
          <w:lang w:eastAsia="zh-CN"/>
        </w:rPr>
        <w:t>purpose</w:t>
      </w:r>
      <w:r w:rsidRPr="002C3CF3">
        <w:rPr>
          <w:sz w:val="20"/>
          <w:lang w:eastAsia="zh-CN"/>
        </w:rPr>
        <w:t xml:space="preserve"> has always remained central. It is with great pride </w:t>
      </w:r>
      <w:r w:rsidR="003C2C86">
        <w:rPr>
          <w:sz w:val="20"/>
          <w:lang w:eastAsia="zh-CN"/>
        </w:rPr>
        <w:t xml:space="preserve">that </w:t>
      </w:r>
      <w:r w:rsidRPr="002C3CF3">
        <w:rPr>
          <w:sz w:val="20"/>
          <w:lang w:eastAsia="zh-CN"/>
        </w:rPr>
        <w:t xml:space="preserve">we </w:t>
      </w:r>
      <w:r w:rsidR="00B761EF">
        <w:rPr>
          <w:sz w:val="20"/>
          <w:lang w:eastAsia="zh-CN"/>
        </w:rPr>
        <w:t>invite</w:t>
      </w:r>
      <w:r w:rsidR="003C2C86">
        <w:rPr>
          <w:sz w:val="20"/>
          <w:lang w:eastAsia="zh-CN"/>
        </w:rPr>
        <w:t>d</w:t>
      </w:r>
      <w:r w:rsidR="00B761EF" w:rsidRPr="002C3CF3">
        <w:rPr>
          <w:sz w:val="20"/>
          <w:lang w:eastAsia="zh-CN"/>
        </w:rPr>
        <w:t xml:space="preserve"> </w:t>
      </w:r>
      <w:r w:rsidRPr="002C3CF3">
        <w:rPr>
          <w:sz w:val="20"/>
          <w:lang w:eastAsia="zh-CN"/>
        </w:rPr>
        <w:t>Maliha to</w:t>
      </w:r>
      <w:r w:rsidR="00B761EF">
        <w:rPr>
          <w:sz w:val="20"/>
          <w:lang w:eastAsia="zh-CN"/>
        </w:rPr>
        <w:t xml:space="preserve"> </w:t>
      </w:r>
      <w:r w:rsidR="009318BC">
        <w:rPr>
          <w:sz w:val="20"/>
          <w:lang w:eastAsia="zh-CN"/>
        </w:rPr>
        <w:t xml:space="preserve">attend </w:t>
      </w:r>
      <w:r w:rsidRPr="002C3CF3">
        <w:rPr>
          <w:sz w:val="20"/>
          <w:lang w:eastAsia="zh-CN"/>
        </w:rPr>
        <w:t xml:space="preserve">our </w:t>
      </w:r>
      <w:r w:rsidR="0007524F">
        <w:rPr>
          <w:sz w:val="20"/>
          <w:lang w:eastAsia="zh-CN"/>
        </w:rPr>
        <w:t xml:space="preserve">Week 5 </w:t>
      </w:r>
      <w:r w:rsidRPr="002C3CF3">
        <w:rPr>
          <w:sz w:val="20"/>
          <w:lang w:eastAsia="zh-CN"/>
        </w:rPr>
        <w:t xml:space="preserve">meeting. </w:t>
      </w:r>
      <w:r w:rsidR="0007524F">
        <w:rPr>
          <w:sz w:val="20"/>
          <w:lang w:eastAsia="zh-CN"/>
        </w:rPr>
        <w:t xml:space="preserve">Seeing </w:t>
      </w:r>
      <w:r w:rsidRPr="002C3CF3">
        <w:rPr>
          <w:sz w:val="20"/>
          <w:lang w:eastAsia="zh-CN"/>
        </w:rPr>
        <w:t xml:space="preserve">the tangible impact </w:t>
      </w:r>
      <w:r w:rsidR="0007524F">
        <w:rPr>
          <w:sz w:val="20"/>
          <w:lang w:eastAsia="zh-CN"/>
        </w:rPr>
        <w:t xml:space="preserve">that </w:t>
      </w:r>
      <w:r w:rsidRPr="002C3CF3">
        <w:rPr>
          <w:sz w:val="20"/>
          <w:lang w:eastAsia="zh-CN"/>
        </w:rPr>
        <w:t>the Fund provide</w:t>
      </w:r>
      <w:r w:rsidR="0007524F">
        <w:rPr>
          <w:sz w:val="20"/>
          <w:lang w:eastAsia="zh-CN"/>
        </w:rPr>
        <w:t>s</w:t>
      </w:r>
      <w:r w:rsidRPr="002C3CF3">
        <w:rPr>
          <w:sz w:val="20"/>
          <w:lang w:eastAsia="zh-CN"/>
        </w:rPr>
        <w:t xml:space="preserve"> was a rewarding moment for us all</w:t>
      </w:r>
      <w:r w:rsidR="0007524F">
        <w:rPr>
          <w:sz w:val="20"/>
          <w:lang w:eastAsia="zh-CN"/>
        </w:rPr>
        <w:t>. W</w:t>
      </w:r>
      <w:r w:rsidRPr="002C3CF3">
        <w:rPr>
          <w:sz w:val="20"/>
          <w:lang w:eastAsia="zh-CN"/>
        </w:rPr>
        <w:t>e feel lucky to be</w:t>
      </w:r>
      <w:r w:rsidR="0007524F">
        <w:rPr>
          <w:sz w:val="20"/>
          <w:lang w:eastAsia="zh-CN"/>
        </w:rPr>
        <w:t xml:space="preserve"> </w:t>
      </w:r>
      <w:r w:rsidRPr="002C3CF3">
        <w:rPr>
          <w:sz w:val="20"/>
          <w:lang w:eastAsia="zh-CN"/>
        </w:rPr>
        <w:t xml:space="preserve">part of the cohort </w:t>
      </w:r>
      <w:r w:rsidR="00DD3D86">
        <w:rPr>
          <w:sz w:val="20"/>
          <w:lang w:eastAsia="zh-CN"/>
        </w:rPr>
        <w:t>that</w:t>
      </w:r>
      <w:r w:rsidRPr="002C3CF3">
        <w:rPr>
          <w:sz w:val="20"/>
          <w:lang w:eastAsia="zh-CN"/>
        </w:rPr>
        <w:t xml:space="preserve"> deliver</w:t>
      </w:r>
      <w:r w:rsidR="0007524F">
        <w:rPr>
          <w:sz w:val="20"/>
          <w:lang w:eastAsia="zh-CN"/>
        </w:rPr>
        <w:t>ed</w:t>
      </w:r>
      <w:r w:rsidRPr="002C3CF3">
        <w:rPr>
          <w:sz w:val="20"/>
          <w:lang w:eastAsia="zh-CN"/>
        </w:rPr>
        <w:t xml:space="preserve"> this outcome. We </w:t>
      </w:r>
      <w:r w:rsidR="0007524F">
        <w:rPr>
          <w:sz w:val="20"/>
          <w:lang w:eastAsia="zh-CN"/>
        </w:rPr>
        <w:t>wish</w:t>
      </w:r>
      <w:r w:rsidRPr="002C3CF3">
        <w:rPr>
          <w:sz w:val="20"/>
          <w:lang w:eastAsia="zh-CN"/>
        </w:rPr>
        <w:t xml:space="preserve"> Maliha the very best with her studies and personal endeavours.</w:t>
      </w:r>
    </w:p>
    <w:p w14:paraId="36F988A7" w14:textId="349BA2DD" w:rsidR="007A16CD" w:rsidRPr="002C3CF3" w:rsidRDefault="007A16CD" w:rsidP="00BE40D3">
      <w:pPr>
        <w:spacing w:before="180"/>
        <w:jc w:val="both"/>
        <w:rPr>
          <w:sz w:val="20"/>
          <w:lang w:eastAsia="zh-CN"/>
        </w:rPr>
      </w:pPr>
      <w:r w:rsidRPr="002C3CF3">
        <w:rPr>
          <w:sz w:val="20"/>
          <w:lang w:eastAsia="zh-CN"/>
        </w:rPr>
        <w:t>I am extremely pleased with the start we have made to the current semester</w:t>
      </w:r>
      <w:r w:rsidR="0007524F">
        <w:rPr>
          <w:sz w:val="20"/>
          <w:lang w:eastAsia="zh-CN"/>
        </w:rPr>
        <w:t>,</w:t>
      </w:r>
      <w:r w:rsidRPr="002C3CF3">
        <w:rPr>
          <w:sz w:val="20"/>
          <w:lang w:eastAsia="zh-CN"/>
        </w:rPr>
        <w:t xml:space="preserve"> and look forward to writing about the work we have completed by semester end.</w:t>
      </w:r>
    </w:p>
    <w:p w14:paraId="1DFC5147" w14:textId="77777777" w:rsidR="007A16CD" w:rsidRPr="002C3CF3" w:rsidRDefault="007A16CD" w:rsidP="00BE40D3">
      <w:pPr>
        <w:spacing w:before="180"/>
        <w:rPr>
          <w:i/>
          <w:sz w:val="20"/>
          <w:lang w:eastAsia="zh-CN"/>
        </w:rPr>
      </w:pPr>
      <w:r w:rsidRPr="002C3CF3">
        <w:rPr>
          <w:i/>
          <w:sz w:val="20"/>
          <w:lang w:eastAsia="zh-CN"/>
        </w:rPr>
        <w:t>Saurav Patel, CIO</w:t>
      </w:r>
    </w:p>
    <w:p w14:paraId="0D73BA67" w14:textId="5EA16A2F" w:rsidR="00F074D6" w:rsidRPr="00DD3D86" w:rsidRDefault="007A16CD" w:rsidP="00DD3D86">
      <w:pPr>
        <w:pStyle w:val="Heading1"/>
        <w:spacing w:before="360" w:line="240" w:lineRule="auto"/>
        <w:rPr>
          <w:sz w:val="28"/>
          <w:szCs w:val="28"/>
          <w:lang w:eastAsia="zh-CN"/>
        </w:rPr>
      </w:pPr>
      <w:bookmarkStart w:id="14" w:name="_Toc5995712"/>
      <w:r w:rsidRPr="00DD3D86">
        <w:rPr>
          <w:sz w:val="28"/>
          <w:szCs w:val="28"/>
          <w:lang w:eastAsia="zh-CN"/>
        </w:rPr>
        <w:lastRenderedPageBreak/>
        <w:t>Team Update</w:t>
      </w:r>
      <w:r w:rsidR="00DD3D86" w:rsidRPr="00DD3D86">
        <w:rPr>
          <w:sz w:val="28"/>
          <w:szCs w:val="28"/>
          <w:lang w:eastAsia="zh-CN"/>
        </w:rPr>
        <w:t>s</w:t>
      </w:r>
      <w:bookmarkEnd w:id="14"/>
    </w:p>
    <w:p w14:paraId="6A421782" w14:textId="544CEC2A" w:rsidR="00F074D6" w:rsidRPr="002C3CF3" w:rsidRDefault="00241A22" w:rsidP="00DD3D86">
      <w:pPr>
        <w:spacing w:before="180"/>
        <w:jc w:val="both"/>
        <w:rPr>
          <w:sz w:val="20"/>
          <w:lang w:eastAsia="zh-CN"/>
        </w:rPr>
      </w:pPr>
      <w:r w:rsidRPr="002C3CF3">
        <w:rPr>
          <w:sz w:val="20"/>
          <w:lang w:eastAsia="zh-CN"/>
        </w:rPr>
        <w:t>Th</w:t>
      </w:r>
      <w:r w:rsidR="00DD3D86">
        <w:rPr>
          <w:sz w:val="20"/>
          <w:lang w:eastAsia="zh-CN"/>
        </w:rPr>
        <w:t>e</w:t>
      </w:r>
      <w:r w:rsidRPr="002C3CF3">
        <w:rPr>
          <w:sz w:val="20"/>
          <w:lang w:eastAsia="zh-CN"/>
        </w:rPr>
        <w:t xml:space="preserve"> 18 </w:t>
      </w:r>
      <w:r w:rsidR="00DD3D86">
        <w:rPr>
          <w:sz w:val="20"/>
          <w:lang w:eastAsia="zh-CN"/>
        </w:rPr>
        <w:t xml:space="preserve">team </w:t>
      </w:r>
      <w:r w:rsidRPr="002C3CF3">
        <w:rPr>
          <w:sz w:val="20"/>
          <w:lang w:eastAsia="zh-CN"/>
        </w:rPr>
        <w:t>members</w:t>
      </w:r>
      <w:r w:rsidR="00DD3D86">
        <w:rPr>
          <w:sz w:val="20"/>
          <w:lang w:eastAsia="zh-CN"/>
        </w:rPr>
        <w:t xml:space="preserve"> for this semester include</w:t>
      </w:r>
      <w:r w:rsidRPr="002C3CF3">
        <w:rPr>
          <w:sz w:val="20"/>
          <w:lang w:eastAsia="zh-CN"/>
        </w:rPr>
        <w:t xml:space="preserve"> 7 senior members carrying over from the previous semester and 11 </w:t>
      </w:r>
      <w:r w:rsidR="003C1684" w:rsidRPr="002C3CF3">
        <w:rPr>
          <w:sz w:val="20"/>
          <w:lang w:eastAsia="zh-CN"/>
        </w:rPr>
        <w:t xml:space="preserve">new </w:t>
      </w:r>
      <w:r w:rsidRPr="002C3CF3">
        <w:rPr>
          <w:sz w:val="20"/>
          <w:lang w:eastAsia="zh-CN"/>
        </w:rPr>
        <w:t xml:space="preserve">members. </w:t>
      </w:r>
      <w:r w:rsidR="00E00E74" w:rsidRPr="002C3CF3">
        <w:rPr>
          <w:sz w:val="20"/>
          <w:lang w:eastAsia="zh-CN"/>
        </w:rPr>
        <w:t xml:space="preserve">Across our teams, we have seen senior students take leadership positions </w:t>
      </w:r>
      <w:r w:rsidR="00B35F2D" w:rsidRPr="002C3CF3">
        <w:rPr>
          <w:sz w:val="20"/>
          <w:lang w:eastAsia="zh-CN"/>
        </w:rPr>
        <w:t xml:space="preserve">and mentor our junior members to ensure </w:t>
      </w:r>
      <w:r w:rsidR="00AC02DE" w:rsidRPr="002C3CF3">
        <w:rPr>
          <w:sz w:val="20"/>
          <w:lang w:eastAsia="zh-CN"/>
        </w:rPr>
        <w:t xml:space="preserve">their knowledge, experience and </w:t>
      </w:r>
      <w:r w:rsidR="00AC02DE" w:rsidRPr="002C3CF3">
        <w:rPr>
          <w:sz w:val="20"/>
          <w:lang w:eastAsia="zh-CN"/>
        </w:rPr>
        <w:t xml:space="preserve">understanding is passed on. </w:t>
      </w:r>
      <w:r w:rsidR="00F56BE1" w:rsidRPr="002C3CF3">
        <w:rPr>
          <w:sz w:val="20"/>
          <w:lang w:eastAsia="zh-CN"/>
        </w:rPr>
        <w:t xml:space="preserve">Although there is a steep learning curve for our new members, </w:t>
      </w:r>
      <w:r w:rsidR="00DD5EF9" w:rsidRPr="002C3CF3">
        <w:rPr>
          <w:sz w:val="20"/>
          <w:lang w:eastAsia="zh-CN"/>
        </w:rPr>
        <w:t xml:space="preserve">the fresh insights and new perspectives gained </w:t>
      </w:r>
      <w:r w:rsidR="00057378">
        <w:rPr>
          <w:sz w:val="20"/>
          <w:lang w:eastAsia="zh-CN"/>
        </w:rPr>
        <w:t>are</w:t>
      </w:r>
      <w:r w:rsidR="007632AA" w:rsidRPr="002C3CF3">
        <w:rPr>
          <w:sz w:val="20"/>
          <w:lang w:eastAsia="zh-CN"/>
        </w:rPr>
        <w:t xml:space="preserve"> invaluable </w:t>
      </w:r>
      <w:r w:rsidR="007632AA" w:rsidRPr="002C3CF3">
        <w:rPr>
          <w:sz w:val="20"/>
          <w:lang w:eastAsia="zh-CN"/>
        </w:rPr>
        <w:t>to the Fund</w:t>
      </w:r>
      <w:r w:rsidR="0007524F">
        <w:rPr>
          <w:sz w:val="20"/>
          <w:lang w:eastAsia="zh-CN"/>
        </w:rPr>
        <w:t xml:space="preserve">. </w:t>
      </w:r>
      <w:r w:rsidR="00A97652">
        <w:rPr>
          <w:sz w:val="20"/>
          <w:lang w:eastAsia="zh-CN"/>
        </w:rPr>
        <w:t xml:space="preserve">Meanwhile, </w:t>
      </w:r>
      <w:r w:rsidR="00A97652" w:rsidRPr="002C3CF3">
        <w:rPr>
          <w:sz w:val="20"/>
          <w:lang w:eastAsia="zh-CN"/>
        </w:rPr>
        <w:t>the</w:t>
      </w:r>
      <w:r w:rsidR="004F7D92" w:rsidRPr="002C3CF3">
        <w:rPr>
          <w:sz w:val="20"/>
          <w:lang w:eastAsia="zh-CN"/>
        </w:rPr>
        <w:t xml:space="preserve"> </w:t>
      </w:r>
      <w:r w:rsidR="006A3518">
        <w:rPr>
          <w:sz w:val="20"/>
          <w:lang w:eastAsia="zh-CN"/>
        </w:rPr>
        <w:t>leadership provided by</w:t>
      </w:r>
      <w:r w:rsidR="004F7D92" w:rsidRPr="002C3CF3">
        <w:rPr>
          <w:sz w:val="20"/>
          <w:lang w:eastAsia="zh-CN"/>
        </w:rPr>
        <w:t xml:space="preserve"> senior </w:t>
      </w:r>
      <w:r w:rsidR="0007524F">
        <w:rPr>
          <w:sz w:val="20"/>
          <w:lang w:eastAsia="zh-CN"/>
        </w:rPr>
        <w:t>members</w:t>
      </w:r>
      <w:r w:rsidR="004F7D92" w:rsidRPr="002C3CF3">
        <w:rPr>
          <w:sz w:val="20"/>
          <w:lang w:eastAsia="zh-CN"/>
        </w:rPr>
        <w:t xml:space="preserve"> facilitates continuity in our operations. </w:t>
      </w:r>
      <w:r w:rsidRPr="002C3CF3">
        <w:rPr>
          <w:sz w:val="20"/>
          <w:lang w:eastAsia="zh-CN"/>
        </w:rPr>
        <w:t xml:space="preserve">A brief introduction </w:t>
      </w:r>
      <w:r w:rsidR="00DD3D86">
        <w:rPr>
          <w:sz w:val="20"/>
          <w:lang w:eastAsia="zh-CN"/>
        </w:rPr>
        <w:t>to</w:t>
      </w:r>
      <w:r w:rsidRPr="002C3CF3">
        <w:rPr>
          <w:sz w:val="20"/>
          <w:lang w:eastAsia="zh-CN"/>
        </w:rPr>
        <w:t xml:space="preserve"> the new team members and an indication of the tasks allocated to each is presented below. </w:t>
      </w:r>
      <w:bookmarkStart w:id="15" w:name="_Toc524277817"/>
    </w:p>
    <w:p w14:paraId="695A5313" w14:textId="43EF2477" w:rsidR="00F074D6" w:rsidRPr="002C3CF3" w:rsidRDefault="002027BE" w:rsidP="00C32082">
      <w:pPr>
        <w:pStyle w:val="Heading2"/>
      </w:pPr>
      <w:bookmarkStart w:id="16" w:name="_Toc5995713"/>
      <w:r w:rsidRPr="002C3CF3">
        <w:t>AA Te</w:t>
      </w:r>
      <w:r w:rsidR="00AC1811">
        <w:t>a</w:t>
      </w:r>
      <w:r w:rsidRPr="002C3CF3">
        <w:t>m</w:t>
      </w:r>
      <w:bookmarkStart w:id="17" w:name="_Toc524277818"/>
      <w:bookmarkEnd w:id="15"/>
      <w:bookmarkEnd w:id="16"/>
    </w:p>
    <w:p w14:paraId="075F1B15" w14:textId="138E5912" w:rsidR="00214922" w:rsidRPr="002C3CF3" w:rsidRDefault="00214922" w:rsidP="00DD3D86">
      <w:pPr>
        <w:spacing w:before="180"/>
        <w:jc w:val="both"/>
        <w:rPr>
          <w:sz w:val="20"/>
          <w:lang w:val="en-GB" w:eastAsia="zh-CN"/>
        </w:rPr>
      </w:pPr>
      <w:r w:rsidRPr="002C3CF3">
        <w:rPr>
          <w:sz w:val="20"/>
          <w:lang w:val="en-GB" w:eastAsia="zh-CN"/>
        </w:rPr>
        <w:t>Joining the AA team as junior analysts are Alaina Warwick, Jiaqi</w:t>
      </w:r>
      <w:r w:rsidR="00897B6A">
        <w:rPr>
          <w:sz w:val="20"/>
          <w:lang w:val="en-GB" w:eastAsia="zh-CN"/>
        </w:rPr>
        <w:t xml:space="preserve"> (Karen)</w:t>
      </w:r>
      <w:r w:rsidRPr="002C3CF3">
        <w:rPr>
          <w:sz w:val="20"/>
          <w:lang w:val="en-GB" w:eastAsia="zh-CN"/>
        </w:rPr>
        <w:t xml:space="preserve"> Mao and Dalton Tham. The junior analysts </w:t>
      </w:r>
      <w:r w:rsidR="002B0DB5">
        <w:rPr>
          <w:sz w:val="20"/>
          <w:lang w:val="en-GB" w:eastAsia="zh-CN"/>
        </w:rPr>
        <w:t>are working</w:t>
      </w:r>
      <w:r w:rsidRPr="002C3CF3">
        <w:rPr>
          <w:sz w:val="20"/>
          <w:lang w:val="en-GB" w:eastAsia="zh-CN"/>
        </w:rPr>
        <w:t xml:space="preserve"> hard under the guidance of AA Team Leader Jak Carty and Research Manager Hongyi Xu to finalis</w:t>
      </w:r>
      <w:r w:rsidR="006E2E93">
        <w:rPr>
          <w:sz w:val="20"/>
          <w:lang w:val="en-GB" w:eastAsia="zh-CN"/>
        </w:rPr>
        <w:t>e</w:t>
      </w:r>
      <w:r w:rsidRPr="002C3CF3">
        <w:rPr>
          <w:sz w:val="20"/>
          <w:lang w:val="en-GB" w:eastAsia="zh-CN"/>
        </w:rPr>
        <w:t xml:space="preserve"> </w:t>
      </w:r>
      <w:r w:rsidR="006E2E93">
        <w:rPr>
          <w:sz w:val="20"/>
          <w:lang w:val="en-GB" w:eastAsia="zh-CN"/>
        </w:rPr>
        <w:t xml:space="preserve">the </w:t>
      </w:r>
      <w:r w:rsidR="002B0DB5">
        <w:rPr>
          <w:sz w:val="20"/>
          <w:lang w:val="en-GB" w:eastAsia="zh-CN"/>
        </w:rPr>
        <w:t xml:space="preserve">asset class </w:t>
      </w:r>
      <w:r w:rsidRPr="002C3CF3">
        <w:rPr>
          <w:sz w:val="20"/>
          <w:lang w:val="en-GB" w:eastAsia="zh-CN"/>
        </w:rPr>
        <w:t xml:space="preserve">models and </w:t>
      </w:r>
      <w:r w:rsidR="00DD3D86">
        <w:rPr>
          <w:sz w:val="20"/>
          <w:lang w:val="en-GB" w:eastAsia="zh-CN"/>
        </w:rPr>
        <w:t xml:space="preserve">the </w:t>
      </w:r>
      <w:r w:rsidRPr="002C3CF3">
        <w:rPr>
          <w:sz w:val="20"/>
          <w:lang w:val="en-GB" w:eastAsia="zh-CN"/>
        </w:rPr>
        <w:t>development of the AA I</w:t>
      </w:r>
      <w:r w:rsidR="00EF5A01">
        <w:rPr>
          <w:sz w:val="20"/>
          <w:lang w:val="en-GB" w:eastAsia="zh-CN"/>
        </w:rPr>
        <w:t>P</w:t>
      </w:r>
      <w:r w:rsidRPr="002C3CF3">
        <w:rPr>
          <w:sz w:val="20"/>
          <w:lang w:val="en-GB" w:eastAsia="zh-CN"/>
        </w:rPr>
        <w:t xml:space="preserve">. The junior members </w:t>
      </w:r>
      <w:r w:rsidR="00431F0F">
        <w:rPr>
          <w:sz w:val="20"/>
          <w:lang w:val="en-GB" w:eastAsia="zh-CN"/>
        </w:rPr>
        <w:t xml:space="preserve">have </w:t>
      </w:r>
      <w:r w:rsidR="00406EF4">
        <w:rPr>
          <w:sz w:val="20"/>
          <w:lang w:val="en-GB" w:eastAsia="zh-CN"/>
        </w:rPr>
        <w:t xml:space="preserve">demonstrated their </w:t>
      </w:r>
      <w:r w:rsidR="002B0DB5">
        <w:rPr>
          <w:sz w:val="20"/>
          <w:lang w:val="en-GB" w:eastAsia="zh-CN"/>
        </w:rPr>
        <w:t xml:space="preserve">understanding </w:t>
      </w:r>
      <w:r w:rsidR="00406EF4">
        <w:rPr>
          <w:sz w:val="20"/>
          <w:lang w:val="en-GB" w:eastAsia="zh-CN"/>
        </w:rPr>
        <w:t xml:space="preserve">by </w:t>
      </w:r>
      <w:r w:rsidR="00A24055">
        <w:rPr>
          <w:sz w:val="20"/>
          <w:lang w:val="en-GB" w:eastAsia="zh-CN"/>
        </w:rPr>
        <w:t xml:space="preserve">presenting the </w:t>
      </w:r>
      <w:r w:rsidR="00266247" w:rsidRPr="002C3CF3">
        <w:rPr>
          <w:sz w:val="20"/>
          <w:lang w:val="en-GB" w:eastAsia="zh-CN"/>
        </w:rPr>
        <w:t xml:space="preserve">core concepts </w:t>
      </w:r>
      <w:r w:rsidR="006E2E93">
        <w:rPr>
          <w:sz w:val="20"/>
          <w:lang w:val="en-GB" w:eastAsia="zh-CN"/>
        </w:rPr>
        <w:t xml:space="preserve">that </w:t>
      </w:r>
      <w:r w:rsidR="00DD3D86">
        <w:rPr>
          <w:sz w:val="20"/>
          <w:lang w:val="en-GB" w:eastAsia="zh-CN"/>
        </w:rPr>
        <w:t xml:space="preserve">will </w:t>
      </w:r>
      <w:r w:rsidR="00266247" w:rsidRPr="002C3CF3">
        <w:rPr>
          <w:sz w:val="20"/>
          <w:lang w:val="en-GB" w:eastAsia="zh-CN"/>
        </w:rPr>
        <w:t xml:space="preserve">underpin the AA IP </w:t>
      </w:r>
      <w:r w:rsidRPr="002C3CF3">
        <w:rPr>
          <w:sz w:val="20"/>
          <w:lang w:val="en-GB" w:eastAsia="zh-CN"/>
        </w:rPr>
        <w:t>to the entire SMF team.</w:t>
      </w:r>
      <w:r w:rsidR="00B063EF">
        <w:rPr>
          <w:sz w:val="20"/>
          <w:lang w:val="en-GB" w:eastAsia="zh-CN"/>
        </w:rPr>
        <w:t xml:space="preserve"> </w:t>
      </w:r>
      <w:r w:rsidR="00A403A4" w:rsidRPr="002C3CF3">
        <w:rPr>
          <w:sz w:val="20"/>
          <w:lang w:eastAsia="zh-CN"/>
        </w:rPr>
        <w:t xml:space="preserve">The absence of conventional courses to support the work </w:t>
      </w:r>
      <w:r w:rsidR="006E2E93">
        <w:rPr>
          <w:sz w:val="20"/>
          <w:lang w:eastAsia="zh-CN"/>
        </w:rPr>
        <w:t xml:space="preserve">of </w:t>
      </w:r>
      <w:r w:rsidR="00A403A4" w:rsidRPr="002C3CF3">
        <w:rPr>
          <w:sz w:val="20"/>
          <w:lang w:eastAsia="zh-CN"/>
        </w:rPr>
        <w:t>the AA team is a key reason for many of the challenges the team faces</w:t>
      </w:r>
      <w:r w:rsidR="006E2E93">
        <w:rPr>
          <w:sz w:val="20"/>
          <w:lang w:eastAsia="zh-CN"/>
        </w:rPr>
        <w:t xml:space="preserve">. Nevertheless, </w:t>
      </w:r>
      <w:r w:rsidR="00A403A4" w:rsidRPr="002C3CF3">
        <w:rPr>
          <w:sz w:val="20"/>
          <w:lang w:eastAsia="zh-CN"/>
        </w:rPr>
        <w:t xml:space="preserve">the </w:t>
      </w:r>
      <w:r w:rsidR="006E2E93">
        <w:rPr>
          <w:sz w:val="20"/>
          <w:lang w:eastAsia="zh-CN"/>
        </w:rPr>
        <w:t xml:space="preserve">associated </w:t>
      </w:r>
      <w:r w:rsidR="00A403A4" w:rsidRPr="002C3CF3">
        <w:rPr>
          <w:sz w:val="20"/>
          <w:lang w:eastAsia="zh-CN"/>
        </w:rPr>
        <w:t>learning is something that</w:t>
      </w:r>
      <w:r w:rsidR="0034357A">
        <w:rPr>
          <w:sz w:val="20"/>
          <w:lang w:eastAsia="zh-CN"/>
        </w:rPr>
        <w:t xml:space="preserve"> cannot be gained elsewhere. </w:t>
      </w:r>
    </w:p>
    <w:p w14:paraId="17F66695" w14:textId="77777777" w:rsidR="002027BE" w:rsidRPr="002C3CF3" w:rsidRDefault="00293FDB" w:rsidP="00C32082">
      <w:pPr>
        <w:pStyle w:val="Heading2"/>
      </w:pPr>
      <w:bookmarkStart w:id="18" w:name="_Toc5995714"/>
      <w:r w:rsidRPr="002C3CF3">
        <w:t>AAE Team</w:t>
      </w:r>
      <w:bookmarkEnd w:id="17"/>
      <w:bookmarkEnd w:id="18"/>
    </w:p>
    <w:p w14:paraId="5CB54A99" w14:textId="75F936A4" w:rsidR="00214922" w:rsidRPr="002C3CF3" w:rsidRDefault="00214922" w:rsidP="00DD3D86">
      <w:pPr>
        <w:spacing w:before="180"/>
        <w:jc w:val="both"/>
        <w:rPr>
          <w:sz w:val="20"/>
          <w:lang w:val="en-GB" w:eastAsia="zh-CN"/>
        </w:rPr>
      </w:pPr>
      <w:bookmarkStart w:id="19" w:name="_Toc524277819"/>
      <w:r w:rsidRPr="002C3CF3">
        <w:rPr>
          <w:sz w:val="20"/>
          <w:lang w:val="en-GB" w:eastAsia="zh-CN"/>
        </w:rPr>
        <w:t xml:space="preserve">The AAE team has welcomed Sahibjeet Bains, Luke Farrar, Harrison McKenzie-McHarg, Lachlan Phillips and Khurshed Mehta as junior analysts. The junior analysts </w:t>
      </w:r>
      <w:r w:rsidR="002B0DB5">
        <w:rPr>
          <w:sz w:val="20"/>
          <w:lang w:val="en-GB" w:eastAsia="zh-CN"/>
        </w:rPr>
        <w:t>are being</w:t>
      </w:r>
      <w:r w:rsidR="00BD0A7C">
        <w:rPr>
          <w:sz w:val="20"/>
          <w:lang w:val="en-GB" w:eastAsia="zh-CN"/>
        </w:rPr>
        <w:t xml:space="preserve"> </w:t>
      </w:r>
      <w:r w:rsidRPr="002C3CF3">
        <w:rPr>
          <w:sz w:val="20"/>
          <w:lang w:val="en-GB" w:eastAsia="zh-CN"/>
        </w:rPr>
        <w:t>mentor</w:t>
      </w:r>
      <w:r w:rsidR="00BD0A7C">
        <w:rPr>
          <w:sz w:val="20"/>
          <w:lang w:val="en-GB" w:eastAsia="zh-CN"/>
        </w:rPr>
        <w:t xml:space="preserve">ed by </w:t>
      </w:r>
      <w:r w:rsidR="00E3163C">
        <w:rPr>
          <w:sz w:val="20"/>
          <w:lang w:val="en-GB" w:eastAsia="zh-CN"/>
        </w:rPr>
        <w:t xml:space="preserve">the </w:t>
      </w:r>
      <w:r w:rsidRPr="002C3CF3">
        <w:rPr>
          <w:sz w:val="20"/>
          <w:lang w:val="en-GB" w:eastAsia="zh-CN"/>
        </w:rPr>
        <w:t xml:space="preserve">senior </w:t>
      </w:r>
      <w:r w:rsidR="00E3163C">
        <w:rPr>
          <w:sz w:val="20"/>
          <w:lang w:val="en-GB" w:eastAsia="zh-CN"/>
        </w:rPr>
        <w:t xml:space="preserve">team members </w:t>
      </w:r>
      <w:r w:rsidR="00062FC2">
        <w:rPr>
          <w:sz w:val="20"/>
          <w:lang w:val="en-GB" w:eastAsia="zh-CN"/>
        </w:rPr>
        <w:t xml:space="preserve">– </w:t>
      </w:r>
      <w:r w:rsidRPr="002C3CF3">
        <w:rPr>
          <w:sz w:val="20"/>
          <w:lang w:val="en-GB" w:eastAsia="zh-CN"/>
        </w:rPr>
        <w:t>Aiyun</w:t>
      </w:r>
      <w:r w:rsidR="00656C1A">
        <w:rPr>
          <w:sz w:val="20"/>
          <w:lang w:val="en-GB" w:eastAsia="zh-CN"/>
        </w:rPr>
        <w:t xml:space="preserve"> (Stephanie)</w:t>
      </w:r>
      <w:r w:rsidR="007D7FC2">
        <w:rPr>
          <w:sz w:val="20"/>
          <w:lang w:val="en-GB" w:eastAsia="zh-CN"/>
        </w:rPr>
        <w:t xml:space="preserve"> Li</w:t>
      </w:r>
      <w:r w:rsidRPr="002C3CF3">
        <w:rPr>
          <w:sz w:val="20"/>
          <w:lang w:val="en-GB" w:eastAsia="zh-CN"/>
        </w:rPr>
        <w:t xml:space="preserve">, Chengxuan </w:t>
      </w:r>
      <w:r w:rsidR="007D7FC2">
        <w:rPr>
          <w:sz w:val="20"/>
          <w:lang w:val="en-GB" w:eastAsia="zh-CN"/>
        </w:rPr>
        <w:t xml:space="preserve">(Charles) Zhang </w:t>
      </w:r>
      <w:r w:rsidRPr="002C3CF3">
        <w:rPr>
          <w:sz w:val="20"/>
          <w:lang w:val="en-GB" w:eastAsia="zh-CN"/>
        </w:rPr>
        <w:t>and Chuxuan</w:t>
      </w:r>
      <w:r w:rsidR="007D7FC2">
        <w:rPr>
          <w:sz w:val="20"/>
          <w:lang w:val="en-GB" w:eastAsia="zh-CN"/>
        </w:rPr>
        <w:t xml:space="preserve"> (Jessie)</w:t>
      </w:r>
      <w:r w:rsidR="00BF3758">
        <w:rPr>
          <w:sz w:val="20"/>
          <w:lang w:val="en-GB" w:eastAsia="zh-CN"/>
        </w:rPr>
        <w:t xml:space="preserve"> </w:t>
      </w:r>
      <w:r w:rsidRPr="002C3CF3">
        <w:rPr>
          <w:sz w:val="20"/>
          <w:lang w:val="en-GB" w:eastAsia="zh-CN"/>
        </w:rPr>
        <w:t xml:space="preserve">Jiang </w:t>
      </w:r>
      <w:r w:rsidR="00062FC2">
        <w:rPr>
          <w:sz w:val="20"/>
          <w:lang w:val="en-GB" w:eastAsia="zh-CN"/>
        </w:rPr>
        <w:t>– in</w:t>
      </w:r>
      <w:r w:rsidRPr="002C3CF3">
        <w:rPr>
          <w:sz w:val="20"/>
          <w:lang w:val="en-GB" w:eastAsia="zh-CN"/>
        </w:rPr>
        <w:t xml:space="preserve"> undertak</w:t>
      </w:r>
      <w:r w:rsidR="00062FC2">
        <w:rPr>
          <w:sz w:val="20"/>
          <w:lang w:val="en-GB" w:eastAsia="zh-CN"/>
        </w:rPr>
        <w:t>ing</w:t>
      </w:r>
      <w:r w:rsidRPr="002C3CF3">
        <w:rPr>
          <w:sz w:val="20"/>
          <w:lang w:val="en-GB" w:eastAsia="zh-CN"/>
        </w:rPr>
        <w:t xml:space="preserve"> stock analysis and writ</w:t>
      </w:r>
      <w:r w:rsidR="00062FC2">
        <w:rPr>
          <w:sz w:val="20"/>
          <w:lang w:val="en-GB" w:eastAsia="zh-CN"/>
        </w:rPr>
        <w:t>ing</w:t>
      </w:r>
      <w:r w:rsidRPr="002C3CF3">
        <w:rPr>
          <w:sz w:val="20"/>
          <w:lang w:val="en-GB" w:eastAsia="zh-CN"/>
        </w:rPr>
        <w:t xml:space="preserve"> and present</w:t>
      </w:r>
      <w:r w:rsidR="00062FC2">
        <w:rPr>
          <w:sz w:val="20"/>
          <w:lang w:val="en-GB" w:eastAsia="zh-CN"/>
        </w:rPr>
        <w:t>ing</w:t>
      </w:r>
      <w:r w:rsidRPr="002C3CF3">
        <w:rPr>
          <w:sz w:val="20"/>
          <w:lang w:val="en-GB" w:eastAsia="zh-CN"/>
        </w:rPr>
        <w:t xml:space="preserve"> stock reports. </w:t>
      </w:r>
      <w:r w:rsidRPr="009907D9">
        <w:rPr>
          <w:sz w:val="20"/>
          <w:lang w:val="en-GB" w:eastAsia="zh-CN"/>
        </w:rPr>
        <w:t xml:space="preserve">Senior Analyst </w:t>
      </w:r>
      <w:r w:rsidR="001A3E83" w:rsidRPr="009907D9">
        <w:rPr>
          <w:sz w:val="20"/>
          <w:lang w:val="en-GB" w:eastAsia="zh-CN"/>
        </w:rPr>
        <w:t xml:space="preserve">Stephanie </w:t>
      </w:r>
      <w:r w:rsidRPr="009907D9">
        <w:rPr>
          <w:sz w:val="20"/>
          <w:lang w:val="en-GB" w:eastAsia="zh-CN"/>
        </w:rPr>
        <w:t xml:space="preserve">and Portfolio Manager </w:t>
      </w:r>
      <w:r w:rsidR="00E3163C" w:rsidRPr="009907D9">
        <w:rPr>
          <w:sz w:val="20"/>
          <w:lang w:val="en-GB" w:eastAsia="zh-CN"/>
        </w:rPr>
        <w:t xml:space="preserve">Charles </w:t>
      </w:r>
      <w:r w:rsidRPr="009907D9">
        <w:rPr>
          <w:sz w:val="20"/>
          <w:lang w:val="en-GB" w:eastAsia="zh-CN"/>
        </w:rPr>
        <w:t xml:space="preserve">have been </w:t>
      </w:r>
      <w:r w:rsidR="00FD3376" w:rsidRPr="009907D9">
        <w:rPr>
          <w:sz w:val="20"/>
          <w:lang w:val="en-GB" w:eastAsia="zh-CN"/>
        </w:rPr>
        <w:t xml:space="preserve">taking lead roles in </w:t>
      </w:r>
      <w:r w:rsidRPr="009907D9">
        <w:rPr>
          <w:sz w:val="20"/>
          <w:lang w:val="en-GB" w:eastAsia="zh-CN"/>
        </w:rPr>
        <w:t xml:space="preserve">evaluating </w:t>
      </w:r>
      <w:r w:rsidR="00B4286A" w:rsidRPr="009907D9">
        <w:rPr>
          <w:sz w:val="20"/>
          <w:lang w:val="en-GB" w:eastAsia="zh-CN"/>
        </w:rPr>
        <w:t>the Fund’s</w:t>
      </w:r>
      <w:r w:rsidR="00030717" w:rsidRPr="009907D9">
        <w:rPr>
          <w:sz w:val="20"/>
          <w:lang w:val="en-GB" w:eastAsia="zh-CN"/>
        </w:rPr>
        <w:t xml:space="preserve"> existing investments, including </w:t>
      </w:r>
      <w:r w:rsidR="00B4286A" w:rsidRPr="009907D9">
        <w:rPr>
          <w:sz w:val="20"/>
          <w:lang w:val="en-GB" w:eastAsia="zh-CN"/>
        </w:rPr>
        <w:t>Bingo Industries</w:t>
      </w:r>
      <w:r w:rsidR="004A2F52" w:rsidRPr="009907D9">
        <w:rPr>
          <w:sz w:val="20"/>
          <w:lang w:val="en-GB" w:eastAsia="zh-CN"/>
        </w:rPr>
        <w:t>,</w:t>
      </w:r>
      <w:r w:rsidR="002718C1" w:rsidRPr="009907D9">
        <w:rPr>
          <w:sz w:val="20"/>
          <w:lang w:val="en-GB" w:eastAsia="zh-CN"/>
        </w:rPr>
        <w:t xml:space="preserve"> </w:t>
      </w:r>
      <w:r w:rsidR="0052505E" w:rsidRPr="009907D9">
        <w:rPr>
          <w:sz w:val="20"/>
          <w:lang w:val="en-GB" w:eastAsia="zh-CN"/>
        </w:rPr>
        <w:t xml:space="preserve">while </w:t>
      </w:r>
      <w:r w:rsidR="004B474E" w:rsidRPr="009907D9">
        <w:rPr>
          <w:sz w:val="20"/>
          <w:lang w:val="en-GB" w:eastAsia="zh-CN"/>
        </w:rPr>
        <w:t>also researching</w:t>
      </w:r>
      <w:r w:rsidR="0052505E" w:rsidRPr="009907D9">
        <w:rPr>
          <w:sz w:val="20"/>
          <w:lang w:val="en-GB" w:eastAsia="zh-CN"/>
        </w:rPr>
        <w:t xml:space="preserve"> </w:t>
      </w:r>
      <w:r w:rsidR="00062FC2" w:rsidRPr="009907D9">
        <w:rPr>
          <w:sz w:val="20"/>
          <w:lang w:val="en-GB" w:eastAsia="zh-CN"/>
        </w:rPr>
        <w:t xml:space="preserve">other </w:t>
      </w:r>
      <w:r w:rsidR="00030717" w:rsidRPr="009907D9">
        <w:rPr>
          <w:sz w:val="20"/>
          <w:lang w:val="en-GB" w:eastAsia="zh-CN"/>
        </w:rPr>
        <w:t xml:space="preserve">potential </w:t>
      </w:r>
      <w:r w:rsidR="0052505E" w:rsidRPr="009907D9">
        <w:rPr>
          <w:sz w:val="20"/>
          <w:lang w:val="en-GB" w:eastAsia="zh-CN"/>
        </w:rPr>
        <w:t>investments</w:t>
      </w:r>
      <w:r w:rsidR="0052505E" w:rsidRPr="00062FC2">
        <w:rPr>
          <w:sz w:val="20"/>
          <w:lang w:val="en-GB" w:eastAsia="zh-CN"/>
        </w:rPr>
        <w:t xml:space="preserve">. </w:t>
      </w:r>
      <w:r w:rsidRPr="00062FC2">
        <w:rPr>
          <w:sz w:val="20"/>
          <w:lang w:val="en-GB" w:eastAsia="zh-CN"/>
        </w:rPr>
        <w:t>This has been a</w:t>
      </w:r>
      <w:r w:rsidR="00340ACF" w:rsidRPr="00062FC2">
        <w:rPr>
          <w:sz w:val="20"/>
          <w:lang w:val="en-GB" w:eastAsia="zh-CN"/>
        </w:rPr>
        <w:t xml:space="preserve"> challeng</w:t>
      </w:r>
      <w:r w:rsidR="00340ACF">
        <w:rPr>
          <w:sz w:val="20"/>
          <w:lang w:val="en-GB" w:eastAsia="zh-CN"/>
        </w:rPr>
        <w:t xml:space="preserve">ing </w:t>
      </w:r>
      <w:r w:rsidRPr="002C3CF3">
        <w:rPr>
          <w:sz w:val="20"/>
          <w:lang w:val="en-GB" w:eastAsia="zh-CN"/>
        </w:rPr>
        <w:t xml:space="preserve">but educational task for the AAE team. </w:t>
      </w:r>
      <w:r w:rsidR="00062FC2">
        <w:rPr>
          <w:sz w:val="20"/>
          <w:lang w:val="en-GB" w:eastAsia="zh-CN"/>
        </w:rPr>
        <w:t xml:space="preserve">As </w:t>
      </w:r>
      <w:r w:rsidRPr="002C3CF3">
        <w:rPr>
          <w:sz w:val="20"/>
          <w:lang w:val="en-GB" w:eastAsia="zh-CN"/>
        </w:rPr>
        <w:t>Head of AAE</w:t>
      </w:r>
      <w:r w:rsidR="00E3163C">
        <w:rPr>
          <w:sz w:val="20"/>
          <w:lang w:val="en-GB" w:eastAsia="zh-CN"/>
        </w:rPr>
        <w:t>,</w:t>
      </w:r>
      <w:r w:rsidRPr="002C3CF3">
        <w:rPr>
          <w:sz w:val="20"/>
          <w:lang w:val="en-GB" w:eastAsia="zh-CN"/>
        </w:rPr>
        <w:t xml:space="preserve"> </w:t>
      </w:r>
      <w:r w:rsidR="00E3163C">
        <w:rPr>
          <w:sz w:val="20"/>
          <w:lang w:val="en-GB" w:eastAsia="zh-CN"/>
        </w:rPr>
        <w:t xml:space="preserve">Jessie </w:t>
      </w:r>
      <w:r w:rsidRPr="002C3CF3">
        <w:rPr>
          <w:sz w:val="20"/>
          <w:lang w:val="en-GB" w:eastAsia="zh-CN"/>
        </w:rPr>
        <w:t xml:space="preserve">has been heavily involved in the assignment and review of all AAE tasks conducted. </w:t>
      </w:r>
    </w:p>
    <w:p w14:paraId="7CCB7711" w14:textId="77777777" w:rsidR="00293FDB" w:rsidRPr="002C3CF3" w:rsidRDefault="00293FDB" w:rsidP="00C32082">
      <w:pPr>
        <w:pStyle w:val="Heading2"/>
      </w:pPr>
      <w:bookmarkStart w:id="20" w:name="_Toc5995715"/>
      <w:r w:rsidRPr="002C3CF3">
        <w:t>R&amp;C Team</w:t>
      </w:r>
      <w:bookmarkEnd w:id="19"/>
      <w:bookmarkEnd w:id="20"/>
    </w:p>
    <w:p w14:paraId="154179D2" w14:textId="562E08E3" w:rsidR="00214922" w:rsidRPr="002C3CF3" w:rsidRDefault="00062FC2" w:rsidP="00DD3D86">
      <w:pPr>
        <w:spacing w:before="180"/>
        <w:jc w:val="both"/>
        <w:rPr>
          <w:sz w:val="20"/>
          <w:lang w:val="en-GB" w:eastAsia="zh-CN"/>
        </w:rPr>
      </w:pPr>
      <w:bookmarkStart w:id="21" w:name="_Toc524277820"/>
      <w:r>
        <w:rPr>
          <w:sz w:val="20"/>
          <w:lang w:val="en-GB" w:eastAsia="zh-CN"/>
        </w:rPr>
        <w:t>Chaoqi (</w:t>
      </w:r>
      <w:r w:rsidR="00214922" w:rsidRPr="002C3CF3">
        <w:rPr>
          <w:sz w:val="20"/>
          <w:lang w:val="en-GB" w:eastAsia="zh-CN"/>
        </w:rPr>
        <w:t>Shawn</w:t>
      </w:r>
      <w:r>
        <w:rPr>
          <w:sz w:val="20"/>
          <w:lang w:val="en-GB" w:eastAsia="zh-CN"/>
        </w:rPr>
        <w:t>)</w:t>
      </w:r>
      <w:r w:rsidR="00214922" w:rsidRPr="002C3CF3">
        <w:rPr>
          <w:sz w:val="20"/>
          <w:lang w:val="en-GB" w:eastAsia="zh-CN"/>
        </w:rPr>
        <w:t xml:space="preserve"> Lin and Alisha Nath (50%) have joined the R&amp;C team as junior analysts</w:t>
      </w:r>
      <w:r w:rsidR="002B0DB5">
        <w:rPr>
          <w:sz w:val="20"/>
          <w:lang w:val="en-GB" w:eastAsia="zh-CN"/>
        </w:rPr>
        <w:t>, to</w:t>
      </w:r>
      <w:r w:rsidR="00214922" w:rsidRPr="002C3CF3">
        <w:rPr>
          <w:sz w:val="20"/>
          <w:lang w:val="en-GB" w:eastAsia="zh-CN"/>
        </w:rPr>
        <w:t xml:space="preserve"> assist in furthering progress regarding </w:t>
      </w:r>
      <w:r w:rsidR="00E3163C">
        <w:rPr>
          <w:sz w:val="20"/>
          <w:lang w:val="en-GB" w:eastAsia="zh-CN"/>
        </w:rPr>
        <w:t>r</w:t>
      </w:r>
      <w:r w:rsidR="00214922" w:rsidRPr="002C3CF3">
        <w:rPr>
          <w:sz w:val="20"/>
          <w:lang w:val="en-GB" w:eastAsia="zh-CN"/>
        </w:rPr>
        <w:t xml:space="preserve">isk </w:t>
      </w:r>
      <w:r w:rsidR="00E3163C">
        <w:rPr>
          <w:sz w:val="20"/>
          <w:lang w:val="en-GB" w:eastAsia="zh-CN"/>
        </w:rPr>
        <w:t>m</w:t>
      </w:r>
      <w:r w:rsidR="00214922" w:rsidRPr="002C3CF3">
        <w:rPr>
          <w:sz w:val="20"/>
          <w:lang w:val="en-GB" w:eastAsia="zh-CN"/>
        </w:rPr>
        <w:t xml:space="preserve">anagement and </w:t>
      </w:r>
      <w:r w:rsidR="00E3163C">
        <w:rPr>
          <w:sz w:val="20"/>
          <w:lang w:val="en-GB" w:eastAsia="zh-CN"/>
        </w:rPr>
        <w:t>c</w:t>
      </w:r>
      <w:r w:rsidR="00214922" w:rsidRPr="002C3CF3">
        <w:rPr>
          <w:sz w:val="20"/>
          <w:lang w:val="en-GB" w:eastAsia="zh-CN"/>
        </w:rPr>
        <w:t>ompliance</w:t>
      </w:r>
      <w:r w:rsidR="00E3163C">
        <w:rPr>
          <w:sz w:val="20"/>
          <w:lang w:val="en-GB" w:eastAsia="zh-CN"/>
        </w:rPr>
        <w:t xml:space="preserve"> with Fund policy</w:t>
      </w:r>
      <w:r w:rsidR="00214922" w:rsidRPr="002C3CF3">
        <w:rPr>
          <w:sz w:val="20"/>
          <w:lang w:val="en-GB" w:eastAsia="zh-CN"/>
        </w:rPr>
        <w:t xml:space="preserve">. </w:t>
      </w:r>
      <w:r w:rsidR="00E3163C">
        <w:rPr>
          <w:sz w:val="20"/>
          <w:lang w:val="en-GB" w:eastAsia="zh-CN"/>
        </w:rPr>
        <w:t xml:space="preserve">Under the </w:t>
      </w:r>
      <w:r w:rsidR="002A05AB">
        <w:rPr>
          <w:sz w:val="20"/>
          <w:lang w:val="en-GB" w:eastAsia="zh-CN"/>
        </w:rPr>
        <w:t>oversight</w:t>
      </w:r>
      <w:r w:rsidR="002A05AB" w:rsidRPr="002C3CF3">
        <w:rPr>
          <w:sz w:val="20"/>
          <w:lang w:val="en-GB" w:eastAsia="zh-CN"/>
        </w:rPr>
        <w:t xml:space="preserve"> </w:t>
      </w:r>
      <w:r w:rsidR="00214922" w:rsidRPr="002C3CF3">
        <w:rPr>
          <w:sz w:val="20"/>
          <w:lang w:val="en-GB" w:eastAsia="zh-CN"/>
        </w:rPr>
        <w:t>of</w:t>
      </w:r>
      <w:r w:rsidR="00BB07B6">
        <w:rPr>
          <w:sz w:val="20"/>
          <w:lang w:val="en-GB" w:eastAsia="zh-CN"/>
        </w:rPr>
        <w:t xml:space="preserve"> Chief Risk Officer (CRO)</w:t>
      </w:r>
      <w:r w:rsidR="00214922" w:rsidRPr="002C3CF3">
        <w:rPr>
          <w:sz w:val="20"/>
          <w:lang w:val="en-GB" w:eastAsia="zh-CN"/>
        </w:rPr>
        <w:t xml:space="preserve"> Azmina Hossain, </w:t>
      </w:r>
      <w:r w:rsidR="00E3163C">
        <w:rPr>
          <w:sz w:val="20"/>
          <w:lang w:val="en-GB" w:eastAsia="zh-CN"/>
        </w:rPr>
        <w:t xml:space="preserve">both </w:t>
      </w:r>
      <w:r w:rsidR="00214922" w:rsidRPr="002C3CF3">
        <w:rPr>
          <w:sz w:val="20"/>
          <w:lang w:val="en-GB" w:eastAsia="zh-CN"/>
        </w:rPr>
        <w:t xml:space="preserve">have been performing risk and SRI evaluation on the stocks selected by the AAE </w:t>
      </w:r>
      <w:r w:rsidR="002A05AB">
        <w:rPr>
          <w:sz w:val="20"/>
          <w:lang w:val="en-GB" w:eastAsia="zh-CN"/>
        </w:rPr>
        <w:t xml:space="preserve">team </w:t>
      </w:r>
      <w:r w:rsidR="00214922" w:rsidRPr="002C3CF3">
        <w:rPr>
          <w:sz w:val="20"/>
          <w:lang w:val="en-GB" w:eastAsia="zh-CN"/>
        </w:rPr>
        <w:t xml:space="preserve">for further analysis. Azmina has </w:t>
      </w:r>
      <w:r w:rsidR="00C9161C">
        <w:rPr>
          <w:sz w:val="20"/>
          <w:lang w:val="en-GB" w:eastAsia="zh-CN"/>
        </w:rPr>
        <w:t xml:space="preserve">enhanced the Fund’s </w:t>
      </w:r>
      <w:r w:rsidR="00E3163C">
        <w:rPr>
          <w:sz w:val="20"/>
          <w:lang w:val="en-GB" w:eastAsia="zh-CN"/>
        </w:rPr>
        <w:t>p</w:t>
      </w:r>
      <w:r w:rsidR="00214922" w:rsidRPr="002C3CF3">
        <w:rPr>
          <w:sz w:val="20"/>
          <w:lang w:val="en-GB" w:eastAsia="zh-CN"/>
        </w:rPr>
        <w:t xml:space="preserve">erformance </w:t>
      </w:r>
      <w:r w:rsidR="00E3163C">
        <w:rPr>
          <w:sz w:val="20"/>
          <w:lang w:val="en-GB" w:eastAsia="zh-CN"/>
        </w:rPr>
        <w:t>a</w:t>
      </w:r>
      <w:r w:rsidR="00214922" w:rsidRPr="002C3CF3">
        <w:rPr>
          <w:sz w:val="20"/>
          <w:lang w:val="en-GB" w:eastAsia="zh-CN"/>
        </w:rPr>
        <w:t xml:space="preserve">ttribution </w:t>
      </w:r>
      <w:r w:rsidR="002A05AB">
        <w:rPr>
          <w:sz w:val="20"/>
          <w:lang w:val="en-GB" w:eastAsia="zh-CN"/>
        </w:rPr>
        <w:t>m</w:t>
      </w:r>
      <w:r w:rsidR="002A05AB" w:rsidRPr="002C3CF3">
        <w:rPr>
          <w:sz w:val="20"/>
          <w:lang w:val="en-GB" w:eastAsia="zh-CN"/>
        </w:rPr>
        <w:t>odel</w:t>
      </w:r>
      <w:r w:rsidR="00E3163C">
        <w:rPr>
          <w:sz w:val="20"/>
          <w:lang w:val="en-GB" w:eastAsia="zh-CN"/>
        </w:rPr>
        <w:t>,</w:t>
      </w:r>
      <w:r w:rsidR="002A05AB" w:rsidRPr="002C3CF3">
        <w:rPr>
          <w:sz w:val="20"/>
          <w:lang w:val="en-GB" w:eastAsia="zh-CN"/>
        </w:rPr>
        <w:t xml:space="preserve"> </w:t>
      </w:r>
      <w:r w:rsidR="00214922" w:rsidRPr="002C3CF3">
        <w:rPr>
          <w:sz w:val="20"/>
          <w:lang w:val="en-GB" w:eastAsia="zh-CN"/>
        </w:rPr>
        <w:t xml:space="preserve">and this has been </w:t>
      </w:r>
      <w:r w:rsidR="00CB4612">
        <w:rPr>
          <w:sz w:val="20"/>
          <w:lang w:val="en-GB" w:eastAsia="zh-CN"/>
        </w:rPr>
        <w:t xml:space="preserve">an </w:t>
      </w:r>
      <w:r w:rsidR="00214922" w:rsidRPr="002C3CF3">
        <w:rPr>
          <w:sz w:val="20"/>
          <w:lang w:val="en-GB" w:eastAsia="zh-CN"/>
        </w:rPr>
        <w:t>important</w:t>
      </w:r>
      <w:r w:rsidR="00CB4612">
        <w:rPr>
          <w:sz w:val="20"/>
          <w:lang w:val="en-GB" w:eastAsia="zh-CN"/>
        </w:rPr>
        <w:t xml:space="preserve"> step</w:t>
      </w:r>
      <w:r w:rsidR="00214922" w:rsidRPr="002C3CF3">
        <w:rPr>
          <w:sz w:val="20"/>
          <w:lang w:val="en-GB" w:eastAsia="zh-CN"/>
        </w:rPr>
        <w:t xml:space="preserve"> </w:t>
      </w:r>
      <w:r w:rsidR="00E3163C">
        <w:rPr>
          <w:sz w:val="20"/>
          <w:lang w:val="en-GB" w:eastAsia="zh-CN"/>
        </w:rPr>
        <w:t>in</w:t>
      </w:r>
      <w:r w:rsidR="00214922" w:rsidRPr="002C3CF3">
        <w:rPr>
          <w:sz w:val="20"/>
          <w:lang w:val="en-GB" w:eastAsia="zh-CN"/>
        </w:rPr>
        <w:t xml:space="preserve"> progressing </w:t>
      </w:r>
      <w:r w:rsidR="002A05AB">
        <w:rPr>
          <w:sz w:val="20"/>
          <w:lang w:val="en-GB" w:eastAsia="zh-CN"/>
        </w:rPr>
        <w:t xml:space="preserve">the </w:t>
      </w:r>
      <w:r w:rsidR="00C9161C">
        <w:rPr>
          <w:sz w:val="20"/>
          <w:lang w:val="en-GB" w:eastAsia="zh-CN"/>
        </w:rPr>
        <w:t xml:space="preserve">performance reporting procedures. </w:t>
      </w:r>
      <w:r w:rsidR="00797F87">
        <w:rPr>
          <w:sz w:val="20"/>
          <w:lang w:val="en-GB" w:eastAsia="zh-CN"/>
        </w:rPr>
        <w:t>A large focus for R&amp;C has been increas</w:t>
      </w:r>
      <w:r w:rsidR="00E3163C">
        <w:rPr>
          <w:sz w:val="20"/>
          <w:lang w:val="en-GB" w:eastAsia="zh-CN"/>
        </w:rPr>
        <w:t>ed</w:t>
      </w:r>
      <w:r w:rsidR="00797F87">
        <w:rPr>
          <w:sz w:val="20"/>
          <w:lang w:val="en-GB" w:eastAsia="zh-CN"/>
        </w:rPr>
        <w:t xml:space="preserve"> collaboration with other teams to ensure </w:t>
      </w:r>
      <w:r w:rsidR="00E3163C">
        <w:rPr>
          <w:sz w:val="20"/>
          <w:lang w:val="en-GB" w:eastAsia="zh-CN"/>
        </w:rPr>
        <w:t>a shared</w:t>
      </w:r>
      <w:r w:rsidR="00797F87">
        <w:rPr>
          <w:sz w:val="20"/>
          <w:lang w:val="en-GB" w:eastAsia="zh-CN"/>
        </w:rPr>
        <w:t xml:space="preserve"> responsibility for risk management. </w:t>
      </w:r>
      <w:r w:rsidR="00CD6ABA">
        <w:rPr>
          <w:sz w:val="20"/>
          <w:lang w:val="en-GB" w:eastAsia="zh-CN"/>
        </w:rPr>
        <w:t xml:space="preserve">Shawn has </w:t>
      </w:r>
      <w:r w:rsidR="00214922" w:rsidRPr="002C3CF3">
        <w:rPr>
          <w:sz w:val="20"/>
          <w:lang w:val="en-GB" w:eastAsia="zh-CN"/>
        </w:rPr>
        <w:t xml:space="preserve">been </w:t>
      </w:r>
      <w:r w:rsidR="00E3163C">
        <w:rPr>
          <w:sz w:val="20"/>
          <w:lang w:val="en-GB" w:eastAsia="zh-CN"/>
        </w:rPr>
        <w:t xml:space="preserve">working with the </w:t>
      </w:r>
      <w:r w:rsidR="00214922" w:rsidRPr="002C3CF3">
        <w:rPr>
          <w:sz w:val="20"/>
          <w:lang w:val="en-GB" w:eastAsia="zh-CN"/>
        </w:rPr>
        <w:t xml:space="preserve">AA </w:t>
      </w:r>
      <w:r w:rsidR="00E3163C">
        <w:rPr>
          <w:sz w:val="20"/>
          <w:lang w:val="en-GB" w:eastAsia="zh-CN"/>
        </w:rPr>
        <w:t>team</w:t>
      </w:r>
      <w:r w:rsidR="00214922" w:rsidRPr="002C3CF3">
        <w:rPr>
          <w:sz w:val="20"/>
          <w:lang w:val="en-GB" w:eastAsia="zh-CN"/>
        </w:rPr>
        <w:t xml:space="preserve"> to </w:t>
      </w:r>
      <w:r w:rsidR="00573714">
        <w:rPr>
          <w:sz w:val="20"/>
          <w:lang w:val="en-GB" w:eastAsia="zh-CN"/>
        </w:rPr>
        <w:t xml:space="preserve">assist </w:t>
      </w:r>
      <w:r w:rsidR="00E3163C">
        <w:rPr>
          <w:sz w:val="20"/>
          <w:lang w:val="en-GB" w:eastAsia="zh-CN"/>
        </w:rPr>
        <w:t>with</w:t>
      </w:r>
      <w:r w:rsidR="000D2ACA">
        <w:rPr>
          <w:sz w:val="20"/>
          <w:lang w:val="en-GB" w:eastAsia="zh-CN"/>
        </w:rPr>
        <w:t xml:space="preserve"> incorporating risk management into </w:t>
      </w:r>
      <w:r w:rsidR="00B9224F">
        <w:rPr>
          <w:sz w:val="20"/>
          <w:lang w:val="en-GB" w:eastAsia="zh-CN"/>
        </w:rPr>
        <w:t xml:space="preserve">the </w:t>
      </w:r>
      <w:r w:rsidR="00E3163C">
        <w:rPr>
          <w:sz w:val="20"/>
          <w:lang w:val="en-GB" w:eastAsia="zh-CN"/>
        </w:rPr>
        <w:t>AA</w:t>
      </w:r>
      <w:r w:rsidR="000D2ACA">
        <w:rPr>
          <w:sz w:val="20"/>
          <w:lang w:val="en-GB" w:eastAsia="zh-CN"/>
        </w:rPr>
        <w:t xml:space="preserve"> IP and models. </w:t>
      </w:r>
      <w:r w:rsidR="00214922" w:rsidRPr="002C3CF3">
        <w:rPr>
          <w:sz w:val="20"/>
          <w:lang w:val="en-GB" w:eastAsia="zh-CN"/>
        </w:rPr>
        <w:t xml:space="preserve">Azmina and Alisha have been attending AAE </w:t>
      </w:r>
      <w:r>
        <w:rPr>
          <w:sz w:val="20"/>
          <w:lang w:val="en-GB" w:eastAsia="zh-CN"/>
        </w:rPr>
        <w:t xml:space="preserve">team </w:t>
      </w:r>
      <w:r w:rsidR="00214922" w:rsidRPr="002C3CF3">
        <w:rPr>
          <w:sz w:val="20"/>
          <w:lang w:val="en-GB" w:eastAsia="zh-CN"/>
        </w:rPr>
        <w:t xml:space="preserve">meetings to </w:t>
      </w:r>
      <w:r w:rsidR="00124134">
        <w:rPr>
          <w:sz w:val="20"/>
          <w:lang w:val="en-GB" w:eastAsia="zh-CN"/>
        </w:rPr>
        <w:t xml:space="preserve">help </w:t>
      </w:r>
      <w:r w:rsidR="00214922" w:rsidRPr="002C3CF3">
        <w:rPr>
          <w:sz w:val="20"/>
          <w:lang w:val="en-GB" w:eastAsia="zh-CN"/>
        </w:rPr>
        <w:t xml:space="preserve">ensure that the </w:t>
      </w:r>
      <w:r w:rsidR="00124134">
        <w:rPr>
          <w:sz w:val="20"/>
          <w:lang w:val="en-GB" w:eastAsia="zh-CN"/>
        </w:rPr>
        <w:t xml:space="preserve">stocks owned </w:t>
      </w:r>
      <w:r w:rsidR="00214922" w:rsidRPr="002C3CF3">
        <w:rPr>
          <w:sz w:val="20"/>
          <w:lang w:val="en-GB" w:eastAsia="zh-CN"/>
        </w:rPr>
        <w:t xml:space="preserve">comply with </w:t>
      </w:r>
      <w:r w:rsidR="00124134">
        <w:rPr>
          <w:sz w:val="20"/>
          <w:lang w:val="en-GB" w:eastAsia="zh-CN"/>
        </w:rPr>
        <w:t>investment policy</w:t>
      </w:r>
      <w:r w:rsidR="00214922" w:rsidRPr="002C3CF3">
        <w:rPr>
          <w:sz w:val="20"/>
          <w:lang w:val="en-GB" w:eastAsia="zh-CN"/>
        </w:rPr>
        <w:t xml:space="preserve">. Additionally, Azmina and Alisha have been advancing the </w:t>
      </w:r>
      <w:r w:rsidR="00124134">
        <w:rPr>
          <w:sz w:val="20"/>
          <w:lang w:val="en-GB" w:eastAsia="zh-CN"/>
        </w:rPr>
        <w:t xml:space="preserve">idea of </w:t>
      </w:r>
      <w:r w:rsidR="00214922" w:rsidRPr="002C3CF3">
        <w:rPr>
          <w:sz w:val="20"/>
          <w:lang w:val="en-GB" w:eastAsia="zh-CN"/>
        </w:rPr>
        <w:t xml:space="preserve">identifying and managing behavioural risks </w:t>
      </w:r>
      <w:r w:rsidR="00124134">
        <w:rPr>
          <w:sz w:val="20"/>
          <w:lang w:val="en-GB" w:eastAsia="zh-CN"/>
        </w:rPr>
        <w:t xml:space="preserve">that might arise </w:t>
      </w:r>
      <w:r w:rsidR="00214922" w:rsidRPr="002C3CF3">
        <w:rPr>
          <w:sz w:val="20"/>
          <w:lang w:val="en-GB" w:eastAsia="zh-CN"/>
        </w:rPr>
        <w:t xml:space="preserve">during the stock selection process. </w:t>
      </w:r>
    </w:p>
    <w:p w14:paraId="36814FE3" w14:textId="77777777" w:rsidR="00293FDB" w:rsidRPr="002C3CF3" w:rsidRDefault="00293FDB" w:rsidP="00C32082">
      <w:pPr>
        <w:pStyle w:val="Heading2"/>
        <w:rPr>
          <w:sz w:val="20"/>
        </w:rPr>
      </w:pPr>
      <w:bookmarkStart w:id="22" w:name="_Toc5995716"/>
      <w:r w:rsidRPr="002C3CF3">
        <w:t>Relationship Team</w:t>
      </w:r>
      <w:bookmarkEnd w:id="21"/>
      <w:bookmarkEnd w:id="22"/>
    </w:p>
    <w:p w14:paraId="4A39AA26" w14:textId="1FDE9541" w:rsidR="00214922" w:rsidRPr="002C3CF3" w:rsidRDefault="00214922" w:rsidP="00DD3D86">
      <w:pPr>
        <w:spacing w:before="180"/>
        <w:jc w:val="both"/>
        <w:rPr>
          <w:sz w:val="20"/>
          <w:lang w:val="en-GB" w:eastAsia="zh-CN"/>
        </w:rPr>
      </w:pPr>
      <w:r w:rsidRPr="002C3CF3">
        <w:rPr>
          <w:sz w:val="20"/>
          <w:lang w:val="en-GB" w:eastAsia="zh-CN"/>
        </w:rPr>
        <w:t>The Relationship team has welcomed Alisha Nath (50%) and Sophie Lebang, who operate under the guidance of the CRO, Azmina Hossain and</w:t>
      </w:r>
      <w:r w:rsidR="00611FD9">
        <w:rPr>
          <w:sz w:val="20"/>
          <w:lang w:val="en-GB" w:eastAsia="zh-CN"/>
        </w:rPr>
        <w:t xml:space="preserve"> </w:t>
      </w:r>
      <w:r w:rsidRPr="002C3CF3">
        <w:rPr>
          <w:sz w:val="20"/>
          <w:lang w:val="en-GB" w:eastAsia="zh-CN"/>
        </w:rPr>
        <w:t>CIO</w:t>
      </w:r>
      <w:r w:rsidR="00611FD9">
        <w:rPr>
          <w:sz w:val="20"/>
          <w:lang w:val="en-GB" w:eastAsia="zh-CN"/>
        </w:rPr>
        <w:t>,</w:t>
      </w:r>
      <w:r w:rsidRPr="002C3CF3">
        <w:rPr>
          <w:sz w:val="20"/>
          <w:lang w:val="en-GB" w:eastAsia="zh-CN"/>
        </w:rPr>
        <w:t xml:space="preserve"> Saurav Patel (who was previously in </w:t>
      </w:r>
      <w:r w:rsidR="00A6284C">
        <w:rPr>
          <w:sz w:val="20"/>
          <w:lang w:val="en-GB" w:eastAsia="zh-CN"/>
        </w:rPr>
        <w:t xml:space="preserve">both </w:t>
      </w:r>
      <w:r w:rsidRPr="002C3CF3">
        <w:rPr>
          <w:sz w:val="20"/>
          <w:lang w:val="en-GB" w:eastAsia="zh-CN"/>
        </w:rPr>
        <w:t>the Relationship</w:t>
      </w:r>
      <w:r w:rsidR="00A6284C">
        <w:rPr>
          <w:sz w:val="20"/>
          <w:lang w:val="en-GB" w:eastAsia="zh-CN"/>
        </w:rPr>
        <w:t xml:space="preserve"> and R&amp;C</w:t>
      </w:r>
      <w:r w:rsidRPr="002C3CF3">
        <w:rPr>
          <w:sz w:val="20"/>
          <w:lang w:val="en-GB" w:eastAsia="zh-CN"/>
        </w:rPr>
        <w:t xml:space="preserve"> </w:t>
      </w:r>
      <w:r w:rsidR="003B5E4A">
        <w:rPr>
          <w:sz w:val="20"/>
          <w:lang w:val="en-GB" w:eastAsia="zh-CN"/>
        </w:rPr>
        <w:t>t</w:t>
      </w:r>
      <w:r w:rsidRPr="002C3CF3">
        <w:rPr>
          <w:sz w:val="20"/>
          <w:lang w:val="en-GB" w:eastAsia="zh-CN"/>
        </w:rPr>
        <w:t xml:space="preserve">eam). The team is working hard </w:t>
      </w:r>
      <w:r w:rsidR="00124134">
        <w:rPr>
          <w:sz w:val="20"/>
          <w:lang w:val="en-GB" w:eastAsia="zh-CN"/>
        </w:rPr>
        <w:t>to</w:t>
      </w:r>
      <w:r w:rsidRPr="002C3CF3">
        <w:rPr>
          <w:sz w:val="20"/>
          <w:lang w:val="en-GB" w:eastAsia="zh-CN"/>
        </w:rPr>
        <w:t xml:space="preserve"> broaden the scope of </w:t>
      </w:r>
      <w:r w:rsidR="002A05AB">
        <w:rPr>
          <w:sz w:val="20"/>
          <w:lang w:val="en-GB" w:eastAsia="zh-CN"/>
        </w:rPr>
        <w:t xml:space="preserve">the </w:t>
      </w:r>
      <w:r w:rsidRPr="002C3CF3">
        <w:rPr>
          <w:sz w:val="20"/>
          <w:lang w:val="en-GB" w:eastAsia="zh-CN"/>
        </w:rPr>
        <w:t>SMF’s external communications</w:t>
      </w:r>
      <w:r w:rsidR="00124134">
        <w:rPr>
          <w:sz w:val="20"/>
          <w:lang w:val="en-GB" w:eastAsia="zh-CN"/>
        </w:rPr>
        <w:t>, which they</w:t>
      </w:r>
      <w:r w:rsidRPr="002C3CF3">
        <w:rPr>
          <w:sz w:val="20"/>
          <w:lang w:val="en-GB" w:eastAsia="zh-CN"/>
        </w:rPr>
        <w:t xml:space="preserve"> plan to advance with the launch of a </w:t>
      </w:r>
      <w:r w:rsidR="002A05AB">
        <w:rPr>
          <w:sz w:val="20"/>
          <w:lang w:val="en-GB" w:eastAsia="zh-CN"/>
        </w:rPr>
        <w:t>w</w:t>
      </w:r>
      <w:r w:rsidR="002A05AB" w:rsidRPr="002C3CF3">
        <w:rPr>
          <w:sz w:val="20"/>
          <w:lang w:val="en-GB" w:eastAsia="zh-CN"/>
        </w:rPr>
        <w:t xml:space="preserve">ebsite </w:t>
      </w:r>
      <w:r w:rsidRPr="002C3CF3">
        <w:rPr>
          <w:sz w:val="20"/>
          <w:lang w:val="en-GB" w:eastAsia="zh-CN"/>
        </w:rPr>
        <w:t>and the</w:t>
      </w:r>
      <w:r w:rsidR="00611FD9">
        <w:rPr>
          <w:sz w:val="20"/>
          <w:lang w:val="en-GB" w:eastAsia="zh-CN"/>
        </w:rPr>
        <w:t xml:space="preserve"> establishment </w:t>
      </w:r>
      <w:r w:rsidR="00D85ABF">
        <w:rPr>
          <w:sz w:val="20"/>
          <w:lang w:val="en-GB" w:eastAsia="zh-CN"/>
        </w:rPr>
        <w:t>of social media p</w:t>
      </w:r>
      <w:r w:rsidRPr="002C3CF3">
        <w:rPr>
          <w:sz w:val="20"/>
          <w:lang w:val="en-GB" w:eastAsia="zh-CN"/>
        </w:rPr>
        <w:t>latforms. The Relationship team also provides ongoing administrative support by preparing weekly meeting minutes</w:t>
      </w:r>
      <w:r w:rsidR="00D85ABF">
        <w:rPr>
          <w:sz w:val="20"/>
          <w:lang w:val="en-GB" w:eastAsia="zh-CN"/>
        </w:rPr>
        <w:t>, portfolio updates</w:t>
      </w:r>
      <w:r w:rsidRPr="002C3CF3">
        <w:rPr>
          <w:sz w:val="20"/>
          <w:lang w:val="en-GB" w:eastAsia="zh-CN"/>
        </w:rPr>
        <w:t xml:space="preserve"> and SMF Reports. </w:t>
      </w:r>
    </w:p>
    <w:p w14:paraId="23C7D0B1" w14:textId="77777777" w:rsidR="00A47E3C" w:rsidRPr="002C3CF3" w:rsidRDefault="00A47E3C" w:rsidP="00DD3D86">
      <w:pPr>
        <w:spacing w:before="180"/>
        <w:rPr>
          <w:sz w:val="20"/>
          <w:lang w:eastAsia="zh-CN"/>
        </w:rPr>
      </w:pPr>
    </w:p>
    <w:p w14:paraId="2E7AD6DB" w14:textId="04BFF69C" w:rsidR="006235D5" w:rsidRPr="00285D30" w:rsidRDefault="00F9472F" w:rsidP="00C32082">
      <w:pPr>
        <w:pStyle w:val="Heading2"/>
      </w:pPr>
      <w:bookmarkStart w:id="23" w:name="_Toc5995717"/>
      <w:r w:rsidRPr="00285D30">
        <w:rPr>
          <w:noProof/>
          <w:lang w:eastAsia="en-AU"/>
        </w:rPr>
        <w:lastRenderedPageBreak/>
        <w:drawing>
          <wp:anchor distT="0" distB="0" distL="114300" distR="114300" simplePos="0" relativeHeight="251696128" behindDoc="1" locked="0" layoutInCell="1" allowOverlap="1" wp14:anchorId="1A12FC2F" wp14:editId="3CC2CA5E">
            <wp:simplePos x="0" y="0"/>
            <wp:positionH relativeFrom="column">
              <wp:posOffset>0</wp:posOffset>
            </wp:positionH>
            <wp:positionV relativeFrom="paragraph">
              <wp:posOffset>267970</wp:posOffset>
            </wp:positionV>
            <wp:extent cx="6097270" cy="4064635"/>
            <wp:effectExtent l="0" t="0" r="0" b="0"/>
            <wp:wrapTight wrapText="bothSides">
              <wp:wrapPolygon edited="0">
                <wp:start x="0" y="0"/>
                <wp:lineTo x="0" y="21529"/>
                <wp:lineTo x="21551" y="21529"/>
                <wp:lineTo x="215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T8A053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97270" cy="4064635"/>
                    </a:xfrm>
                    <a:prstGeom prst="rect">
                      <a:avLst/>
                    </a:prstGeom>
                  </pic:spPr>
                </pic:pic>
              </a:graphicData>
            </a:graphic>
            <wp14:sizeRelH relativeFrom="page">
              <wp14:pctWidth>0</wp14:pctWidth>
            </wp14:sizeRelH>
            <wp14:sizeRelV relativeFrom="page">
              <wp14:pctHeight>0</wp14:pctHeight>
            </wp14:sizeRelV>
          </wp:anchor>
        </w:drawing>
      </w:r>
      <w:r w:rsidR="006235D5" w:rsidRPr="00285D30">
        <w:t>SMF Team</w:t>
      </w:r>
      <w:r w:rsidR="006479D1">
        <w:t xml:space="preserve"> Photo</w:t>
      </w:r>
      <w:bookmarkEnd w:id="23"/>
    </w:p>
    <w:p w14:paraId="399162CE" w14:textId="003E56E6" w:rsidR="00A47E3C" w:rsidRPr="002C3CF3" w:rsidRDefault="00A47E3C" w:rsidP="00A250F3">
      <w:pPr>
        <w:rPr>
          <w:sz w:val="20"/>
          <w:lang w:eastAsia="zh-CN"/>
        </w:rPr>
      </w:pPr>
    </w:p>
    <w:p w14:paraId="19884B1C" w14:textId="28AD575D" w:rsidR="00A47E3C" w:rsidRPr="00AC3240" w:rsidRDefault="000324E2" w:rsidP="000F7800">
      <w:pPr>
        <w:ind w:left="2250" w:right="602" w:hanging="1620"/>
        <w:rPr>
          <w:i/>
          <w:sz w:val="20"/>
          <w:lang w:val="en-GB" w:eastAsia="zh-CN"/>
        </w:rPr>
      </w:pPr>
      <w:r w:rsidRPr="00AC3240">
        <w:rPr>
          <w:i/>
          <w:sz w:val="20"/>
          <w:lang w:eastAsia="zh-CN"/>
        </w:rPr>
        <w:t>Bottom</w:t>
      </w:r>
      <w:r w:rsidR="00041423" w:rsidRPr="00AC3240">
        <w:rPr>
          <w:i/>
          <w:sz w:val="20"/>
          <w:lang w:eastAsia="zh-CN"/>
        </w:rPr>
        <w:t xml:space="preserve"> Row (L-R): </w:t>
      </w:r>
      <w:r w:rsidR="00124134">
        <w:rPr>
          <w:i/>
          <w:sz w:val="20"/>
          <w:lang w:eastAsia="zh-CN"/>
        </w:rPr>
        <w:t xml:space="preserve"> </w:t>
      </w:r>
      <w:r w:rsidR="00041423" w:rsidRPr="00AC3240">
        <w:rPr>
          <w:i/>
          <w:sz w:val="20"/>
          <w:lang w:eastAsia="zh-CN"/>
        </w:rPr>
        <w:t>Anna von Reibnitz</w:t>
      </w:r>
      <w:r w:rsidR="00F02423">
        <w:rPr>
          <w:i/>
          <w:sz w:val="20"/>
          <w:lang w:eastAsia="zh-CN"/>
        </w:rPr>
        <w:t xml:space="preserve"> (Course Convenor)</w:t>
      </w:r>
      <w:r w:rsidR="009C1BFE" w:rsidRPr="00AC3240">
        <w:rPr>
          <w:i/>
          <w:sz w:val="20"/>
          <w:lang w:eastAsia="zh-CN"/>
        </w:rPr>
        <w:t>, Harrison Mc</w:t>
      </w:r>
      <w:r w:rsidR="007973E9" w:rsidRPr="00AC3240">
        <w:rPr>
          <w:i/>
          <w:sz w:val="20"/>
          <w:lang w:eastAsia="zh-CN"/>
        </w:rPr>
        <w:t>Ken</w:t>
      </w:r>
      <w:r w:rsidR="00124134">
        <w:rPr>
          <w:i/>
          <w:sz w:val="20"/>
          <w:lang w:eastAsia="zh-CN"/>
        </w:rPr>
        <w:t>z</w:t>
      </w:r>
      <w:r w:rsidR="007973E9" w:rsidRPr="00AC3240">
        <w:rPr>
          <w:i/>
          <w:sz w:val="20"/>
          <w:lang w:eastAsia="zh-CN"/>
        </w:rPr>
        <w:t>ie-McHarg,</w:t>
      </w:r>
      <w:r w:rsidR="00124134">
        <w:rPr>
          <w:i/>
          <w:sz w:val="20"/>
          <w:lang w:eastAsia="zh-CN"/>
        </w:rPr>
        <w:t xml:space="preserve">              </w:t>
      </w:r>
      <w:r w:rsidR="007973E9" w:rsidRPr="00AC3240">
        <w:rPr>
          <w:i/>
          <w:sz w:val="20"/>
          <w:lang w:eastAsia="zh-CN"/>
        </w:rPr>
        <w:t xml:space="preserve"> </w:t>
      </w:r>
      <w:r w:rsidR="00200E8D" w:rsidRPr="00AC3240">
        <w:rPr>
          <w:i/>
          <w:sz w:val="20"/>
          <w:lang w:val="en-GB" w:eastAsia="zh-CN"/>
        </w:rPr>
        <w:t>Alaina Warwick, Luke Farrar</w:t>
      </w:r>
      <w:r w:rsidR="00124134">
        <w:rPr>
          <w:i/>
          <w:sz w:val="20"/>
          <w:lang w:val="en-GB" w:eastAsia="zh-CN"/>
        </w:rPr>
        <w:t xml:space="preserve">, </w:t>
      </w:r>
      <w:r w:rsidR="00200E8D" w:rsidRPr="00AC3240">
        <w:rPr>
          <w:i/>
          <w:sz w:val="20"/>
          <w:lang w:val="en-GB" w:eastAsia="zh-CN"/>
        </w:rPr>
        <w:t>Azmina</w:t>
      </w:r>
      <w:r w:rsidR="00E97758" w:rsidRPr="00AC3240">
        <w:rPr>
          <w:i/>
          <w:sz w:val="20"/>
          <w:lang w:val="en-GB" w:eastAsia="zh-CN"/>
        </w:rPr>
        <w:t xml:space="preserve"> Hossain. </w:t>
      </w:r>
    </w:p>
    <w:p w14:paraId="407ACEDA" w14:textId="7CFACD18" w:rsidR="00AD6938" w:rsidRPr="00AC3240" w:rsidRDefault="00E97758" w:rsidP="00957E37">
      <w:pPr>
        <w:spacing w:before="60"/>
        <w:ind w:left="2250" w:right="605" w:hanging="1627"/>
        <w:rPr>
          <w:i/>
          <w:sz w:val="20"/>
          <w:lang w:val="en-GB" w:eastAsia="zh-CN"/>
        </w:rPr>
      </w:pPr>
      <w:r w:rsidRPr="00AC3240">
        <w:rPr>
          <w:i/>
          <w:sz w:val="20"/>
          <w:lang w:val="en-GB" w:eastAsia="zh-CN"/>
        </w:rPr>
        <w:t xml:space="preserve">Middle Row (L-R): </w:t>
      </w:r>
      <w:r w:rsidR="00124134">
        <w:rPr>
          <w:i/>
          <w:sz w:val="20"/>
          <w:lang w:val="en-GB" w:eastAsia="zh-CN"/>
        </w:rPr>
        <w:t xml:space="preserve"> </w:t>
      </w:r>
      <w:r w:rsidRPr="00AC3240">
        <w:rPr>
          <w:i/>
          <w:sz w:val="20"/>
          <w:lang w:val="en-GB" w:eastAsia="zh-CN"/>
        </w:rPr>
        <w:t>Geoff Warren</w:t>
      </w:r>
      <w:r w:rsidR="00F02423">
        <w:rPr>
          <w:i/>
          <w:sz w:val="20"/>
          <w:lang w:val="en-GB" w:eastAsia="zh-CN"/>
        </w:rPr>
        <w:t xml:space="preserve"> (Fund Convenor)</w:t>
      </w:r>
      <w:r w:rsidRPr="00AC3240">
        <w:rPr>
          <w:i/>
          <w:sz w:val="20"/>
          <w:lang w:val="en-GB" w:eastAsia="zh-CN"/>
        </w:rPr>
        <w:t xml:space="preserve">, </w:t>
      </w:r>
      <w:r w:rsidR="00292FA5" w:rsidRPr="00AC3240">
        <w:rPr>
          <w:i/>
          <w:sz w:val="20"/>
          <w:lang w:val="en-GB" w:eastAsia="zh-CN"/>
        </w:rPr>
        <w:t>Hongyi Xu, Jak Carty, Khurshed Mehta</w:t>
      </w:r>
      <w:r w:rsidR="00EC7CFA" w:rsidRPr="00AC3240">
        <w:rPr>
          <w:i/>
          <w:sz w:val="20"/>
          <w:lang w:val="en-GB" w:eastAsia="zh-CN"/>
        </w:rPr>
        <w:t xml:space="preserve">, </w:t>
      </w:r>
      <w:r w:rsidR="00124134">
        <w:rPr>
          <w:i/>
          <w:sz w:val="20"/>
          <w:lang w:val="en-GB" w:eastAsia="zh-CN"/>
        </w:rPr>
        <w:t xml:space="preserve">                    </w:t>
      </w:r>
      <w:r w:rsidR="00EC7CFA" w:rsidRPr="00AC3240">
        <w:rPr>
          <w:i/>
          <w:sz w:val="20"/>
          <w:lang w:val="en-GB" w:eastAsia="zh-CN"/>
        </w:rPr>
        <w:t>Dalton Tham, Lachlan Phillips, Aiyun</w:t>
      </w:r>
      <w:r w:rsidR="001D4CE6">
        <w:rPr>
          <w:i/>
          <w:sz w:val="20"/>
          <w:lang w:val="en-GB" w:eastAsia="zh-CN"/>
        </w:rPr>
        <w:t xml:space="preserve"> </w:t>
      </w:r>
      <w:r w:rsidR="001D4CE6">
        <w:rPr>
          <w:i/>
          <w:sz w:val="20"/>
          <w:szCs w:val="20"/>
          <w:lang w:val="en-US"/>
        </w:rPr>
        <w:t>(</w:t>
      </w:r>
      <w:r w:rsidR="001D4CE6" w:rsidRPr="002C3CF3">
        <w:rPr>
          <w:i/>
          <w:sz w:val="20"/>
          <w:szCs w:val="20"/>
          <w:lang w:val="en-US"/>
        </w:rPr>
        <w:t>Stephanie</w:t>
      </w:r>
      <w:r w:rsidR="001D4CE6">
        <w:rPr>
          <w:i/>
          <w:sz w:val="20"/>
          <w:szCs w:val="20"/>
          <w:lang w:val="en-US"/>
        </w:rPr>
        <w:t>)</w:t>
      </w:r>
      <w:r w:rsidR="00EC7CFA" w:rsidRPr="00AC3240">
        <w:rPr>
          <w:i/>
          <w:sz w:val="20"/>
          <w:lang w:val="en-GB" w:eastAsia="zh-CN"/>
        </w:rPr>
        <w:t xml:space="preserve"> Li</w:t>
      </w:r>
      <w:r w:rsidR="00124134">
        <w:rPr>
          <w:i/>
          <w:sz w:val="20"/>
          <w:lang w:val="en-GB" w:eastAsia="zh-CN"/>
        </w:rPr>
        <w:t>,</w:t>
      </w:r>
      <w:r w:rsidR="00AD6938" w:rsidRPr="00AC3240">
        <w:rPr>
          <w:i/>
          <w:sz w:val="20"/>
          <w:lang w:val="en-GB" w:eastAsia="zh-CN"/>
        </w:rPr>
        <w:t xml:space="preserve"> Jiaqi (Karen) Mao. </w:t>
      </w:r>
    </w:p>
    <w:p w14:paraId="4CA906C7" w14:textId="2472D7D4" w:rsidR="000324E2" w:rsidRPr="00AC3240" w:rsidRDefault="000324E2" w:rsidP="00957E37">
      <w:pPr>
        <w:spacing w:before="60"/>
        <w:ind w:left="2250" w:right="605" w:hanging="1627"/>
        <w:rPr>
          <w:i/>
          <w:sz w:val="20"/>
          <w:lang w:val="en-GB" w:eastAsia="zh-CN"/>
        </w:rPr>
      </w:pPr>
      <w:r w:rsidRPr="00AC3240">
        <w:rPr>
          <w:i/>
          <w:sz w:val="20"/>
          <w:lang w:val="en-GB" w:eastAsia="zh-CN"/>
        </w:rPr>
        <w:t xml:space="preserve">Top Row (L-R): </w:t>
      </w:r>
      <w:r w:rsidR="00124134">
        <w:rPr>
          <w:i/>
          <w:sz w:val="20"/>
          <w:lang w:val="en-GB" w:eastAsia="zh-CN"/>
        </w:rPr>
        <w:t xml:space="preserve">      </w:t>
      </w:r>
      <w:r w:rsidRPr="00AC3240">
        <w:rPr>
          <w:i/>
          <w:sz w:val="20"/>
          <w:lang w:val="en-GB" w:eastAsia="zh-CN"/>
        </w:rPr>
        <w:t>Sophie</w:t>
      </w:r>
      <w:r w:rsidR="00982364" w:rsidRPr="00AC3240">
        <w:rPr>
          <w:i/>
          <w:sz w:val="20"/>
          <w:lang w:val="en-GB" w:eastAsia="zh-CN"/>
        </w:rPr>
        <w:t xml:space="preserve"> Lebang, Alisha Nath, Chengxuan (Charles) Zhang, Chuxuan (Jessie) Jiang, Saurav Patel,</w:t>
      </w:r>
      <w:r w:rsidR="00124134">
        <w:rPr>
          <w:i/>
          <w:sz w:val="20"/>
          <w:lang w:val="en-GB" w:eastAsia="zh-CN"/>
        </w:rPr>
        <w:t xml:space="preserve"> </w:t>
      </w:r>
      <w:r w:rsidR="00982364" w:rsidRPr="00AC3240">
        <w:rPr>
          <w:i/>
          <w:sz w:val="20"/>
          <w:lang w:val="en-GB" w:eastAsia="zh-CN"/>
        </w:rPr>
        <w:t>Sahibjeet Bains</w:t>
      </w:r>
      <w:r w:rsidR="00124134">
        <w:rPr>
          <w:i/>
          <w:sz w:val="20"/>
          <w:lang w:val="en-GB" w:eastAsia="zh-CN"/>
        </w:rPr>
        <w:t>,</w:t>
      </w:r>
      <w:r w:rsidR="00982364" w:rsidRPr="00AC3240">
        <w:rPr>
          <w:i/>
          <w:sz w:val="20"/>
          <w:lang w:val="en-GB" w:eastAsia="zh-CN"/>
        </w:rPr>
        <w:t xml:space="preserve"> Shawn Lin. </w:t>
      </w:r>
    </w:p>
    <w:p w14:paraId="1CB63595" w14:textId="5C9C71E6" w:rsidR="00A47E3C" w:rsidRPr="002C3CF3" w:rsidRDefault="00A47E3C" w:rsidP="00A250F3">
      <w:pPr>
        <w:rPr>
          <w:sz w:val="20"/>
          <w:lang w:eastAsia="zh-CN"/>
        </w:rPr>
      </w:pPr>
    </w:p>
    <w:p w14:paraId="153268C0" w14:textId="4E6BEDA7" w:rsidR="00A47E3C" w:rsidRDefault="00A47E3C" w:rsidP="00A250F3">
      <w:pPr>
        <w:rPr>
          <w:sz w:val="20"/>
          <w:lang w:eastAsia="zh-CN"/>
        </w:rPr>
      </w:pPr>
    </w:p>
    <w:p w14:paraId="1D88FEE7" w14:textId="2BA7B897" w:rsidR="00AC3240" w:rsidRDefault="00AC3240" w:rsidP="00A250F3">
      <w:pPr>
        <w:rPr>
          <w:sz w:val="20"/>
          <w:lang w:eastAsia="zh-CN"/>
        </w:rPr>
      </w:pPr>
    </w:p>
    <w:p w14:paraId="49E95C80" w14:textId="3085E49D" w:rsidR="00DC4242" w:rsidRPr="002C3CF3" w:rsidRDefault="00DC4242" w:rsidP="00A250F3">
      <w:pPr>
        <w:rPr>
          <w:sz w:val="20"/>
          <w:highlight w:val="yellow"/>
          <w:lang w:val="en-GB" w:eastAsia="zh-CN"/>
        </w:rPr>
      </w:pPr>
    </w:p>
    <w:p w14:paraId="188E70AC" w14:textId="0152DE5A" w:rsidR="00DC4242" w:rsidRPr="002C3CF3" w:rsidRDefault="00DC4242" w:rsidP="00A250F3">
      <w:pPr>
        <w:rPr>
          <w:sz w:val="20"/>
          <w:highlight w:val="yellow"/>
          <w:lang w:val="en-GB" w:eastAsia="zh-CN"/>
        </w:rPr>
      </w:pPr>
    </w:p>
    <w:p w14:paraId="2B85259E" w14:textId="77777777" w:rsidR="00DC4242" w:rsidRPr="002C3CF3" w:rsidRDefault="00DC4242" w:rsidP="00A250F3">
      <w:pPr>
        <w:rPr>
          <w:sz w:val="20"/>
          <w:highlight w:val="yellow"/>
          <w:lang w:val="en-GB" w:eastAsia="zh-CN"/>
        </w:rPr>
      </w:pPr>
    </w:p>
    <w:p w14:paraId="2E00DB8B" w14:textId="77777777" w:rsidR="00DC4242" w:rsidRPr="002C3CF3" w:rsidRDefault="00DC4242" w:rsidP="00A250F3">
      <w:pPr>
        <w:rPr>
          <w:sz w:val="20"/>
          <w:highlight w:val="yellow"/>
          <w:lang w:val="en-GB" w:eastAsia="zh-CN"/>
        </w:rPr>
      </w:pPr>
    </w:p>
    <w:p w14:paraId="71F31F5C" w14:textId="77777777" w:rsidR="00DC4242" w:rsidRPr="002C3CF3" w:rsidRDefault="00DC4242" w:rsidP="00A250F3">
      <w:pPr>
        <w:rPr>
          <w:sz w:val="20"/>
          <w:highlight w:val="yellow"/>
          <w:lang w:val="en-GB" w:eastAsia="zh-CN"/>
        </w:rPr>
      </w:pPr>
    </w:p>
    <w:p w14:paraId="170711A6" w14:textId="77777777" w:rsidR="00DC4242" w:rsidRPr="002C3CF3" w:rsidRDefault="00DC4242" w:rsidP="00A250F3">
      <w:pPr>
        <w:rPr>
          <w:sz w:val="20"/>
          <w:highlight w:val="yellow"/>
          <w:lang w:val="en-GB" w:eastAsia="zh-CN"/>
        </w:rPr>
      </w:pPr>
    </w:p>
    <w:p w14:paraId="053CBF49" w14:textId="77777777" w:rsidR="00DC4242" w:rsidRPr="002C3CF3" w:rsidRDefault="00DC4242" w:rsidP="00A250F3">
      <w:pPr>
        <w:rPr>
          <w:sz w:val="20"/>
          <w:highlight w:val="yellow"/>
          <w:lang w:val="en-GB" w:eastAsia="zh-CN"/>
        </w:rPr>
      </w:pPr>
    </w:p>
    <w:p w14:paraId="06830CEB" w14:textId="77777777" w:rsidR="00DC4242" w:rsidRPr="002C3CF3" w:rsidRDefault="00DC4242" w:rsidP="00A250F3">
      <w:pPr>
        <w:rPr>
          <w:sz w:val="20"/>
          <w:highlight w:val="yellow"/>
          <w:lang w:val="en-GB" w:eastAsia="zh-CN"/>
        </w:rPr>
      </w:pPr>
    </w:p>
    <w:p w14:paraId="6C934C17" w14:textId="62AE903B" w:rsidR="00DC4242" w:rsidRDefault="00DC4242" w:rsidP="00A250F3">
      <w:pPr>
        <w:rPr>
          <w:sz w:val="20"/>
          <w:highlight w:val="yellow"/>
          <w:lang w:val="en-GB" w:eastAsia="zh-CN"/>
        </w:rPr>
      </w:pPr>
    </w:p>
    <w:p w14:paraId="5DE00877" w14:textId="76B19FAF" w:rsidR="00A250F3" w:rsidRDefault="00A250F3" w:rsidP="00A250F3">
      <w:pPr>
        <w:rPr>
          <w:sz w:val="20"/>
          <w:highlight w:val="yellow"/>
          <w:lang w:val="en-GB" w:eastAsia="zh-CN"/>
        </w:rPr>
      </w:pPr>
    </w:p>
    <w:p w14:paraId="1747F057" w14:textId="3DDC0582" w:rsidR="00A250F3" w:rsidRDefault="00A250F3" w:rsidP="00A250F3">
      <w:pPr>
        <w:rPr>
          <w:sz w:val="20"/>
          <w:highlight w:val="yellow"/>
          <w:lang w:val="en-GB" w:eastAsia="zh-CN"/>
        </w:rPr>
      </w:pPr>
    </w:p>
    <w:p w14:paraId="3CCC2624" w14:textId="7EE00BB7" w:rsidR="00A250F3" w:rsidRDefault="00A250F3" w:rsidP="00A250F3">
      <w:pPr>
        <w:rPr>
          <w:sz w:val="20"/>
          <w:highlight w:val="yellow"/>
          <w:lang w:val="en-GB" w:eastAsia="zh-CN"/>
        </w:rPr>
      </w:pPr>
    </w:p>
    <w:p w14:paraId="742E671C" w14:textId="77777777" w:rsidR="00A250F3" w:rsidRPr="002C3CF3" w:rsidRDefault="00A250F3" w:rsidP="00A250F3">
      <w:pPr>
        <w:rPr>
          <w:sz w:val="20"/>
          <w:highlight w:val="yellow"/>
          <w:lang w:val="en-GB" w:eastAsia="zh-CN"/>
        </w:rPr>
      </w:pPr>
    </w:p>
    <w:p w14:paraId="69DAFB73" w14:textId="77777777" w:rsidR="00DC4242" w:rsidRPr="002C3CF3" w:rsidRDefault="00DC4242" w:rsidP="00A250F3">
      <w:pPr>
        <w:rPr>
          <w:sz w:val="20"/>
          <w:highlight w:val="yellow"/>
          <w:lang w:val="en-GB" w:eastAsia="zh-CN"/>
        </w:rPr>
      </w:pPr>
    </w:p>
    <w:p w14:paraId="10ED569A" w14:textId="77777777" w:rsidR="00DC4242" w:rsidRPr="002C3CF3" w:rsidRDefault="00DC4242" w:rsidP="00A250F3">
      <w:pPr>
        <w:rPr>
          <w:sz w:val="20"/>
          <w:highlight w:val="yellow"/>
          <w:lang w:val="en-GB" w:eastAsia="zh-CN"/>
        </w:rPr>
      </w:pPr>
    </w:p>
    <w:p w14:paraId="7C201407" w14:textId="77777777" w:rsidR="00DC4242" w:rsidRPr="002C3CF3" w:rsidRDefault="00DC4242" w:rsidP="00A250F3">
      <w:pPr>
        <w:rPr>
          <w:sz w:val="20"/>
          <w:highlight w:val="yellow"/>
          <w:lang w:val="en-GB" w:eastAsia="zh-CN"/>
        </w:rPr>
      </w:pPr>
    </w:p>
    <w:p w14:paraId="75AD58AF" w14:textId="6B72929D" w:rsidR="00DC4242" w:rsidRPr="002C3CF3" w:rsidRDefault="00DC4242" w:rsidP="00A250F3">
      <w:pPr>
        <w:rPr>
          <w:sz w:val="20"/>
          <w:highlight w:val="yellow"/>
          <w:lang w:val="en-GB" w:eastAsia="zh-CN"/>
        </w:rPr>
      </w:pPr>
    </w:p>
    <w:p w14:paraId="3FFD8B95" w14:textId="77777777" w:rsidR="00DC4242" w:rsidRPr="002C3CF3" w:rsidRDefault="00DC4242" w:rsidP="00A250F3">
      <w:pPr>
        <w:rPr>
          <w:lang w:eastAsia="zh-CN"/>
        </w:rPr>
      </w:pPr>
    </w:p>
    <w:p w14:paraId="7CE0AE03" w14:textId="31BB3DC7" w:rsidR="00DE67CC" w:rsidRPr="00C32082" w:rsidRDefault="002E4353" w:rsidP="00A250F3">
      <w:pPr>
        <w:pStyle w:val="Heading1"/>
        <w:spacing w:before="360" w:after="240" w:line="240" w:lineRule="auto"/>
        <w:rPr>
          <w:sz w:val="28"/>
          <w:szCs w:val="28"/>
          <w:lang w:eastAsia="zh-CN"/>
        </w:rPr>
      </w:pPr>
      <w:bookmarkStart w:id="24" w:name="_Toc524277821"/>
      <w:bookmarkStart w:id="25" w:name="_Toc5995718"/>
      <w:r w:rsidRPr="00C32082">
        <w:rPr>
          <w:sz w:val="28"/>
          <w:szCs w:val="28"/>
          <w:lang w:eastAsia="zh-CN"/>
        </w:rPr>
        <w:lastRenderedPageBreak/>
        <w:t>Active Stock Positions</w:t>
      </w:r>
      <w:bookmarkEnd w:id="24"/>
      <w:bookmarkEnd w:id="25"/>
    </w:p>
    <w:p w14:paraId="000C6BC6" w14:textId="61EE4856" w:rsidR="00331C4C" w:rsidRPr="002C3CF3" w:rsidRDefault="00331C4C" w:rsidP="00C32082">
      <w:pPr>
        <w:spacing w:before="180"/>
        <w:jc w:val="both"/>
        <w:rPr>
          <w:color w:val="000000"/>
          <w:sz w:val="20"/>
          <w:szCs w:val="20"/>
          <w:bdr w:val="none" w:sz="0" w:space="0" w:color="auto" w:frame="1"/>
          <w:lang w:val="en-GB" w:eastAsia="en-GB"/>
        </w:rPr>
      </w:pPr>
      <w:r w:rsidRPr="002C3CF3">
        <w:rPr>
          <w:color w:val="000000"/>
          <w:sz w:val="20"/>
          <w:szCs w:val="20"/>
          <w:bdr w:val="none" w:sz="0" w:space="0" w:color="auto" w:frame="1"/>
          <w:lang w:val="en-GB" w:eastAsia="en-GB"/>
        </w:rPr>
        <w:t xml:space="preserve">The </w:t>
      </w:r>
      <w:r w:rsidR="00A44A30">
        <w:rPr>
          <w:color w:val="000000"/>
          <w:sz w:val="20"/>
          <w:szCs w:val="20"/>
          <w:bdr w:val="none" w:sz="0" w:space="0" w:color="auto" w:frame="1"/>
          <w:lang w:val="en-GB" w:eastAsia="en-GB"/>
        </w:rPr>
        <w:t xml:space="preserve">AAE </w:t>
      </w:r>
      <w:r w:rsidRPr="002C3CF3">
        <w:rPr>
          <w:color w:val="000000"/>
          <w:sz w:val="20"/>
          <w:szCs w:val="20"/>
          <w:bdr w:val="none" w:sz="0" w:space="0" w:color="auto" w:frame="1"/>
          <w:lang w:val="en-GB" w:eastAsia="en-GB"/>
        </w:rPr>
        <w:t xml:space="preserve">team </w:t>
      </w:r>
      <w:r w:rsidR="00A44A30">
        <w:rPr>
          <w:color w:val="000000"/>
          <w:sz w:val="20"/>
          <w:szCs w:val="20"/>
          <w:bdr w:val="none" w:sz="0" w:space="0" w:color="auto" w:frame="1"/>
          <w:lang w:val="en-GB" w:eastAsia="en-GB"/>
        </w:rPr>
        <w:t xml:space="preserve">has continued to </w:t>
      </w:r>
      <w:r w:rsidR="00C87FA0">
        <w:rPr>
          <w:color w:val="000000"/>
          <w:sz w:val="20"/>
          <w:szCs w:val="20"/>
          <w:bdr w:val="none" w:sz="0" w:space="0" w:color="auto" w:frame="1"/>
          <w:lang w:val="en-GB" w:eastAsia="en-GB"/>
        </w:rPr>
        <w:t xml:space="preserve">research new stocks </w:t>
      </w:r>
      <w:r w:rsidR="00A8029A">
        <w:rPr>
          <w:color w:val="000000"/>
          <w:sz w:val="20"/>
          <w:szCs w:val="20"/>
          <w:bdr w:val="none" w:sz="0" w:space="0" w:color="auto" w:frame="1"/>
          <w:lang w:val="en-GB" w:eastAsia="en-GB"/>
        </w:rPr>
        <w:t>with</w:t>
      </w:r>
      <w:r w:rsidR="00F16C38">
        <w:rPr>
          <w:color w:val="000000"/>
          <w:sz w:val="20"/>
          <w:szCs w:val="20"/>
          <w:bdr w:val="none" w:sz="0" w:space="0" w:color="auto" w:frame="1"/>
          <w:lang w:val="en-GB" w:eastAsia="en-GB"/>
        </w:rPr>
        <w:t xml:space="preserve"> potential to </w:t>
      </w:r>
      <w:r w:rsidRPr="002C3CF3">
        <w:rPr>
          <w:color w:val="000000"/>
          <w:sz w:val="20"/>
          <w:szCs w:val="20"/>
          <w:bdr w:val="none" w:sz="0" w:space="0" w:color="auto" w:frame="1"/>
          <w:lang w:val="en-GB" w:eastAsia="en-GB"/>
        </w:rPr>
        <w:t xml:space="preserve">advance </w:t>
      </w:r>
      <w:r w:rsidR="00F02423">
        <w:rPr>
          <w:color w:val="000000"/>
          <w:sz w:val="20"/>
          <w:szCs w:val="20"/>
          <w:bdr w:val="none" w:sz="0" w:space="0" w:color="auto" w:frame="1"/>
          <w:lang w:val="en-GB" w:eastAsia="en-GB"/>
        </w:rPr>
        <w:t>the</w:t>
      </w:r>
      <w:r w:rsidR="00F02423" w:rsidRPr="002C3CF3">
        <w:rPr>
          <w:color w:val="000000"/>
          <w:sz w:val="20"/>
          <w:szCs w:val="20"/>
          <w:bdr w:val="none" w:sz="0" w:space="0" w:color="auto" w:frame="1"/>
          <w:lang w:val="en-GB" w:eastAsia="en-GB"/>
        </w:rPr>
        <w:t xml:space="preserve"> </w:t>
      </w:r>
      <w:r w:rsidRPr="002C3CF3">
        <w:rPr>
          <w:color w:val="000000"/>
          <w:sz w:val="20"/>
          <w:szCs w:val="20"/>
          <w:bdr w:val="none" w:sz="0" w:space="0" w:color="auto" w:frame="1"/>
          <w:lang w:val="en-GB" w:eastAsia="en-GB"/>
        </w:rPr>
        <w:t>Fund’s core investment objectives and improve the long-term risk-return trade</w:t>
      </w:r>
      <w:r w:rsidR="00755556" w:rsidRPr="002C3CF3">
        <w:rPr>
          <w:color w:val="000000"/>
          <w:sz w:val="20"/>
          <w:szCs w:val="20"/>
          <w:bdr w:val="none" w:sz="0" w:space="0" w:color="auto" w:frame="1"/>
          <w:lang w:val="en-GB" w:eastAsia="en-GB"/>
        </w:rPr>
        <w:t>-</w:t>
      </w:r>
      <w:r w:rsidRPr="002C3CF3">
        <w:rPr>
          <w:color w:val="000000"/>
          <w:sz w:val="20"/>
          <w:szCs w:val="20"/>
          <w:bdr w:val="none" w:sz="0" w:space="0" w:color="auto" w:frame="1"/>
          <w:lang w:val="en-GB" w:eastAsia="en-GB"/>
        </w:rPr>
        <w:t>off of our portfolio.</w:t>
      </w:r>
      <w:r w:rsidR="00780FAD">
        <w:rPr>
          <w:color w:val="000000"/>
          <w:sz w:val="20"/>
          <w:szCs w:val="20"/>
          <w:bdr w:val="none" w:sz="0" w:space="0" w:color="auto" w:frame="1"/>
          <w:lang w:val="en-GB" w:eastAsia="en-GB"/>
        </w:rPr>
        <w:t xml:space="preserve"> </w:t>
      </w:r>
      <w:r w:rsidR="00F02423">
        <w:rPr>
          <w:color w:val="000000"/>
          <w:sz w:val="20"/>
          <w:szCs w:val="20"/>
          <w:bdr w:val="none" w:sz="0" w:space="0" w:color="auto" w:frame="1"/>
          <w:lang w:val="en-GB" w:eastAsia="en-GB"/>
        </w:rPr>
        <w:t>T</w:t>
      </w:r>
      <w:r w:rsidRPr="002C3CF3">
        <w:rPr>
          <w:color w:val="000000"/>
          <w:sz w:val="20"/>
          <w:szCs w:val="20"/>
          <w:bdr w:val="none" w:sz="0" w:space="0" w:color="auto" w:frame="1"/>
          <w:lang w:val="en-GB" w:eastAsia="en-GB"/>
        </w:rPr>
        <w:t>he SMF is pleased t</w:t>
      </w:r>
      <w:r w:rsidR="00755556" w:rsidRPr="002C3CF3">
        <w:rPr>
          <w:color w:val="000000"/>
          <w:sz w:val="20"/>
          <w:szCs w:val="20"/>
          <w:bdr w:val="none" w:sz="0" w:space="0" w:color="auto" w:frame="1"/>
          <w:lang w:val="en-GB" w:eastAsia="en-GB"/>
        </w:rPr>
        <w:t>hat</w:t>
      </w:r>
      <w:r w:rsidRPr="002C3CF3">
        <w:rPr>
          <w:color w:val="000000"/>
          <w:sz w:val="20"/>
          <w:szCs w:val="20"/>
          <w:bdr w:val="none" w:sz="0" w:space="0" w:color="auto" w:frame="1"/>
          <w:lang w:val="en-GB" w:eastAsia="en-GB"/>
        </w:rPr>
        <w:t xml:space="preserve"> two of our active investments in Rio </w:t>
      </w:r>
      <w:r w:rsidR="00C014B2">
        <w:rPr>
          <w:color w:val="000000"/>
          <w:sz w:val="20"/>
          <w:szCs w:val="20"/>
          <w:bdr w:val="none" w:sz="0" w:space="0" w:color="auto" w:frame="1"/>
          <w:lang w:val="en-GB" w:eastAsia="en-GB"/>
        </w:rPr>
        <w:t xml:space="preserve">Tinto </w:t>
      </w:r>
      <w:r w:rsidRPr="002C3CF3">
        <w:rPr>
          <w:color w:val="000000"/>
          <w:sz w:val="20"/>
          <w:szCs w:val="20"/>
          <w:bdr w:val="none" w:sz="0" w:space="0" w:color="auto" w:frame="1"/>
          <w:lang w:val="en-GB" w:eastAsia="en-GB"/>
        </w:rPr>
        <w:t xml:space="preserve">and Telstra </w:t>
      </w:r>
      <w:r w:rsidR="00F02423">
        <w:rPr>
          <w:color w:val="000000"/>
          <w:sz w:val="20"/>
          <w:szCs w:val="20"/>
          <w:bdr w:val="none" w:sz="0" w:space="0" w:color="auto" w:frame="1"/>
          <w:lang w:val="en-GB" w:eastAsia="en-GB"/>
        </w:rPr>
        <w:t>are</w:t>
      </w:r>
      <w:r w:rsidR="00F02423" w:rsidRPr="002C3CF3">
        <w:rPr>
          <w:color w:val="000000"/>
          <w:sz w:val="20"/>
          <w:szCs w:val="20"/>
          <w:bdr w:val="none" w:sz="0" w:space="0" w:color="auto" w:frame="1"/>
          <w:lang w:val="en-GB" w:eastAsia="en-GB"/>
        </w:rPr>
        <w:t xml:space="preserve"> perform</w:t>
      </w:r>
      <w:r w:rsidR="00F02423">
        <w:rPr>
          <w:color w:val="000000"/>
          <w:sz w:val="20"/>
          <w:szCs w:val="20"/>
          <w:bdr w:val="none" w:sz="0" w:space="0" w:color="auto" w:frame="1"/>
          <w:lang w:val="en-GB" w:eastAsia="en-GB"/>
        </w:rPr>
        <w:t>ing</w:t>
      </w:r>
      <w:r w:rsidR="00F02423" w:rsidRPr="002C3CF3">
        <w:rPr>
          <w:color w:val="000000"/>
          <w:sz w:val="20"/>
          <w:szCs w:val="20"/>
          <w:bdr w:val="none" w:sz="0" w:space="0" w:color="auto" w:frame="1"/>
          <w:lang w:val="en-GB" w:eastAsia="en-GB"/>
        </w:rPr>
        <w:t xml:space="preserve"> </w:t>
      </w:r>
      <w:r w:rsidRPr="002C3CF3">
        <w:rPr>
          <w:color w:val="000000"/>
          <w:sz w:val="20"/>
          <w:szCs w:val="20"/>
          <w:bdr w:val="none" w:sz="0" w:space="0" w:color="auto" w:frame="1"/>
          <w:lang w:val="en-GB" w:eastAsia="en-GB"/>
        </w:rPr>
        <w:t xml:space="preserve">exceptionally well. </w:t>
      </w:r>
      <w:r w:rsidR="00626F2A" w:rsidRPr="00C32082">
        <w:rPr>
          <w:color w:val="000000"/>
          <w:sz w:val="20"/>
          <w:szCs w:val="20"/>
          <w:bdr w:val="none" w:sz="0" w:space="0" w:color="auto" w:frame="1"/>
          <w:lang w:val="en-GB" w:eastAsia="en-GB"/>
        </w:rPr>
        <w:t>The contribution of Rio</w:t>
      </w:r>
      <w:r w:rsidR="00F82EF9">
        <w:rPr>
          <w:color w:val="000000"/>
          <w:sz w:val="20"/>
          <w:szCs w:val="20"/>
          <w:bdr w:val="none" w:sz="0" w:space="0" w:color="auto" w:frame="1"/>
          <w:lang w:val="en-GB" w:eastAsia="en-GB"/>
        </w:rPr>
        <w:t xml:space="preserve"> </w:t>
      </w:r>
      <w:r w:rsidR="00F82EF9" w:rsidRPr="006D0A67">
        <w:rPr>
          <w:sz w:val="20"/>
          <w:lang w:eastAsia="zh-CN"/>
        </w:rPr>
        <w:t>Tinto</w:t>
      </w:r>
      <w:r w:rsidR="00626F2A" w:rsidRPr="00C32082">
        <w:rPr>
          <w:color w:val="000000"/>
          <w:sz w:val="20"/>
          <w:szCs w:val="20"/>
          <w:bdr w:val="none" w:sz="0" w:space="0" w:color="auto" w:frame="1"/>
          <w:lang w:val="en-GB" w:eastAsia="en-GB"/>
        </w:rPr>
        <w:t xml:space="preserve"> and Telstra</w:t>
      </w:r>
      <w:r w:rsidR="009254CD" w:rsidRPr="00C32082">
        <w:rPr>
          <w:color w:val="000000"/>
          <w:sz w:val="20"/>
          <w:szCs w:val="20"/>
          <w:bdr w:val="none" w:sz="0" w:space="0" w:color="auto" w:frame="1"/>
          <w:lang w:val="en-GB" w:eastAsia="en-GB"/>
        </w:rPr>
        <w:t xml:space="preserve"> to the AAE portfolio against the benchmark </w:t>
      </w:r>
      <w:r w:rsidR="00C014B2" w:rsidRPr="00C32082">
        <w:rPr>
          <w:color w:val="000000"/>
          <w:sz w:val="20"/>
          <w:szCs w:val="20"/>
          <w:bdr w:val="none" w:sz="0" w:space="0" w:color="auto" w:frame="1"/>
          <w:lang w:val="en-GB" w:eastAsia="en-GB"/>
        </w:rPr>
        <w:t xml:space="preserve">S&amp;P/ASX200 </w:t>
      </w:r>
      <w:r w:rsidR="00D944FC">
        <w:rPr>
          <w:color w:val="000000"/>
          <w:sz w:val="20"/>
          <w:szCs w:val="20"/>
        </w:rPr>
        <w:t xml:space="preserve">Exchange-Traded Fund (ETF) </w:t>
      </w:r>
      <w:r w:rsidR="00C014B2">
        <w:rPr>
          <w:color w:val="000000"/>
          <w:sz w:val="20"/>
          <w:szCs w:val="20"/>
          <w:bdr w:val="none" w:sz="0" w:space="0" w:color="auto" w:frame="1"/>
          <w:lang w:val="en-GB" w:eastAsia="en-GB"/>
        </w:rPr>
        <w:t xml:space="preserve">has </w:t>
      </w:r>
      <w:r w:rsidR="00C014B2" w:rsidRPr="006825EB">
        <w:rPr>
          <w:color w:val="000000"/>
          <w:sz w:val="20"/>
          <w:szCs w:val="20"/>
          <w:bdr w:val="none" w:sz="0" w:space="0" w:color="auto" w:frame="1"/>
          <w:lang w:val="en-GB" w:eastAsia="en-GB"/>
        </w:rPr>
        <w:t>been</w:t>
      </w:r>
      <w:r w:rsidR="009254CD" w:rsidRPr="006825EB">
        <w:rPr>
          <w:color w:val="000000"/>
          <w:sz w:val="20"/>
          <w:szCs w:val="20"/>
          <w:bdr w:val="none" w:sz="0" w:space="0" w:color="auto" w:frame="1"/>
          <w:lang w:val="en-GB" w:eastAsia="en-GB"/>
        </w:rPr>
        <w:t xml:space="preserve"> </w:t>
      </w:r>
      <w:r w:rsidR="0058627D" w:rsidRPr="00F739BA">
        <w:rPr>
          <w:color w:val="000000"/>
          <w:sz w:val="20"/>
          <w:szCs w:val="20"/>
          <w:bdr w:val="none" w:sz="0" w:space="0" w:color="auto" w:frame="1"/>
          <w:lang w:val="en-GB" w:eastAsia="en-GB"/>
        </w:rPr>
        <w:t>0.</w:t>
      </w:r>
      <w:r w:rsidR="008A0559" w:rsidRPr="00F739BA">
        <w:rPr>
          <w:color w:val="000000"/>
          <w:sz w:val="20"/>
          <w:szCs w:val="20"/>
          <w:bdr w:val="none" w:sz="0" w:space="0" w:color="auto" w:frame="1"/>
          <w:lang w:val="en-GB" w:eastAsia="en-GB"/>
        </w:rPr>
        <w:t>83</w:t>
      </w:r>
      <w:r w:rsidR="0058627D" w:rsidRPr="00F739BA">
        <w:rPr>
          <w:color w:val="000000"/>
          <w:sz w:val="20"/>
          <w:szCs w:val="20"/>
          <w:bdr w:val="none" w:sz="0" w:space="0" w:color="auto" w:frame="1"/>
          <w:lang w:val="en-GB" w:eastAsia="en-GB"/>
        </w:rPr>
        <w:t>% and 1.</w:t>
      </w:r>
      <w:r w:rsidR="008A0559" w:rsidRPr="00F739BA">
        <w:rPr>
          <w:color w:val="000000"/>
          <w:sz w:val="20"/>
          <w:szCs w:val="20"/>
          <w:bdr w:val="none" w:sz="0" w:space="0" w:color="auto" w:frame="1"/>
          <w:lang w:val="en-GB" w:eastAsia="en-GB"/>
        </w:rPr>
        <w:t>42</w:t>
      </w:r>
      <w:r w:rsidR="0058627D" w:rsidRPr="00F739BA">
        <w:rPr>
          <w:color w:val="000000"/>
          <w:sz w:val="20"/>
          <w:szCs w:val="20"/>
          <w:bdr w:val="none" w:sz="0" w:space="0" w:color="auto" w:frame="1"/>
          <w:lang w:val="en-GB" w:eastAsia="en-GB"/>
        </w:rPr>
        <w:t>%</w:t>
      </w:r>
      <w:r w:rsidR="0058627D" w:rsidRPr="00C32082">
        <w:rPr>
          <w:color w:val="000000"/>
          <w:sz w:val="20"/>
          <w:szCs w:val="20"/>
          <w:bdr w:val="none" w:sz="0" w:space="0" w:color="auto" w:frame="1"/>
          <w:lang w:val="en-GB" w:eastAsia="en-GB"/>
        </w:rPr>
        <w:t xml:space="preserve"> respectively.</w:t>
      </w:r>
      <w:r w:rsidR="0058627D" w:rsidRPr="00C014B2" w:rsidDel="00F02423">
        <w:rPr>
          <w:color w:val="000000"/>
          <w:sz w:val="20"/>
          <w:szCs w:val="20"/>
          <w:bdr w:val="none" w:sz="0" w:space="0" w:color="auto" w:frame="1"/>
          <w:lang w:val="en-GB" w:eastAsia="en-GB"/>
        </w:rPr>
        <w:t xml:space="preserve"> </w:t>
      </w:r>
      <w:r w:rsidR="00F02423" w:rsidRPr="00C014B2">
        <w:rPr>
          <w:color w:val="000000"/>
          <w:sz w:val="20"/>
          <w:szCs w:val="20"/>
          <w:bdr w:val="none" w:sz="0" w:space="0" w:color="auto" w:frame="1"/>
          <w:lang w:val="en-GB" w:eastAsia="en-GB"/>
        </w:rPr>
        <w:t xml:space="preserve">One </w:t>
      </w:r>
      <w:r w:rsidRPr="00C014B2">
        <w:rPr>
          <w:color w:val="000000"/>
          <w:sz w:val="20"/>
          <w:szCs w:val="20"/>
          <w:bdr w:val="none" w:sz="0" w:space="0" w:color="auto" w:frame="1"/>
          <w:lang w:val="en-GB" w:eastAsia="en-GB"/>
        </w:rPr>
        <w:t>of our active investments</w:t>
      </w:r>
      <w:r w:rsidR="00F02423" w:rsidRPr="00C014B2">
        <w:rPr>
          <w:color w:val="000000"/>
          <w:sz w:val="20"/>
          <w:szCs w:val="20"/>
          <w:bdr w:val="none" w:sz="0" w:space="0" w:color="auto" w:frame="1"/>
          <w:lang w:val="en-GB" w:eastAsia="en-GB"/>
        </w:rPr>
        <w:t>,</w:t>
      </w:r>
      <w:r w:rsidRPr="00C014B2">
        <w:rPr>
          <w:color w:val="000000"/>
          <w:sz w:val="20"/>
          <w:szCs w:val="20"/>
          <w:bdr w:val="none" w:sz="0" w:space="0" w:color="auto" w:frame="1"/>
          <w:lang w:val="en-GB" w:eastAsia="en-GB"/>
        </w:rPr>
        <w:t xml:space="preserve"> Bingo Industries</w:t>
      </w:r>
      <w:r w:rsidR="00F02423" w:rsidRPr="00C014B2">
        <w:rPr>
          <w:color w:val="000000"/>
          <w:sz w:val="20"/>
          <w:szCs w:val="20"/>
          <w:bdr w:val="none" w:sz="0" w:space="0" w:color="auto" w:frame="1"/>
          <w:lang w:val="en-GB" w:eastAsia="en-GB"/>
        </w:rPr>
        <w:t>,</w:t>
      </w:r>
      <w:r w:rsidRPr="00C014B2">
        <w:rPr>
          <w:color w:val="000000"/>
          <w:sz w:val="20"/>
          <w:szCs w:val="20"/>
          <w:bdr w:val="none" w:sz="0" w:space="0" w:color="auto" w:frame="1"/>
          <w:lang w:val="en-GB" w:eastAsia="en-GB"/>
        </w:rPr>
        <w:t xml:space="preserve"> has performed below expectations</w:t>
      </w:r>
      <w:r w:rsidR="00C32082">
        <w:rPr>
          <w:color w:val="000000"/>
          <w:sz w:val="20"/>
          <w:szCs w:val="20"/>
          <w:bdr w:val="none" w:sz="0" w:space="0" w:color="auto" w:frame="1"/>
          <w:lang w:val="en-GB" w:eastAsia="en-GB"/>
        </w:rPr>
        <w:t>. This</w:t>
      </w:r>
      <w:r w:rsidRPr="00C014B2">
        <w:rPr>
          <w:color w:val="000000"/>
          <w:sz w:val="20"/>
          <w:szCs w:val="20"/>
          <w:bdr w:val="none" w:sz="0" w:space="0" w:color="auto" w:frame="1"/>
          <w:lang w:val="en-GB" w:eastAsia="en-GB"/>
        </w:rPr>
        <w:t xml:space="preserve"> has prove</w:t>
      </w:r>
      <w:r w:rsidRPr="002C3CF3">
        <w:rPr>
          <w:color w:val="000000"/>
          <w:sz w:val="20"/>
          <w:szCs w:val="20"/>
          <w:bdr w:val="none" w:sz="0" w:space="0" w:color="auto" w:frame="1"/>
          <w:lang w:val="en-GB" w:eastAsia="en-GB"/>
        </w:rPr>
        <w:t>n to be an invaluable learning opportunity.</w:t>
      </w:r>
      <w:r w:rsidR="00322A0D">
        <w:rPr>
          <w:color w:val="000000"/>
          <w:sz w:val="20"/>
          <w:szCs w:val="20"/>
          <w:bdr w:val="none" w:sz="0" w:space="0" w:color="auto" w:frame="1"/>
          <w:lang w:val="en-GB" w:eastAsia="en-GB"/>
        </w:rPr>
        <w:t xml:space="preserve"> T</w:t>
      </w:r>
      <w:r w:rsidR="00322A0D" w:rsidRPr="002C3CF3">
        <w:rPr>
          <w:color w:val="000000"/>
          <w:sz w:val="20"/>
          <w:szCs w:val="20"/>
          <w:bdr w:val="none" w:sz="0" w:space="0" w:color="auto" w:frame="1"/>
          <w:lang w:val="en-GB" w:eastAsia="en-GB"/>
        </w:rPr>
        <w:t>he AAE team provide</w:t>
      </w:r>
      <w:r w:rsidR="00322A0D">
        <w:rPr>
          <w:color w:val="000000"/>
          <w:sz w:val="20"/>
          <w:szCs w:val="20"/>
          <w:bdr w:val="none" w:sz="0" w:space="0" w:color="auto" w:frame="1"/>
          <w:lang w:val="en-GB" w:eastAsia="en-GB"/>
        </w:rPr>
        <w:t>s</w:t>
      </w:r>
      <w:r w:rsidR="00322A0D" w:rsidRPr="002C3CF3">
        <w:rPr>
          <w:color w:val="000000"/>
          <w:sz w:val="20"/>
          <w:szCs w:val="20"/>
          <w:bdr w:val="none" w:sz="0" w:space="0" w:color="auto" w:frame="1"/>
          <w:lang w:val="en-GB" w:eastAsia="en-GB"/>
        </w:rPr>
        <w:t xml:space="preserve"> further insight into </w:t>
      </w:r>
      <w:r w:rsidR="00322A0D">
        <w:rPr>
          <w:color w:val="000000"/>
          <w:sz w:val="20"/>
          <w:szCs w:val="20"/>
          <w:bdr w:val="none" w:sz="0" w:space="0" w:color="auto" w:frame="1"/>
          <w:lang w:val="en-GB" w:eastAsia="en-GB"/>
        </w:rPr>
        <w:t xml:space="preserve">the </w:t>
      </w:r>
      <w:r w:rsidR="00322A0D" w:rsidRPr="002C3CF3">
        <w:rPr>
          <w:color w:val="000000"/>
          <w:sz w:val="20"/>
          <w:szCs w:val="20"/>
          <w:bdr w:val="none" w:sz="0" w:space="0" w:color="auto" w:frame="1"/>
          <w:lang w:val="en-GB" w:eastAsia="en-GB"/>
        </w:rPr>
        <w:t>Bingo</w:t>
      </w:r>
      <w:r w:rsidR="00322A0D">
        <w:rPr>
          <w:color w:val="000000"/>
          <w:sz w:val="20"/>
          <w:szCs w:val="20"/>
          <w:bdr w:val="none" w:sz="0" w:space="0" w:color="auto" w:frame="1"/>
          <w:lang w:val="en-GB" w:eastAsia="en-GB"/>
        </w:rPr>
        <w:t xml:space="preserve"> position in our Stock Spotlight section below</w:t>
      </w:r>
      <w:r w:rsidR="00322A0D" w:rsidRPr="002C3CF3">
        <w:rPr>
          <w:color w:val="000000"/>
          <w:sz w:val="20"/>
          <w:szCs w:val="20"/>
          <w:bdr w:val="none" w:sz="0" w:space="0" w:color="auto" w:frame="1"/>
          <w:lang w:val="en-GB" w:eastAsia="en-GB"/>
        </w:rPr>
        <w:t>.</w:t>
      </w:r>
      <w:r w:rsidRPr="002C3CF3">
        <w:rPr>
          <w:color w:val="000000"/>
          <w:sz w:val="20"/>
          <w:szCs w:val="20"/>
          <w:bdr w:val="none" w:sz="0" w:space="0" w:color="auto" w:frame="1"/>
          <w:lang w:val="en-GB" w:eastAsia="en-GB"/>
        </w:rPr>
        <w:t xml:space="preserve"> </w:t>
      </w:r>
      <w:r w:rsidR="00A8029A">
        <w:rPr>
          <w:color w:val="000000"/>
          <w:sz w:val="20"/>
          <w:szCs w:val="20"/>
          <w:bdr w:val="none" w:sz="0" w:space="0" w:color="auto" w:frame="1"/>
          <w:lang w:val="en-GB" w:eastAsia="en-GB"/>
        </w:rPr>
        <w:t>T</w:t>
      </w:r>
      <w:r w:rsidRPr="002C3CF3">
        <w:rPr>
          <w:color w:val="000000"/>
          <w:sz w:val="20"/>
          <w:szCs w:val="20"/>
          <w:bdr w:val="none" w:sz="0" w:space="0" w:color="auto" w:frame="1"/>
          <w:lang w:val="en-GB" w:eastAsia="en-GB"/>
        </w:rPr>
        <w:t xml:space="preserve">here </w:t>
      </w:r>
      <w:r w:rsidR="00322A0D">
        <w:rPr>
          <w:color w:val="000000"/>
          <w:sz w:val="20"/>
          <w:szCs w:val="20"/>
          <w:bdr w:val="none" w:sz="0" w:space="0" w:color="auto" w:frame="1"/>
          <w:lang w:val="en-GB" w:eastAsia="en-GB"/>
        </w:rPr>
        <w:t xml:space="preserve">are </w:t>
      </w:r>
      <w:r w:rsidRPr="002C3CF3">
        <w:rPr>
          <w:color w:val="000000"/>
          <w:sz w:val="20"/>
          <w:szCs w:val="20"/>
          <w:bdr w:val="none" w:sz="0" w:space="0" w:color="auto" w:frame="1"/>
          <w:lang w:val="en-GB" w:eastAsia="en-GB"/>
        </w:rPr>
        <w:t xml:space="preserve">no new acquisitions or disposals to report at this stage, </w:t>
      </w:r>
      <w:r w:rsidR="00A8029A">
        <w:rPr>
          <w:color w:val="000000"/>
          <w:sz w:val="20"/>
          <w:szCs w:val="20"/>
          <w:bdr w:val="none" w:sz="0" w:space="0" w:color="auto" w:frame="1"/>
          <w:lang w:val="en-GB" w:eastAsia="en-GB"/>
        </w:rPr>
        <w:t xml:space="preserve">although we anticipate presenting stock recommendations to the IAC during the second half of the semester. </w:t>
      </w:r>
    </w:p>
    <w:p w14:paraId="6A787889" w14:textId="6E514C82" w:rsidR="00A6605D" w:rsidRPr="00A6605D" w:rsidRDefault="00A6605D" w:rsidP="00C32082">
      <w:pPr>
        <w:pStyle w:val="Heading2"/>
        <w:rPr>
          <w:sz w:val="20"/>
        </w:rPr>
      </w:pPr>
      <w:bookmarkStart w:id="26" w:name="_Toc5995719"/>
      <w:r w:rsidRPr="00A6605D">
        <w:t>Stock Spotlight: Bingo Industries</w:t>
      </w:r>
      <w:bookmarkEnd w:id="26"/>
    </w:p>
    <w:p w14:paraId="7C32976C" w14:textId="19F66DE1" w:rsidR="0004552B" w:rsidRDefault="00331C4C" w:rsidP="00C32082">
      <w:pPr>
        <w:spacing w:before="180"/>
        <w:jc w:val="both"/>
        <w:rPr>
          <w:color w:val="000000"/>
          <w:sz w:val="20"/>
          <w:szCs w:val="20"/>
          <w:bdr w:val="none" w:sz="0" w:space="0" w:color="auto" w:frame="1"/>
          <w:lang w:val="en-GB" w:eastAsia="en-GB"/>
        </w:rPr>
      </w:pPr>
      <w:r w:rsidRPr="002C3CF3">
        <w:rPr>
          <w:color w:val="000000"/>
          <w:sz w:val="20"/>
          <w:szCs w:val="20"/>
          <w:bdr w:val="none" w:sz="0" w:space="0" w:color="auto" w:frame="1"/>
          <w:lang w:val="en-GB" w:eastAsia="en-GB"/>
        </w:rPr>
        <w:t xml:space="preserve">Bingo </w:t>
      </w:r>
      <w:r w:rsidR="0004552B">
        <w:rPr>
          <w:color w:val="000000"/>
          <w:sz w:val="20"/>
          <w:szCs w:val="20"/>
          <w:bdr w:val="none" w:sz="0" w:space="0" w:color="auto" w:frame="1"/>
          <w:lang w:val="en-GB" w:eastAsia="en-GB"/>
        </w:rPr>
        <w:t>was purchased by the SMF on 8</w:t>
      </w:r>
      <w:r w:rsidR="0004552B" w:rsidRPr="00F30D67">
        <w:rPr>
          <w:color w:val="000000"/>
          <w:sz w:val="20"/>
          <w:szCs w:val="20"/>
          <w:bdr w:val="none" w:sz="0" w:space="0" w:color="auto" w:frame="1"/>
          <w:vertAlign w:val="superscript"/>
          <w:lang w:val="en-GB" w:eastAsia="en-GB"/>
        </w:rPr>
        <w:t>th</w:t>
      </w:r>
      <w:r w:rsidR="0004552B">
        <w:rPr>
          <w:color w:val="000000"/>
          <w:sz w:val="20"/>
          <w:szCs w:val="20"/>
          <w:bdr w:val="none" w:sz="0" w:space="0" w:color="auto" w:frame="1"/>
          <w:lang w:val="en-GB" w:eastAsia="en-GB"/>
        </w:rPr>
        <w:t xml:space="preserve"> October 201</w:t>
      </w:r>
      <w:r w:rsidR="00301A7E">
        <w:rPr>
          <w:color w:val="000000"/>
          <w:sz w:val="20"/>
          <w:szCs w:val="20"/>
          <w:bdr w:val="none" w:sz="0" w:space="0" w:color="auto" w:frame="1"/>
          <w:lang w:val="en-GB" w:eastAsia="en-GB"/>
        </w:rPr>
        <w:t>8</w:t>
      </w:r>
      <w:r w:rsidR="0004552B">
        <w:rPr>
          <w:color w:val="000000"/>
          <w:sz w:val="20"/>
          <w:szCs w:val="20"/>
          <w:bdr w:val="none" w:sz="0" w:space="0" w:color="auto" w:frame="1"/>
          <w:lang w:val="en-GB" w:eastAsia="en-GB"/>
        </w:rPr>
        <w:t xml:space="preserve"> at $2.90, and was </w:t>
      </w:r>
      <w:r w:rsidR="0004552B" w:rsidRPr="00D411AE">
        <w:rPr>
          <w:color w:val="000000"/>
          <w:sz w:val="20"/>
          <w:szCs w:val="20"/>
          <w:bdr w:val="none" w:sz="0" w:space="0" w:color="auto" w:frame="1"/>
          <w:lang w:val="en-GB" w:eastAsia="en-GB"/>
        </w:rPr>
        <w:t>trading at $1.62 on 8 April 2019. This</w:t>
      </w:r>
      <w:r w:rsidR="0004552B" w:rsidRPr="00F30D67">
        <w:rPr>
          <w:color w:val="000000"/>
          <w:sz w:val="20"/>
          <w:szCs w:val="20"/>
          <w:bdr w:val="none" w:sz="0" w:space="0" w:color="auto" w:frame="1"/>
          <w:lang w:val="en-GB" w:eastAsia="en-GB"/>
        </w:rPr>
        <w:t xml:space="preserve"> </w:t>
      </w:r>
      <w:r w:rsidR="0004552B" w:rsidRPr="0004552B">
        <w:rPr>
          <w:color w:val="000000"/>
          <w:sz w:val="20"/>
          <w:szCs w:val="20"/>
          <w:bdr w:val="none" w:sz="0" w:space="0" w:color="auto" w:frame="1"/>
          <w:lang w:val="en-GB" w:eastAsia="en-GB"/>
        </w:rPr>
        <w:t>spotlight</w:t>
      </w:r>
      <w:r w:rsidR="0004552B">
        <w:rPr>
          <w:color w:val="000000"/>
          <w:sz w:val="20"/>
          <w:szCs w:val="20"/>
          <w:bdr w:val="none" w:sz="0" w:space="0" w:color="auto" w:frame="1"/>
          <w:lang w:val="en-GB" w:eastAsia="en-GB"/>
        </w:rPr>
        <w:t xml:space="preserve"> provides background on </w:t>
      </w:r>
      <w:r w:rsidR="003B4366">
        <w:rPr>
          <w:color w:val="000000"/>
          <w:sz w:val="20"/>
          <w:szCs w:val="20"/>
          <w:bdr w:val="none" w:sz="0" w:space="0" w:color="auto" w:frame="1"/>
          <w:lang w:val="en-GB" w:eastAsia="en-GB"/>
        </w:rPr>
        <w:t xml:space="preserve">the </w:t>
      </w:r>
      <w:r w:rsidR="0004552B">
        <w:rPr>
          <w:color w:val="000000"/>
          <w:sz w:val="20"/>
          <w:szCs w:val="20"/>
          <w:bdr w:val="none" w:sz="0" w:space="0" w:color="auto" w:frame="1"/>
          <w:lang w:val="en-GB" w:eastAsia="en-GB"/>
        </w:rPr>
        <w:t>Bingo</w:t>
      </w:r>
      <w:r w:rsidR="003B4366">
        <w:rPr>
          <w:color w:val="000000"/>
          <w:sz w:val="20"/>
          <w:szCs w:val="20"/>
          <w:bdr w:val="none" w:sz="0" w:space="0" w:color="auto" w:frame="1"/>
          <w:lang w:val="en-GB" w:eastAsia="en-GB"/>
        </w:rPr>
        <w:t xml:space="preserve"> position</w:t>
      </w:r>
      <w:r w:rsidR="0004552B">
        <w:rPr>
          <w:color w:val="000000"/>
          <w:sz w:val="20"/>
          <w:szCs w:val="20"/>
          <w:bdr w:val="none" w:sz="0" w:space="0" w:color="auto" w:frame="1"/>
          <w:lang w:val="en-GB" w:eastAsia="en-GB"/>
        </w:rPr>
        <w:t>, the developments</w:t>
      </w:r>
      <w:r w:rsidR="003B4366">
        <w:rPr>
          <w:color w:val="000000"/>
          <w:sz w:val="20"/>
          <w:szCs w:val="20"/>
          <w:bdr w:val="none" w:sz="0" w:space="0" w:color="auto" w:frame="1"/>
          <w:lang w:val="en-GB" w:eastAsia="en-GB"/>
        </w:rPr>
        <w:t xml:space="preserve"> since we purchased it,</w:t>
      </w:r>
      <w:r w:rsidR="0004552B">
        <w:rPr>
          <w:color w:val="000000"/>
          <w:sz w:val="20"/>
          <w:szCs w:val="20"/>
          <w:bdr w:val="none" w:sz="0" w:space="0" w:color="auto" w:frame="1"/>
          <w:lang w:val="en-GB" w:eastAsia="en-GB"/>
        </w:rPr>
        <w:t xml:space="preserve"> our intentions going forward</w:t>
      </w:r>
      <w:r w:rsidR="003B4366">
        <w:rPr>
          <w:color w:val="000000"/>
          <w:sz w:val="20"/>
          <w:szCs w:val="20"/>
          <w:bdr w:val="none" w:sz="0" w:space="0" w:color="auto" w:frame="1"/>
          <w:lang w:val="en-GB" w:eastAsia="en-GB"/>
        </w:rPr>
        <w:t>, and the learnings from the experience</w:t>
      </w:r>
      <w:r w:rsidR="0004552B">
        <w:rPr>
          <w:color w:val="000000"/>
          <w:sz w:val="20"/>
          <w:szCs w:val="20"/>
          <w:bdr w:val="none" w:sz="0" w:space="0" w:color="auto" w:frame="1"/>
          <w:lang w:val="en-GB" w:eastAsia="en-GB"/>
        </w:rPr>
        <w:t>.</w:t>
      </w:r>
    </w:p>
    <w:p w14:paraId="05576B40" w14:textId="25C254DD" w:rsidR="00324FD1" w:rsidRDefault="0004552B" w:rsidP="00C32082">
      <w:pPr>
        <w:spacing w:before="180"/>
        <w:jc w:val="both"/>
        <w:rPr>
          <w:color w:val="000000"/>
          <w:sz w:val="20"/>
          <w:szCs w:val="20"/>
          <w:bdr w:val="none" w:sz="0" w:space="0" w:color="auto" w:frame="1"/>
          <w:lang w:val="en-GB" w:eastAsia="en-GB"/>
        </w:rPr>
      </w:pPr>
      <w:r>
        <w:rPr>
          <w:color w:val="000000"/>
          <w:sz w:val="20"/>
          <w:szCs w:val="20"/>
          <w:bdr w:val="none" w:sz="0" w:space="0" w:color="auto" w:frame="1"/>
          <w:lang w:val="en-GB" w:eastAsia="en-GB"/>
        </w:rPr>
        <w:t xml:space="preserve">Bingo stock </w:t>
      </w:r>
      <w:r w:rsidR="00331C4C" w:rsidRPr="002C3CF3">
        <w:rPr>
          <w:color w:val="000000"/>
          <w:sz w:val="20"/>
          <w:szCs w:val="20"/>
          <w:bdr w:val="none" w:sz="0" w:space="0" w:color="auto" w:frame="1"/>
          <w:lang w:val="en-GB" w:eastAsia="en-GB"/>
        </w:rPr>
        <w:t>went public in 2017. It is a relatively young company in the waste management industry, focusing on the collection, recycling and disposal of building and demolition waste in N</w:t>
      </w:r>
      <w:r w:rsidR="00EE0689">
        <w:rPr>
          <w:color w:val="000000"/>
          <w:sz w:val="20"/>
          <w:szCs w:val="20"/>
          <w:bdr w:val="none" w:sz="0" w:space="0" w:color="auto" w:frame="1"/>
          <w:lang w:val="en-GB" w:eastAsia="en-GB"/>
        </w:rPr>
        <w:t xml:space="preserve">ew </w:t>
      </w:r>
      <w:r w:rsidR="00331C4C" w:rsidRPr="002C3CF3">
        <w:rPr>
          <w:color w:val="000000"/>
          <w:sz w:val="20"/>
          <w:szCs w:val="20"/>
          <w:bdr w:val="none" w:sz="0" w:space="0" w:color="auto" w:frame="1"/>
          <w:lang w:val="en-GB" w:eastAsia="en-GB"/>
        </w:rPr>
        <w:t>S</w:t>
      </w:r>
      <w:r w:rsidR="00EE0689">
        <w:rPr>
          <w:color w:val="000000"/>
          <w:sz w:val="20"/>
          <w:szCs w:val="20"/>
          <w:bdr w:val="none" w:sz="0" w:space="0" w:color="auto" w:frame="1"/>
          <w:lang w:val="en-GB" w:eastAsia="en-GB"/>
        </w:rPr>
        <w:t xml:space="preserve">outh </w:t>
      </w:r>
      <w:r w:rsidR="00331C4C" w:rsidRPr="002C3CF3">
        <w:rPr>
          <w:color w:val="000000"/>
          <w:sz w:val="20"/>
          <w:szCs w:val="20"/>
          <w:bdr w:val="none" w:sz="0" w:space="0" w:color="auto" w:frame="1"/>
          <w:lang w:val="en-GB" w:eastAsia="en-GB"/>
        </w:rPr>
        <w:t>W</w:t>
      </w:r>
      <w:r w:rsidR="00EE0689">
        <w:rPr>
          <w:color w:val="000000"/>
          <w:sz w:val="20"/>
          <w:szCs w:val="20"/>
          <w:bdr w:val="none" w:sz="0" w:space="0" w:color="auto" w:frame="1"/>
          <w:lang w:val="en-GB" w:eastAsia="en-GB"/>
        </w:rPr>
        <w:t>ales (NSW)</w:t>
      </w:r>
      <w:r w:rsidR="00331C4C" w:rsidRPr="002C3CF3">
        <w:rPr>
          <w:color w:val="000000"/>
          <w:sz w:val="20"/>
          <w:szCs w:val="20"/>
          <w:bdr w:val="none" w:sz="0" w:space="0" w:color="auto" w:frame="1"/>
          <w:lang w:val="en-GB" w:eastAsia="en-GB"/>
        </w:rPr>
        <w:t xml:space="preserve"> and V</w:t>
      </w:r>
      <w:r w:rsidR="00DD1B73">
        <w:rPr>
          <w:color w:val="000000"/>
          <w:sz w:val="20"/>
          <w:szCs w:val="20"/>
          <w:bdr w:val="none" w:sz="0" w:space="0" w:color="auto" w:frame="1"/>
          <w:lang w:val="en-GB" w:eastAsia="en-GB"/>
        </w:rPr>
        <w:t>ictoria (V</w:t>
      </w:r>
      <w:r w:rsidR="00331C4C" w:rsidRPr="002C3CF3">
        <w:rPr>
          <w:color w:val="000000"/>
          <w:sz w:val="20"/>
          <w:szCs w:val="20"/>
          <w:bdr w:val="none" w:sz="0" w:space="0" w:color="auto" w:frame="1"/>
          <w:lang w:val="en-GB" w:eastAsia="en-GB"/>
        </w:rPr>
        <w:t>IC</w:t>
      </w:r>
      <w:r w:rsidR="00DD1B73">
        <w:rPr>
          <w:color w:val="000000"/>
          <w:sz w:val="20"/>
          <w:szCs w:val="20"/>
          <w:bdr w:val="none" w:sz="0" w:space="0" w:color="auto" w:frame="1"/>
          <w:lang w:val="en-GB" w:eastAsia="en-GB"/>
        </w:rPr>
        <w:t>)</w:t>
      </w:r>
      <w:r w:rsidR="003C7DCD">
        <w:rPr>
          <w:color w:val="000000"/>
          <w:sz w:val="20"/>
          <w:szCs w:val="20"/>
          <w:bdr w:val="none" w:sz="0" w:space="0" w:color="auto" w:frame="1"/>
          <w:lang w:val="en-GB" w:eastAsia="en-GB"/>
        </w:rPr>
        <w:t xml:space="preserve"> while</w:t>
      </w:r>
      <w:r w:rsidR="00331C4C" w:rsidRPr="002C3CF3">
        <w:rPr>
          <w:color w:val="000000"/>
          <w:sz w:val="20"/>
          <w:szCs w:val="20"/>
          <w:bdr w:val="none" w:sz="0" w:space="0" w:color="auto" w:frame="1"/>
          <w:lang w:val="en-GB" w:eastAsia="en-GB"/>
        </w:rPr>
        <w:t xml:space="preserve"> also providing commercial and industrial waste services. </w:t>
      </w:r>
      <w:r w:rsidR="00031006">
        <w:rPr>
          <w:color w:val="000000"/>
          <w:sz w:val="20"/>
          <w:szCs w:val="20"/>
          <w:bdr w:val="none" w:sz="0" w:space="0" w:color="auto" w:frame="1"/>
          <w:lang w:val="en-GB" w:eastAsia="en-GB"/>
        </w:rPr>
        <w:t xml:space="preserve">The Fund established </w:t>
      </w:r>
      <w:r>
        <w:rPr>
          <w:color w:val="000000"/>
          <w:sz w:val="20"/>
          <w:szCs w:val="20"/>
          <w:bdr w:val="none" w:sz="0" w:space="0" w:color="auto" w:frame="1"/>
          <w:lang w:val="en-GB" w:eastAsia="en-GB"/>
        </w:rPr>
        <w:t>its</w:t>
      </w:r>
      <w:r w:rsidR="00031006">
        <w:rPr>
          <w:color w:val="000000"/>
          <w:sz w:val="20"/>
          <w:szCs w:val="20"/>
          <w:bdr w:val="none" w:sz="0" w:space="0" w:color="auto" w:frame="1"/>
          <w:lang w:val="en-GB" w:eastAsia="en-GB"/>
        </w:rPr>
        <w:t xml:space="preserve"> position </w:t>
      </w:r>
      <w:r w:rsidR="00F23619">
        <w:rPr>
          <w:color w:val="000000"/>
          <w:sz w:val="20"/>
          <w:szCs w:val="20"/>
          <w:bdr w:val="none" w:sz="0" w:space="0" w:color="auto" w:frame="1"/>
          <w:lang w:val="en-GB" w:eastAsia="en-GB"/>
        </w:rPr>
        <w:t xml:space="preserve">with an investment thesis </w:t>
      </w:r>
      <w:r w:rsidR="00700DED">
        <w:rPr>
          <w:color w:val="000000"/>
          <w:sz w:val="20"/>
          <w:szCs w:val="20"/>
          <w:bdr w:val="none" w:sz="0" w:space="0" w:color="auto" w:frame="1"/>
          <w:lang w:val="en-GB" w:eastAsia="en-GB"/>
        </w:rPr>
        <w:t>based around</w:t>
      </w:r>
      <w:r w:rsidR="00015B77">
        <w:rPr>
          <w:color w:val="000000"/>
          <w:sz w:val="20"/>
          <w:szCs w:val="20"/>
          <w:bdr w:val="none" w:sz="0" w:space="0" w:color="auto" w:frame="1"/>
          <w:lang w:val="en-GB" w:eastAsia="en-GB"/>
        </w:rPr>
        <w:t xml:space="preserve"> </w:t>
      </w:r>
      <w:r w:rsidR="00324FD1">
        <w:rPr>
          <w:color w:val="000000"/>
          <w:sz w:val="20"/>
          <w:szCs w:val="20"/>
          <w:bdr w:val="none" w:sz="0" w:space="0" w:color="auto" w:frame="1"/>
          <w:lang w:val="en-GB" w:eastAsia="en-GB"/>
        </w:rPr>
        <w:t xml:space="preserve">the </w:t>
      </w:r>
      <w:r w:rsidR="005D5144">
        <w:rPr>
          <w:color w:val="000000"/>
          <w:sz w:val="20"/>
          <w:szCs w:val="20"/>
          <w:bdr w:val="none" w:sz="0" w:space="0" w:color="auto" w:frame="1"/>
          <w:lang w:val="en-GB" w:eastAsia="en-GB"/>
        </w:rPr>
        <w:t xml:space="preserve">company’s </w:t>
      </w:r>
      <w:r w:rsidR="00324FD1" w:rsidRPr="002C3CF3">
        <w:rPr>
          <w:color w:val="000000"/>
          <w:sz w:val="20"/>
          <w:szCs w:val="20"/>
          <w:bdr w:val="none" w:sz="0" w:space="0" w:color="auto" w:frame="1"/>
          <w:lang w:val="en-GB" w:eastAsia="en-GB"/>
        </w:rPr>
        <w:t>experienced management</w:t>
      </w:r>
      <w:r w:rsidR="00375C49">
        <w:rPr>
          <w:color w:val="000000"/>
          <w:sz w:val="20"/>
          <w:szCs w:val="20"/>
          <w:bdr w:val="none" w:sz="0" w:space="0" w:color="auto" w:frame="1"/>
          <w:lang w:val="en-GB" w:eastAsia="en-GB"/>
        </w:rPr>
        <w:t xml:space="preserve">, </w:t>
      </w:r>
      <w:r w:rsidR="00324FD1" w:rsidRPr="002C3CF3">
        <w:rPr>
          <w:color w:val="000000"/>
          <w:sz w:val="20"/>
          <w:szCs w:val="20"/>
          <w:bdr w:val="none" w:sz="0" w:space="0" w:color="auto" w:frame="1"/>
          <w:lang w:val="en-GB" w:eastAsia="en-GB"/>
        </w:rPr>
        <w:t>superior operating efficiency</w:t>
      </w:r>
      <w:r w:rsidR="00D411AE">
        <w:rPr>
          <w:color w:val="000000"/>
          <w:sz w:val="20"/>
          <w:szCs w:val="20"/>
          <w:bdr w:val="none" w:sz="0" w:space="0" w:color="auto" w:frame="1"/>
          <w:lang w:val="en-GB" w:eastAsia="en-GB"/>
        </w:rPr>
        <w:t xml:space="preserve">, a successful tendering rate </w:t>
      </w:r>
      <w:r w:rsidR="00324FD1" w:rsidRPr="002C3CF3">
        <w:rPr>
          <w:color w:val="000000"/>
          <w:sz w:val="20"/>
          <w:szCs w:val="20"/>
          <w:bdr w:val="none" w:sz="0" w:space="0" w:color="auto" w:frame="1"/>
          <w:lang w:val="en-GB" w:eastAsia="en-GB"/>
        </w:rPr>
        <w:t>and growth achieved through successful acquisitions of similar businesses</w:t>
      </w:r>
      <w:r w:rsidR="00375C49">
        <w:rPr>
          <w:color w:val="000000"/>
          <w:sz w:val="20"/>
          <w:szCs w:val="20"/>
          <w:bdr w:val="none" w:sz="0" w:space="0" w:color="auto" w:frame="1"/>
          <w:lang w:val="en-GB" w:eastAsia="en-GB"/>
        </w:rPr>
        <w:t>.</w:t>
      </w:r>
      <w:r w:rsidR="00D2712F">
        <w:rPr>
          <w:color w:val="000000"/>
          <w:sz w:val="20"/>
          <w:szCs w:val="20"/>
          <w:bdr w:val="none" w:sz="0" w:space="0" w:color="auto" w:frame="1"/>
          <w:lang w:val="en-GB" w:eastAsia="en-GB"/>
        </w:rPr>
        <w:t xml:space="preserve"> </w:t>
      </w:r>
      <w:r w:rsidR="00700DED" w:rsidRPr="00D411AE">
        <w:rPr>
          <w:color w:val="000000"/>
          <w:sz w:val="20"/>
          <w:szCs w:val="20"/>
          <w:bdr w:val="none" w:sz="0" w:space="0" w:color="auto" w:frame="1"/>
          <w:lang w:val="en-GB" w:eastAsia="en-GB"/>
        </w:rPr>
        <w:t xml:space="preserve">Our contention was </w:t>
      </w:r>
      <w:r w:rsidR="00375C49" w:rsidRPr="00D411AE">
        <w:rPr>
          <w:color w:val="000000"/>
          <w:sz w:val="20"/>
          <w:szCs w:val="20"/>
          <w:bdr w:val="none" w:sz="0" w:space="0" w:color="auto" w:frame="1"/>
          <w:lang w:val="en-GB" w:eastAsia="en-GB"/>
        </w:rPr>
        <w:t xml:space="preserve">that </w:t>
      </w:r>
      <w:r w:rsidR="00D411AE">
        <w:rPr>
          <w:color w:val="000000"/>
          <w:sz w:val="20"/>
          <w:szCs w:val="20"/>
          <w:bdr w:val="none" w:sz="0" w:space="0" w:color="auto" w:frame="1"/>
          <w:lang w:val="en-GB" w:eastAsia="en-GB"/>
        </w:rPr>
        <w:t>these</w:t>
      </w:r>
      <w:r w:rsidR="00D411AE" w:rsidRPr="00D411AE">
        <w:rPr>
          <w:color w:val="000000"/>
          <w:sz w:val="20"/>
          <w:szCs w:val="20"/>
          <w:bdr w:val="none" w:sz="0" w:space="0" w:color="auto" w:frame="1"/>
          <w:lang w:val="en-GB" w:eastAsia="en-GB"/>
        </w:rPr>
        <w:t xml:space="preserve"> </w:t>
      </w:r>
      <w:r w:rsidR="00AB66E4" w:rsidRPr="00D411AE">
        <w:rPr>
          <w:color w:val="000000"/>
          <w:sz w:val="20"/>
          <w:szCs w:val="20"/>
          <w:bdr w:val="none" w:sz="0" w:space="0" w:color="auto" w:frame="1"/>
          <w:lang w:val="en-GB" w:eastAsia="en-GB"/>
        </w:rPr>
        <w:t xml:space="preserve">factors </w:t>
      </w:r>
      <w:r w:rsidR="00613874" w:rsidRPr="00D411AE">
        <w:rPr>
          <w:color w:val="000000"/>
          <w:sz w:val="20"/>
          <w:szCs w:val="20"/>
          <w:bdr w:val="none" w:sz="0" w:space="0" w:color="auto" w:frame="1"/>
          <w:lang w:val="en-GB" w:eastAsia="en-GB"/>
        </w:rPr>
        <w:t>would</w:t>
      </w:r>
      <w:r w:rsidR="00AB66E4" w:rsidRPr="00D411AE">
        <w:rPr>
          <w:color w:val="000000"/>
          <w:sz w:val="20"/>
          <w:szCs w:val="20"/>
          <w:bdr w:val="none" w:sz="0" w:space="0" w:color="auto" w:frame="1"/>
          <w:lang w:val="en-GB" w:eastAsia="en-GB"/>
        </w:rPr>
        <w:t xml:space="preserve"> combine for </w:t>
      </w:r>
      <w:r w:rsidR="00375C49" w:rsidRPr="00D411AE">
        <w:rPr>
          <w:color w:val="000000"/>
          <w:sz w:val="20"/>
          <w:szCs w:val="20"/>
          <w:bdr w:val="none" w:sz="0" w:space="0" w:color="auto" w:frame="1"/>
          <w:lang w:val="en-GB" w:eastAsia="en-GB"/>
        </w:rPr>
        <w:t xml:space="preserve">a promising and valuable long-term investment. In addition, the investment was </w:t>
      </w:r>
      <w:r w:rsidR="00D411AE">
        <w:rPr>
          <w:color w:val="000000"/>
          <w:sz w:val="20"/>
          <w:szCs w:val="20"/>
          <w:bdr w:val="none" w:sz="0" w:space="0" w:color="auto" w:frame="1"/>
          <w:lang w:val="en-GB" w:eastAsia="en-GB"/>
        </w:rPr>
        <w:t xml:space="preserve">initially </w:t>
      </w:r>
      <w:r w:rsidR="00375C49" w:rsidRPr="00D411AE">
        <w:rPr>
          <w:color w:val="000000"/>
          <w:sz w:val="20"/>
          <w:szCs w:val="20"/>
          <w:bdr w:val="none" w:sz="0" w:space="0" w:color="auto" w:frame="1"/>
          <w:lang w:val="en-GB" w:eastAsia="en-GB"/>
        </w:rPr>
        <w:t xml:space="preserve">evaluated with a </w:t>
      </w:r>
      <w:r w:rsidR="00BA2148" w:rsidRPr="00D411AE">
        <w:rPr>
          <w:color w:val="000000"/>
          <w:sz w:val="20"/>
          <w:szCs w:val="20"/>
          <w:bdr w:val="none" w:sz="0" w:space="0" w:color="auto" w:frame="1"/>
          <w:lang w:val="en-GB" w:eastAsia="en-GB"/>
        </w:rPr>
        <w:t>high marg</w:t>
      </w:r>
      <w:r w:rsidR="00BA2148" w:rsidRPr="002C3CF3">
        <w:rPr>
          <w:color w:val="000000"/>
          <w:sz w:val="20"/>
          <w:szCs w:val="20"/>
          <w:bdr w:val="none" w:sz="0" w:space="0" w:color="auto" w:frame="1"/>
          <w:lang w:val="en-GB" w:eastAsia="en-GB"/>
        </w:rPr>
        <w:t>in of safety</w:t>
      </w:r>
      <w:r w:rsidR="00D411AE">
        <w:rPr>
          <w:color w:val="000000"/>
          <w:sz w:val="20"/>
          <w:szCs w:val="20"/>
          <w:bdr w:val="none" w:sz="0" w:space="0" w:color="auto" w:frame="1"/>
          <w:lang w:val="en-GB" w:eastAsia="en-GB"/>
        </w:rPr>
        <w:t>,</w:t>
      </w:r>
      <w:r w:rsidR="00BA2148" w:rsidRPr="002C3CF3">
        <w:rPr>
          <w:color w:val="000000"/>
          <w:sz w:val="20"/>
          <w:szCs w:val="20"/>
          <w:bdr w:val="none" w:sz="0" w:space="0" w:color="auto" w:frame="1"/>
          <w:lang w:val="en-GB" w:eastAsia="en-GB"/>
        </w:rPr>
        <w:t xml:space="preserve"> and</w:t>
      </w:r>
      <w:r w:rsidR="00BA2148">
        <w:rPr>
          <w:color w:val="000000"/>
          <w:sz w:val="20"/>
          <w:szCs w:val="20"/>
          <w:bdr w:val="none" w:sz="0" w:space="0" w:color="auto" w:frame="1"/>
          <w:lang w:val="en-GB" w:eastAsia="en-GB"/>
        </w:rPr>
        <w:t xml:space="preserve"> a</w:t>
      </w:r>
      <w:r w:rsidR="00BA2148" w:rsidRPr="002C3CF3">
        <w:rPr>
          <w:color w:val="000000"/>
          <w:sz w:val="20"/>
          <w:szCs w:val="20"/>
          <w:bdr w:val="none" w:sz="0" w:space="0" w:color="auto" w:frame="1"/>
          <w:lang w:val="en-GB" w:eastAsia="en-GB"/>
        </w:rPr>
        <w:t>llowed the Fund to diversify into the waste management industry.</w:t>
      </w:r>
    </w:p>
    <w:p w14:paraId="5078104F" w14:textId="3AE988DB" w:rsidR="003B4366" w:rsidRPr="00DD3A94" w:rsidRDefault="00D411AE" w:rsidP="00C32082">
      <w:pPr>
        <w:spacing w:before="180"/>
        <w:jc w:val="both"/>
        <w:rPr>
          <w:color w:val="000000"/>
          <w:sz w:val="20"/>
          <w:szCs w:val="20"/>
          <w:bdr w:val="none" w:sz="0" w:space="0" w:color="auto" w:frame="1"/>
          <w:lang w:val="en-GB" w:eastAsia="en-GB"/>
        </w:rPr>
      </w:pPr>
      <w:r>
        <w:rPr>
          <w:color w:val="000000"/>
          <w:sz w:val="20"/>
          <w:szCs w:val="20"/>
          <w:bdr w:val="none" w:sz="0" w:space="0" w:color="auto" w:frame="1"/>
          <w:lang w:val="en-GB" w:eastAsia="en-GB"/>
        </w:rPr>
        <w:t>A</w:t>
      </w:r>
      <w:r w:rsidR="00331C4C" w:rsidRPr="002C3CF3">
        <w:rPr>
          <w:color w:val="000000"/>
          <w:sz w:val="20"/>
          <w:szCs w:val="20"/>
          <w:bdr w:val="none" w:sz="0" w:space="0" w:color="auto" w:frame="1"/>
          <w:lang w:val="en-GB" w:eastAsia="en-GB"/>
        </w:rPr>
        <w:t xml:space="preserve"> series of events </w:t>
      </w:r>
      <w:r w:rsidR="00BA2148">
        <w:rPr>
          <w:color w:val="000000"/>
          <w:sz w:val="20"/>
          <w:szCs w:val="20"/>
          <w:bdr w:val="none" w:sz="0" w:space="0" w:color="auto" w:frame="1"/>
          <w:lang w:val="en-GB" w:eastAsia="en-GB"/>
        </w:rPr>
        <w:t xml:space="preserve">have </w:t>
      </w:r>
      <w:r w:rsidR="00331C4C" w:rsidRPr="002C3CF3">
        <w:rPr>
          <w:color w:val="000000"/>
          <w:sz w:val="20"/>
          <w:szCs w:val="20"/>
          <w:bdr w:val="none" w:sz="0" w:space="0" w:color="auto" w:frame="1"/>
          <w:lang w:val="en-GB" w:eastAsia="en-GB"/>
        </w:rPr>
        <w:t>caused Bingo</w:t>
      </w:r>
      <w:r w:rsidR="005D5144">
        <w:rPr>
          <w:color w:val="000000"/>
          <w:sz w:val="20"/>
          <w:szCs w:val="20"/>
          <w:bdr w:val="none" w:sz="0" w:space="0" w:color="auto" w:frame="1"/>
          <w:lang w:val="en-GB" w:eastAsia="en-GB"/>
        </w:rPr>
        <w:t>’</w:t>
      </w:r>
      <w:r>
        <w:rPr>
          <w:color w:val="000000"/>
          <w:sz w:val="20"/>
          <w:szCs w:val="20"/>
          <w:bdr w:val="none" w:sz="0" w:space="0" w:color="auto" w:frame="1"/>
          <w:lang w:val="en-GB" w:eastAsia="en-GB"/>
        </w:rPr>
        <w:t>s</w:t>
      </w:r>
      <w:r w:rsidR="00331C4C" w:rsidRPr="002C3CF3">
        <w:rPr>
          <w:color w:val="000000"/>
          <w:sz w:val="20"/>
          <w:szCs w:val="20"/>
          <w:bdr w:val="none" w:sz="0" w:space="0" w:color="auto" w:frame="1"/>
          <w:lang w:val="en-GB" w:eastAsia="en-GB"/>
        </w:rPr>
        <w:t xml:space="preserve"> share price to drop significantly</w:t>
      </w:r>
      <w:r w:rsidRPr="00D411AE">
        <w:rPr>
          <w:color w:val="000000"/>
          <w:sz w:val="20"/>
          <w:szCs w:val="20"/>
          <w:bdr w:val="none" w:sz="0" w:space="0" w:color="auto" w:frame="1"/>
          <w:lang w:val="en-GB" w:eastAsia="en-GB"/>
        </w:rPr>
        <w:t xml:space="preserve"> </w:t>
      </w:r>
      <w:r>
        <w:rPr>
          <w:color w:val="000000"/>
          <w:sz w:val="20"/>
          <w:szCs w:val="20"/>
          <w:bdr w:val="none" w:sz="0" w:space="0" w:color="auto" w:frame="1"/>
          <w:lang w:val="en-GB" w:eastAsia="en-GB"/>
        </w:rPr>
        <w:t>since making the investment</w:t>
      </w:r>
      <w:r w:rsidR="00BA2148">
        <w:rPr>
          <w:color w:val="000000"/>
          <w:sz w:val="20"/>
          <w:szCs w:val="20"/>
          <w:bdr w:val="none" w:sz="0" w:space="0" w:color="auto" w:frame="1"/>
          <w:lang w:val="en-GB" w:eastAsia="en-GB"/>
        </w:rPr>
        <w:t xml:space="preserve">. </w:t>
      </w:r>
      <w:r w:rsidR="00331C4C" w:rsidRPr="002C3CF3">
        <w:rPr>
          <w:color w:val="000000"/>
          <w:sz w:val="20"/>
          <w:szCs w:val="20"/>
          <w:bdr w:val="none" w:sz="0" w:space="0" w:color="auto" w:frame="1"/>
          <w:lang w:val="en-GB" w:eastAsia="en-GB"/>
        </w:rPr>
        <w:t>On the 29th of November 201</w:t>
      </w:r>
      <w:r w:rsidR="00BA2148">
        <w:rPr>
          <w:color w:val="000000"/>
          <w:sz w:val="20"/>
          <w:szCs w:val="20"/>
          <w:bdr w:val="none" w:sz="0" w:space="0" w:color="auto" w:frame="1"/>
          <w:lang w:val="en-GB" w:eastAsia="en-GB"/>
        </w:rPr>
        <w:t>8</w:t>
      </w:r>
      <w:r w:rsidR="005D5144">
        <w:rPr>
          <w:color w:val="000000"/>
          <w:sz w:val="20"/>
          <w:szCs w:val="20"/>
          <w:bdr w:val="none" w:sz="0" w:space="0" w:color="auto" w:frame="1"/>
          <w:lang w:val="en-GB" w:eastAsia="en-GB"/>
        </w:rPr>
        <w:t>,</w:t>
      </w:r>
      <w:r w:rsidR="00331C4C" w:rsidRPr="002C3CF3">
        <w:rPr>
          <w:color w:val="000000"/>
          <w:sz w:val="20"/>
          <w:szCs w:val="20"/>
          <w:bdr w:val="none" w:sz="0" w:space="0" w:color="auto" w:frame="1"/>
          <w:lang w:val="en-GB" w:eastAsia="en-GB"/>
        </w:rPr>
        <w:t xml:space="preserve"> the </w:t>
      </w:r>
      <w:r w:rsidR="00981823" w:rsidRPr="00981823">
        <w:rPr>
          <w:color w:val="000000"/>
          <w:sz w:val="20"/>
          <w:szCs w:val="20"/>
          <w:bdr w:val="none" w:sz="0" w:space="0" w:color="auto" w:frame="1"/>
          <w:lang w:eastAsia="en-GB"/>
        </w:rPr>
        <w:t>Australian Competition and Consumer Commission</w:t>
      </w:r>
      <w:r w:rsidR="00981823">
        <w:rPr>
          <w:color w:val="000000"/>
          <w:sz w:val="20"/>
          <w:szCs w:val="20"/>
          <w:bdr w:val="none" w:sz="0" w:space="0" w:color="auto" w:frame="1"/>
          <w:lang w:eastAsia="en-GB"/>
        </w:rPr>
        <w:t xml:space="preserve"> (ACCC)</w:t>
      </w:r>
      <w:r w:rsidR="00331C4C" w:rsidRPr="002C3CF3">
        <w:rPr>
          <w:color w:val="000000"/>
          <w:sz w:val="20"/>
          <w:szCs w:val="20"/>
          <w:bdr w:val="none" w:sz="0" w:space="0" w:color="auto" w:frame="1"/>
          <w:lang w:val="en-GB" w:eastAsia="en-GB"/>
        </w:rPr>
        <w:t xml:space="preserve"> expressed concern </w:t>
      </w:r>
      <w:r w:rsidR="005D5144">
        <w:rPr>
          <w:color w:val="000000"/>
          <w:sz w:val="20"/>
          <w:szCs w:val="20"/>
          <w:bdr w:val="none" w:sz="0" w:space="0" w:color="auto" w:frame="1"/>
          <w:lang w:val="en-GB" w:eastAsia="en-GB"/>
        </w:rPr>
        <w:t>over the planned acquisition of Dial-A-Dump</w:t>
      </w:r>
      <w:r w:rsidR="00331C4C" w:rsidRPr="002C3CF3">
        <w:rPr>
          <w:color w:val="000000"/>
          <w:sz w:val="20"/>
          <w:szCs w:val="20"/>
          <w:bdr w:val="none" w:sz="0" w:space="0" w:color="auto" w:frame="1"/>
          <w:lang w:val="en-GB" w:eastAsia="en-GB"/>
        </w:rPr>
        <w:t xml:space="preserve"> </w:t>
      </w:r>
      <w:r w:rsidR="004F3046">
        <w:rPr>
          <w:color w:val="000000"/>
          <w:sz w:val="20"/>
          <w:szCs w:val="20"/>
          <w:bdr w:val="none" w:sz="0" w:space="0" w:color="auto" w:frame="1"/>
          <w:lang w:val="en-GB" w:eastAsia="en-GB"/>
        </w:rPr>
        <w:t xml:space="preserve">Industries </w:t>
      </w:r>
      <w:r w:rsidR="005D5144">
        <w:rPr>
          <w:color w:val="000000"/>
          <w:sz w:val="20"/>
          <w:szCs w:val="20"/>
          <w:bdr w:val="none" w:sz="0" w:space="0" w:color="auto" w:frame="1"/>
          <w:lang w:val="en-GB" w:eastAsia="en-GB"/>
        </w:rPr>
        <w:t>(</w:t>
      </w:r>
      <w:r w:rsidR="00331C4C" w:rsidRPr="002C3CF3">
        <w:rPr>
          <w:color w:val="000000"/>
          <w:sz w:val="20"/>
          <w:szCs w:val="20"/>
          <w:bdr w:val="none" w:sz="0" w:space="0" w:color="auto" w:frame="1"/>
          <w:lang w:val="en-GB" w:eastAsia="en-GB"/>
        </w:rPr>
        <w:t>DADI</w:t>
      </w:r>
      <w:r w:rsidR="005D5144">
        <w:rPr>
          <w:color w:val="000000"/>
          <w:sz w:val="20"/>
          <w:szCs w:val="20"/>
          <w:bdr w:val="none" w:sz="0" w:space="0" w:color="auto" w:frame="1"/>
          <w:lang w:val="en-GB" w:eastAsia="en-GB"/>
        </w:rPr>
        <w:t>)</w:t>
      </w:r>
      <w:r w:rsidR="00783127">
        <w:rPr>
          <w:color w:val="000000"/>
          <w:sz w:val="20"/>
          <w:szCs w:val="20"/>
          <w:bdr w:val="none" w:sz="0" w:space="0" w:color="auto" w:frame="1"/>
          <w:lang w:val="en-GB" w:eastAsia="en-GB"/>
        </w:rPr>
        <w:t xml:space="preserve">, triggering an initial share price decline. </w:t>
      </w:r>
      <w:r w:rsidR="00C54513">
        <w:rPr>
          <w:color w:val="000000"/>
          <w:sz w:val="20"/>
          <w:szCs w:val="20"/>
          <w:bdr w:val="none" w:sz="0" w:space="0" w:color="auto" w:frame="1"/>
          <w:lang w:val="en-GB" w:eastAsia="en-GB"/>
        </w:rPr>
        <w:t>This cast some doubts over the Bingo growth</w:t>
      </w:r>
      <w:r w:rsidR="00DD3A94">
        <w:rPr>
          <w:color w:val="000000"/>
          <w:sz w:val="20"/>
          <w:szCs w:val="20"/>
          <w:bdr w:val="none" w:sz="0" w:space="0" w:color="auto" w:frame="1"/>
          <w:lang w:val="en-GB" w:eastAsia="en-GB"/>
        </w:rPr>
        <w:t>-</w:t>
      </w:r>
      <w:r w:rsidR="00C54513">
        <w:rPr>
          <w:color w:val="000000"/>
          <w:sz w:val="20"/>
          <w:szCs w:val="20"/>
          <w:bdr w:val="none" w:sz="0" w:space="0" w:color="auto" w:frame="1"/>
          <w:lang w:val="en-GB" w:eastAsia="en-GB"/>
        </w:rPr>
        <w:t>by</w:t>
      </w:r>
      <w:r w:rsidR="00DD3A94">
        <w:rPr>
          <w:color w:val="000000"/>
          <w:sz w:val="20"/>
          <w:szCs w:val="20"/>
          <w:bdr w:val="none" w:sz="0" w:space="0" w:color="auto" w:frame="1"/>
          <w:lang w:val="en-GB" w:eastAsia="en-GB"/>
        </w:rPr>
        <w:t>-</w:t>
      </w:r>
      <w:r w:rsidR="00C54513">
        <w:rPr>
          <w:color w:val="000000"/>
          <w:sz w:val="20"/>
          <w:szCs w:val="20"/>
          <w:bdr w:val="none" w:sz="0" w:space="0" w:color="auto" w:frame="1"/>
          <w:lang w:val="en-GB" w:eastAsia="en-GB"/>
        </w:rPr>
        <w:t>acquisition strategy, although</w:t>
      </w:r>
      <w:r w:rsidR="00783127">
        <w:rPr>
          <w:color w:val="000000"/>
          <w:sz w:val="20"/>
          <w:szCs w:val="20"/>
          <w:bdr w:val="none" w:sz="0" w:space="0" w:color="auto" w:frame="1"/>
          <w:lang w:val="en-GB" w:eastAsia="en-GB"/>
        </w:rPr>
        <w:t xml:space="preserve"> the ACCC has now allowed the acquisition to proceed</w:t>
      </w:r>
      <w:r w:rsidR="00C54513">
        <w:rPr>
          <w:color w:val="000000"/>
          <w:sz w:val="20"/>
          <w:szCs w:val="20"/>
          <w:bdr w:val="none" w:sz="0" w:space="0" w:color="auto" w:frame="1"/>
          <w:lang w:val="en-GB" w:eastAsia="en-GB"/>
        </w:rPr>
        <w:t>. Perhaps more important was</w:t>
      </w:r>
      <w:r w:rsidR="00783127">
        <w:rPr>
          <w:color w:val="000000"/>
          <w:sz w:val="20"/>
          <w:szCs w:val="20"/>
          <w:bdr w:val="none" w:sz="0" w:space="0" w:color="auto" w:frame="1"/>
          <w:lang w:val="en-GB" w:eastAsia="en-GB"/>
        </w:rPr>
        <w:t xml:space="preserve"> </w:t>
      </w:r>
      <w:r w:rsidR="00DD3A94">
        <w:rPr>
          <w:color w:val="000000"/>
          <w:sz w:val="20"/>
          <w:szCs w:val="20"/>
          <w:bdr w:val="none" w:sz="0" w:space="0" w:color="auto" w:frame="1"/>
          <w:lang w:val="en-GB" w:eastAsia="en-GB"/>
        </w:rPr>
        <w:t>an</w:t>
      </w:r>
      <w:r w:rsidR="009907D9">
        <w:rPr>
          <w:color w:val="000000"/>
          <w:sz w:val="20"/>
          <w:szCs w:val="20"/>
          <w:bdr w:val="none" w:sz="0" w:space="0" w:color="auto" w:frame="1"/>
          <w:lang w:val="en-GB" w:eastAsia="en-GB"/>
        </w:rPr>
        <w:t xml:space="preserve"> </w:t>
      </w:r>
      <w:r w:rsidR="005D5144">
        <w:rPr>
          <w:color w:val="000000"/>
          <w:sz w:val="20"/>
          <w:szCs w:val="20"/>
          <w:bdr w:val="none" w:sz="0" w:space="0" w:color="auto" w:frame="1"/>
          <w:lang w:val="en-GB" w:eastAsia="en-GB"/>
        </w:rPr>
        <w:t>announcement</w:t>
      </w:r>
      <w:r w:rsidR="00C54513">
        <w:rPr>
          <w:color w:val="000000"/>
          <w:sz w:val="20"/>
          <w:szCs w:val="20"/>
          <w:bdr w:val="none" w:sz="0" w:space="0" w:color="auto" w:frame="1"/>
          <w:lang w:val="en-GB" w:eastAsia="en-GB"/>
        </w:rPr>
        <w:t xml:space="preserve"> le</w:t>
      </w:r>
      <w:r w:rsidR="00DD3A94">
        <w:rPr>
          <w:color w:val="000000"/>
          <w:sz w:val="20"/>
          <w:szCs w:val="20"/>
          <w:bdr w:val="none" w:sz="0" w:space="0" w:color="auto" w:frame="1"/>
          <w:lang w:val="en-GB" w:eastAsia="en-GB"/>
        </w:rPr>
        <w:t>a</w:t>
      </w:r>
      <w:r w:rsidR="00C54513">
        <w:rPr>
          <w:color w:val="000000"/>
          <w:sz w:val="20"/>
          <w:szCs w:val="20"/>
          <w:bdr w:val="none" w:sz="0" w:space="0" w:color="auto" w:frame="1"/>
          <w:lang w:val="en-GB" w:eastAsia="en-GB"/>
        </w:rPr>
        <w:t>d</w:t>
      </w:r>
      <w:r w:rsidR="00DD3A94">
        <w:rPr>
          <w:color w:val="000000"/>
          <w:sz w:val="20"/>
          <w:szCs w:val="20"/>
          <w:bdr w:val="none" w:sz="0" w:space="0" w:color="auto" w:frame="1"/>
          <w:lang w:val="en-GB" w:eastAsia="en-GB"/>
        </w:rPr>
        <w:t>ing</w:t>
      </w:r>
      <w:r w:rsidR="00C54513">
        <w:rPr>
          <w:color w:val="000000"/>
          <w:sz w:val="20"/>
          <w:szCs w:val="20"/>
          <w:bdr w:val="none" w:sz="0" w:space="0" w:color="auto" w:frame="1"/>
          <w:lang w:val="en-GB" w:eastAsia="en-GB"/>
        </w:rPr>
        <w:t xml:space="preserve"> to</w:t>
      </w:r>
      <w:r w:rsidR="00783127">
        <w:rPr>
          <w:color w:val="000000"/>
          <w:sz w:val="20"/>
          <w:szCs w:val="20"/>
          <w:bdr w:val="none" w:sz="0" w:space="0" w:color="auto" w:frame="1"/>
          <w:lang w:val="en-GB" w:eastAsia="en-GB"/>
        </w:rPr>
        <w:t xml:space="preserve"> downward revision of earnings forecasts</w:t>
      </w:r>
      <w:r w:rsidR="00C54513">
        <w:rPr>
          <w:color w:val="000000"/>
          <w:sz w:val="20"/>
          <w:szCs w:val="20"/>
          <w:bdr w:val="none" w:sz="0" w:space="0" w:color="auto" w:frame="1"/>
          <w:lang w:val="en-GB" w:eastAsia="en-GB"/>
        </w:rPr>
        <w:t>, which caused a further share price spiral.</w:t>
      </w:r>
      <w:r w:rsidR="00783127">
        <w:rPr>
          <w:color w:val="000000"/>
          <w:sz w:val="20"/>
          <w:szCs w:val="20"/>
          <w:bdr w:val="none" w:sz="0" w:space="0" w:color="auto" w:frame="1"/>
          <w:lang w:val="en-GB" w:eastAsia="en-GB"/>
        </w:rPr>
        <w:t xml:space="preserve"> </w:t>
      </w:r>
      <w:r w:rsidR="00C54513" w:rsidRPr="00DD3A94">
        <w:rPr>
          <w:color w:val="000000"/>
          <w:sz w:val="20"/>
          <w:szCs w:val="20"/>
          <w:bdr w:val="none" w:sz="0" w:space="0" w:color="auto" w:frame="1"/>
          <w:lang w:val="en-GB" w:eastAsia="en-GB"/>
        </w:rPr>
        <w:t>This was partly due to</w:t>
      </w:r>
      <w:r w:rsidR="00783127" w:rsidRPr="00DD3A94">
        <w:rPr>
          <w:color w:val="000000"/>
          <w:sz w:val="20"/>
          <w:szCs w:val="20"/>
          <w:bdr w:val="none" w:sz="0" w:space="0" w:color="auto" w:frame="1"/>
          <w:lang w:val="en-GB" w:eastAsia="en-GB"/>
        </w:rPr>
        <w:t xml:space="preserve"> </w:t>
      </w:r>
      <w:r w:rsidR="00321303" w:rsidRPr="00DD3A94">
        <w:rPr>
          <w:color w:val="000000"/>
          <w:sz w:val="20"/>
          <w:szCs w:val="20"/>
          <w:bdr w:val="none" w:sz="0" w:space="0" w:color="auto" w:frame="1"/>
          <w:lang w:val="en-GB" w:eastAsia="en-GB"/>
        </w:rPr>
        <w:t xml:space="preserve">a </w:t>
      </w:r>
      <w:r w:rsidR="00331C4C" w:rsidRPr="00DD3A94">
        <w:rPr>
          <w:color w:val="000000"/>
          <w:sz w:val="20"/>
          <w:szCs w:val="20"/>
          <w:bdr w:val="none" w:sz="0" w:space="0" w:color="auto" w:frame="1"/>
          <w:lang w:val="en-GB" w:eastAsia="en-GB"/>
        </w:rPr>
        <w:t>reduced amount of new construction projects in NSW and VIC over the next 5-10 years</w:t>
      </w:r>
      <w:r w:rsidR="00321303" w:rsidRPr="00DD3A94">
        <w:rPr>
          <w:color w:val="000000"/>
          <w:sz w:val="20"/>
          <w:szCs w:val="20"/>
          <w:bdr w:val="none" w:sz="0" w:space="0" w:color="auto" w:frame="1"/>
          <w:lang w:val="en-GB" w:eastAsia="en-GB"/>
        </w:rPr>
        <w:t xml:space="preserve"> </w:t>
      </w:r>
      <w:r w:rsidR="00446F6F" w:rsidRPr="00DD3A94">
        <w:rPr>
          <w:color w:val="000000"/>
          <w:sz w:val="20"/>
          <w:szCs w:val="20"/>
          <w:bdr w:val="none" w:sz="0" w:space="0" w:color="auto" w:frame="1"/>
          <w:lang w:val="en-GB" w:eastAsia="en-GB"/>
        </w:rPr>
        <w:t xml:space="preserve">and </w:t>
      </w:r>
      <w:r w:rsidR="00BA0147" w:rsidRPr="00DD3A94">
        <w:rPr>
          <w:color w:val="000000"/>
          <w:sz w:val="20"/>
          <w:szCs w:val="20"/>
          <w:bdr w:val="none" w:sz="0" w:space="0" w:color="auto" w:frame="1"/>
          <w:lang w:eastAsia="en-GB"/>
        </w:rPr>
        <w:t>Bingo’s decision to postpone raising its prices charged to customers</w:t>
      </w:r>
      <w:r w:rsidR="005A1E24" w:rsidRPr="00DD3A94">
        <w:rPr>
          <w:color w:val="000000"/>
          <w:sz w:val="20"/>
          <w:szCs w:val="20"/>
          <w:bdr w:val="none" w:sz="0" w:space="0" w:color="auto" w:frame="1"/>
          <w:lang w:val="en-GB" w:eastAsia="en-GB"/>
        </w:rPr>
        <w:t xml:space="preserve">. </w:t>
      </w:r>
    </w:p>
    <w:p w14:paraId="52B9BA9E" w14:textId="64352919" w:rsidR="00331C4C" w:rsidRPr="00DD3A94" w:rsidRDefault="00331C4C" w:rsidP="00C32082">
      <w:pPr>
        <w:spacing w:before="180"/>
        <w:jc w:val="both"/>
        <w:rPr>
          <w:color w:val="000000"/>
          <w:sz w:val="20"/>
          <w:szCs w:val="20"/>
          <w:bdr w:val="none" w:sz="0" w:space="0" w:color="auto" w:frame="1"/>
          <w:lang w:val="en-GB" w:eastAsia="en-GB"/>
        </w:rPr>
      </w:pPr>
      <w:r w:rsidRPr="00DD3A94">
        <w:rPr>
          <w:color w:val="000000"/>
          <w:sz w:val="20"/>
          <w:szCs w:val="20"/>
          <w:bdr w:val="none" w:sz="0" w:space="0" w:color="auto" w:frame="1"/>
          <w:lang w:val="en-GB" w:eastAsia="en-GB"/>
        </w:rPr>
        <w:t xml:space="preserve">In response, the AAE team has been researching, analysing and evaluating whether Bingo has suffered a </w:t>
      </w:r>
      <w:r w:rsidR="00321303" w:rsidRPr="00DD3A94">
        <w:rPr>
          <w:color w:val="000000"/>
          <w:sz w:val="20"/>
          <w:szCs w:val="20"/>
          <w:bdr w:val="none" w:sz="0" w:space="0" w:color="auto" w:frame="1"/>
          <w:lang w:val="en-GB" w:eastAsia="en-GB"/>
        </w:rPr>
        <w:t xml:space="preserve">sustained reduction in profitability and hence </w:t>
      </w:r>
      <w:r w:rsidRPr="00DD3A94">
        <w:rPr>
          <w:color w:val="000000"/>
          <w:sz w:val="20"/>
          <w:szCs w:val="20"/>
          <w:bdr w:val="none" w:sz="0" w:space="0" w:color="auto" w:frame="1"/>
          <w:lang w:val="en-GB" w:eastAsia="en-GB"/>
        </w:rPr>
        <w:t xml:space="preserve">permanent loss in value. The AAE is currently </w:t>
      </w:r>
      <w:r w:rsidR="00634A3D" w:rsidRPr="00DD3A94">
        <w:rPr>
          <w:color w:val="000000"/>
          <w:sz w:val="20"/>
          <w:szCs w:val="20"/>
          <w:bdr w:val="none" w:sz="0" w:space="0" w:color="auto" w:frame="1"/>
          <w:lang w:val="en-GB" w:eastAsia="en-GB"/>
        </w:rPr>
        <w:t xml:space="preserve">finalising </w:t>
      </w:r>
      <w:r w:rsidRPr="00DD3A94">
        <w:rPr>
          <w:color w:val="000000"/>
          <w:sz w:val="20"/>
          <w:szCs w:val="20"/>
          <w:bdr w:val="none" w:sz="0" w:space="0" w:color="auto" w:frame="1"/>
          <w:lang w:val="en-GB" w:eastAsia="en-GB"/>
        </w:rPr>
        <w:t>an updated valuation model</w:t>
      </w:r>
      <w:r w:rsidR="00634A3D" w:rsidRPr="00DD3A94">
        <w:rPr>
          <w:color w:val="000000"/>
          <w:sz w:val="20"/>
          <w:szCs w:val="20"/>
          <w:bdr w:val="none" w:sz="0" w:space="0" w:color="auto" w:frame="1"/>
          <w:lang w:val="en-GB" w:eastAsia="en-GB"/>
        </w:rPr>
        <w:t>,</w:t>
      </w:r>
      <w:r w:rsidRPr="00DD3A94">
        <w:rPr>
          <w:color w:val="000000"/>
          <w:sz w:val="20"/>
          <w:szCs w:val="20"/>
          <w:bdr w:val="none" w:sz="0" w:space="0" w:color="auto" w:frame="1"/>
          <w:lang w:val="en-GB" w:eastAsia="en-GB"/>
        </w:rPr>
        <w:t xml:space="preserve"> which will assist to put forth a </w:t>
      </w:r>
      <w:r w:rsidR="003B4366" w:rsidRPr="00DD3A94">
        <w:rPr>
          <w:color w:val="000000"/>
          <w:sz w:val="20"/>
          <w:szCs w:val="20"/>
          <w:bdr w:val="none" w:sz="0" w:space="0" w:color="auto" w:frame="1"/>
          <w:lang w:val="en-GB" w:eastAsia="en-GB"/>
        </w:rPr>
        <w:t>recommendation to the</w:t>
      </w:r>
      <w:r w:rsidRPr="00DD3A94">
        <w:rPr>
          <w:color w:val="000000"/>
          <w:sz w:val="20"/>
          <w:szCs w:val="20"/>
          <w:bdr w:val="none" w:sz="0" w:space="0" w:color="auto" w:frame="1"/>
          <w:lang w:val="en-GB" w:eastAsia="en-GB"/>
        </w:rPr>
        <w:t xml:space="preserve"> IAC over the coming weeks. </w:t>
      </w:r>
    </w:p>
    <w:p w14:paraId="0F6F9493" w14:textId="25DD7DE5" w:rsidR="00331C4C" w:rsidRPr="002C3CF3" w:rsidRDefault="003B4366" w:rsidP="00C32082">
      <w:pPr>
        <w:spacing w:before="180"/>
        <w:jc w:val="both"/>
        <w:rPr>
          <w:color w:val="000000"/>
          <w:sz w:val="20"/>
          <w:szCs w:val="20"/>
          <w:bdr w:val="none" w:sz="0" w:space="0" w:color="auto" w:frame="1"/>
          <w:lang w:val="en-GB" w:eastAsia="en-GB"/>
        </w:rPr>
      </w:pPr>
      <w:r w:rsidRPr="00DD3A94">
        <w:rPr>
          <w:color w:val="000000"/>
          <w:sz w:val="20"/>
          <w:szCs w:val="20"/>
          <w:bdr w:val="none" w:sz="0" w:space="0" w:color="auto" w:frame="1"/>
          <w:lang w:val="en-GB" w:eastAsia="en-GB"/>
        </w:rPr>
        <w:t xml:space="preserve">The </w:t>
      </w:r>
      <w:r w:rsidR="00331C4C" w:rsidRPr="00DD3A94">
        <w:rPr>
          <w:color w:val="000000"/>
          <w:sz w:val="20"/>
          <w:szCs w:val="20"/>
          <w:bdr w:val="none" w:sz="0" w:space="0" w:color="auto" w:frame="1"/>
          <w:lang w:val="en-GB" w:eastAsia="en-GB"/>
        </w:rPr>
        <w:t xml:space="preserve">performance attribution analysis provided below </w:t>
      </w:r>
      <w:r w:rsidRPr="00DD3A94">
        <w:rPr>
          <w:color w:val="000000"/>
          <w:sz w:val="20"/>
          <w:szCs w:val="20"/>
          <w:bdr w:val="none" w:sz="0" w:space="0" w:color="auto" w:frame="1"/>
          <w:lang w:val="en-GB" w:eastAsia="en-GB"/>
        </w:rPr>
        <w:t xml:space="preserve">reveals </w:t>
      </w:r>
      <w:r w:rsidR="00331C4C" w:rsidRPr="00DD3A94">
        <w:rPr>
          <w:color w:val="000000"/>
          <w:sz w:val="20"/>
          <w:szCs w:val="20"/>
          <w:bdr w:val="none" w:sz="0" w:space="0" w:color="auto" w:frame="1"/>
          <w:lang w:val="en-GB" w:eastAsia="en-GB"/>
        </w:rPr>
        <w:t>that Bingo</w:t>
      </w:r>
      <w:r w:rsidRPr="00DD3A94">
        <w:rPr>
          <w:color w:val="000000"/>
          <w:sz w:val="20"/>
          <w:szCs w:val="20"/>
          <w:bdr w:val="none" w:sz="0" w:space="0" w:color="auto" w:frame="1"/>
          <w:lang w:val="en-GB" w:eastAsia="en-GB"/>
        </w:rPr>
        <w:t>’s</w:t>
      </w:r>
      <w:r w:rsidR="00331C4C" w:rsidRPr="00DD3A94">
        <w:rPr>
          <w:color w:val="000000"/>
          <w:sz w:val="20"/>
          <w:szCs w:val="20"/>
          <w:bdr w:val="none" w:sz="0" w:space="0" w:color="auto" w:frame="1"/>
          <w:lang w:val="en-GB" w:eastAsia="en-GB"/>
        </w:rPr>
        <w:t xml:space="preserve"> poor </w:t>
      </w:r>
      <w:r w:rsidR="00DD3A94" w:rsidRPr="00DD3A94">
        <w:rPr>
          <w:color w:val="000000"/>
          <w:sz w:val="20"/>
          <w:szCs w:val="20"/>
          <w:bdr w:val="none" w:sz="0" w:space="0" w:color="auto" w:frame="1"/>
          <w:lang w:val="en-GB" w:eastAsia="en-GB"/>
        </w:rPr>
        <w:t xml:space="preserve">return </w:t>
      </w:r>
      <w:r w:rsidR="00331C4C" w:rsidRPr="00DD3A94">
        <w:rPr>
          <w:color w:val="000000"/>
          <w:sz w:val="20"/>
          <w:szCs w:val="20"/>
          <w:bdr w:val="none" w:sz="0" w:space="0" w:color="auto" w:frame="1"/>
          <w:lang w:val="en-GB" w:eastAsia="en-GB"/>
        </w:rPr>
        <w:t>has</w:t>
      </w:r>
      <w:r w:rsidR="00B734BC" w:rsidRPr="00DD3A94">
        <w:rPr>
          <w:color w:val="000000"/>
          <w:sz w:val="20"/>
          <w:szCs w:val="20"/>
          <w:bdr w:val="none" w:sz="0" w:space="0" w:color="auto" w:frame="1"/>
          <w:lang w:val="en-GB" w:eastAsia="en-GB"/>
        </w:rPr>
        <w:t xml:space="preserve"> detracted </w:t>
      </w:r>
      <w:r w:rsidR="00331C4C" w:rsidRPr="00DD3A94">
        <w:rPr>
          <w:color w:val="000000"/>
          <w:sz w:val="20"/>
          <w:szCs w:val="20"/>
          <w:bdr w:val="none" w:sz="0" w:space="0" w:color="auto" w:frame="1"/>
          <w:lang w:val="en-GB" w:eastAsia="en-GB"/>
        </w:rPr>
        <w:t xml:space="preserve">significantly </w:t>
      </w:r>
      <w:r w:rsidR="00B734BC" w:rsidRPr="00DD3A94">
        <w:rPr>
          <w:color w:val="000000"/>
          <w:sz w:val="20"/>
          <w:szCs w:val="20"/>
          <w:bdr w:val="none" w:sz="0" w:space="0" w:color="auto" w:frame="1"/>
          <w:lang w:val="en-GB" w:eastAsia="en-GB"/>
        </w:rPr>
        <w:t xml:space="preserve">from the </w:t>
      </w:r>
      <w:r w:rsidRPr="00DD3A94">
        <w:rPr>
          <w:color w:val="000000"/>
          <w:sz w:val="20"/>
          <w:szCs w:val="20"/>
          <w:bdr w:val="none" w:sz="0" w:space="0" w:color="auto" w:frame="1"/>
          <w:lang w:val="en-GB" w:eastAsia="en-GB"/>
        </w:rPr>
        <w:t>F</w:t>
      </w:r>
      <w:r w:rsidR="00331C4C" w:rsidRPr="00DD3A94">
        <w:rPr>
          <w:color w:val="000000"/>
          <w:sz w:val="20"/>
          <w:szCs w:val="20"/>
          <w:bdr w:val="none" w:sz="0" w:space="0" w:color="auto" w:frame="1"/>
          <w:lang w:val="en-GB" w:eastAsia="en-GB"/>
        </w:rPr>
        <w:t>und</w:t>
      </w:r>
      <w:r w:rsidR="00B734BC" w:rsidRPr="00DD3A94">
        <w:rPr>
          <w:color w:val="000000"/>
          <w:sz w:val="20"/>
          <w:szCs w:val="20"/>
          <w:bdr w:val="none" w:sz="0" w:space="0" w:color="auto" w:frame="1"/>
          <w:lang w:val="en-GB" w:eastAsia="en-GB"/>
        </w:rPr>
        <w:t xml:space="preserve">’s </w:t>
      </w:r>
      <w:r w:rsidR="00DD3A94" w:rsidRPr="00DD3A94">
        <w:rPr>
          <w:color w:val="000000"/>
          <w:sz w:val="20"/>
          <w:szCs w:val="20"/>
          <w:bdr w:val="none" w:sz="0" w:space="0" w:color="auto" w:frame="1"/>
          <w:lang w:val="en-GB" w:eastAsia="en-GB"/>
        </w:rPr>
        <w:t>performance</w:t>
      </w:r>
      <w:r w:rsidR="00B734BC" w:rsidRPr="00DD3A94">
        <w:rPr>
          <w:color w:val="000000"/>
          <w:sz w:val="20"/>
          <w:szCs w:val="20"/>
          <w:bdr w:val="none" w:sz="0" w:space="0" w:color="auto" w:frame="1"/>
          <w:lang w:val="en-GB" w:eastAsia="en-GB"/>
        </w:rPr>
        <w:t xml:space="preserve"> versus </w:t>
      </w:r>
      <w:r w:rsidR="00DD3A94" w:rsidRPr="00DD3A94">
        <w:rPr>
          <w:color w:val="000000"/>
          <w:sz w:val="20"/>
          <w:szCs w:val="20"/>
          <w:bdr w:val="none" w:sz="0" w:space="0" w:color="auto" w:frame="1"/>
          <w:lang w:val="en-GB" w:eastAsia="en-GB"/>
        </w:rPr>
        <w:t xml:space="preserve">the return </w:t>
      </w:r>
      <w:r w:rsidR="00B734BC" w:rsidRPr="00DD3A94">
        <w:rPr>
          <w:color w:val="000000"/>
          <w:sz w:val="20"/>
          <w:szCs w:val="20"/>
          <w:bdr w:val="none" w:sz="0" w:space="0" w:color="auto" w:frame="1"/>
          <w:lang w:val="en-GB" w:eastAsia="en-GB"/>
        </w:rPr>
        <w:t>target and the</w:t>
      </w:r>
      <w:r w:rsidRPr="00DD3A94">
        <w:rPr>
          <w:color w:val="000000"/>
          <w:sz w:val="20"/>
          <w:szCs w:val="20"/>
          <w:bdr w:val="none" w:sz="0" w:space="0" w:color="auto" w:frame="1"/>
          <w:lang w:val="en-GB" w:eastAsia="en-GB"/>
        </w:rPr>
        <w:t xml:space="preserve"> reference portfolio. </w:t>
      </w:r>
      <w:r w:rsidR="00331C4C" w:rsidRPr="00DD3A94">
        <w:rPr>
          <w:color w:val="000000"/>
          <w:sz w:val="20"/>
          <w:szCs w:val="20"/>
          <w:bdr w:val="none" w:sz="0" w:space="0" w:color="auto" w:frame="1"/>
          <w:lang w:val="en-GB" w:eastAsia="en-GB"/>
        </w:rPr>
        <w:t>However, this experience is not without merit</w:t>
      </w:r>
      <w:r w:rsidRPr="00DD3A94">
        <w:rPr>
          <w:color w:val="000000"/>
          <w:sz w:val="20"/>
          <w:szCs w:val="20"/>
          <w:bdr w:val="none" w:sz="0" w:space="0" w:color="auto" w:frame="1"/>
          <w:lang w:val="en-GB" w:eastAsia="en-GB"/>
        </w:rPr>
        <w:t>, as</w:t>
      </w:r>
      <w:r w:rsidR="00331C4C" w:rsidRPr="00DD3A94">
        <w:rPr>
          <w:color w:val="000000"/>
          <w:sz w:val="20"/>
          <w:szCs w:val="20"/>
          <w:bdr w:val="none" w:sz="0" w:space="0" w:color="auto" w:frame="1"/>
          <w:lang w:val="en-GB" w:eastAsia="en-GB"/>
        </w:rPr>
        <w:t xml:space="preserve"> </w:t>
      </w:r>
      <w:r w:rsidR="0065204A" w:rsidRPr="00DD3A94">
        <w:rPr>
          <w:color w:val="000000"/>
          <w:sz w:val="20"/>
          <w:szCs w:val="20"/>
          <w:bdr w:val="none" w:sz="0" w:space="0" w:color="auto" w:frame="1"/>
          <w:lang w:val="en-GB" w:eastAsia="en-GB"/>
        </w:rPr>
        <w:t xml:space="preserve">it has brought some </w:t>
      </w:r>
      <w:r w:rsidR="00331C4C" w:rsidRPr="00DD3A94">
        <w:rPr>
          <w:color w:val="000000"/>
          <w:sz w:val="20"/>
          <w:szCs w:val="20"/>
          <w:bdr w:val="none" w:sz="0" w:space="0" w:color="auto" w:frame="1"/>
          <w:lang w:val="en-GB" w:eastAsia="en-GB"/>
        </w:rPr>
        <w:t xml:space="preserve">invaluable lessons. The first lesson </w:t>
      </w:r>
      <w:r w:rsidR="00ED4E5D" w:rsidRPr="00DD3A94">
        <w:rPr>
          <w:color w:val="000000"/>
          <w:sz w:val="20"/>
          <w:szCs w:val="20"/>
          <w:bdr w:val="none" w:sz="0" w:space="0" w:color="auto" w:frame="1"/>
          <w:lang w:val="en-GB" w:eastAsia="en-GB"/>
        </w:rPr>
        <w:t xml:space="preserve">is </w:t>
      </w:r>
      <w:r w:rsidR="00331C4C" w:rsidRPr="00DD3A94">
        <w:rPr>
          <w:color w:val="000000"/>
          <w:sz w:val="20"/>
          <w:szCs w:val="20"/>
          <w:bdr w:val="none" w:sz="0" w:space="0" w:color="auto" w:frame="1"/>
          <w:lang w:val="en-GB" w:eastAsia="en-GB"/>
        </w:rPr>
        <w:t xml:space="preserve">that the Fund should expand the scope of research beyond company produced information. </w:t>
      </w:r>
      <w:r w:rsidRPr="00DD3A94">
        <w:rPr>
          <w:color w:val="000000"/>
          <w:sz w:val="20"/>
          <w:szCs w:val="20"/>
          <w:bdr w:val="none" w:sz="0" w:space="0" w:color="auto" w:frame="1"/>
          <w:lang w:val="en-GB" w:eastAsia="en-GB"/>
        </w:rPr>
        <w:t xml:space="preserve">We now understand </w:t>
      </w:r>
      <w:r w:rsidR="00DD3A94" w:rsidRPr="00DD3A94">
        <w:rPr>
          <w:color w:val="000000"/>
          <w:sz w:val="20"/>
          <w:szCs w:val="20"/>
          <w:bdr w:val="none" w:sz="0" w:space="0" w:color="auto" w:frame="1"/>
          <w:lang w:val="en-GB" w:eastAsia="en-GB"/>
        </w:rPr>
        <w:t>that</w:t>
      </w:r>
      <w:r w:rsidRPr="00DD3A94">
        <w:rPr>
          <w:color w:val="000000"/>
          <w:sz w:val="20"/>
          <w:szCs w:val="20"/>
          <w:bdr w:val="none" w:sz="0" w:space="0" w:color="auto" w:frame="1"/>
          <w:lang w:val="en-GB" w:eastAsia="en-GB"/>
        </w:rPr>
        <w:t xml:space="preserve"> </w:t>
      </w:r>
      <w:r w:rsidR="00331C4C" w:rsidRPr="00DD3A94">
        <w:rPr>
          <w:color w:val="000000"/>
          <w:sz w:val="20"/>
          <w:szCs w:val="20"/>
          <w:bdr w:val="none" w:sz="0" w:space="0" w:color="auto" w:frame="1"/>
          <w:lang w:val="en-GB" w:eastAsia="en-GB"/>
        </w:rPr>
        <w:t xml:space="preserve">relying solely on company material </w:t>
      </w:r>
      <w:r w:rsidRPr="00DD3A94">
        <w:rPr>
          <w:color w:val="000000"/>
          <w:sz w:val="20"/>
          <w:szCs w:val="20"/>
          <w:bdr w:val="none" w:sz="0" w:space="0" w:color="auto" w:frame="1"/>
          <w:lang w:val="en-GB" w:eastAsia="en-GB"/>
        </w:rPr>
        <w:t xml:space="preserve">can </w:t>
      </w:r>
      <w:r w:rsidR="00331C4C" w:rsidRPr="00DD3A94">
        <w:rPr>
          <w:color w:val="000000"/>
          <w:sz w:val="20"/>
          <w:szCs w:val="20"/>
          <w:bdr w:val="none" w:sz="0" w:space="0" w:color="auto" w:frame="1"/>
          <w:lang w:val="en-GB" w:eastAsia="en-GB"/>
        </w:rPr>
        <w:t xml:space="preserve">provide a biased view of the </w:t>
      </w:r>
      <w:r w:rsidR="00817FF5" w:rsidRPr="00DD3A94">
        <w:rPr>
          <w:color w:val="000000"/>
          <w:sz w:val="20"/>
          <w:szCs w:val="20"/>
          <w:bdr w:val="none" w:sz="0" w:space="0" w:color="auto" w:frame="1"/>
          <w:lang w:val="en-GB" w:eastAsia="en-GB"/>
        </w:rPr>
        <w:t>company and</w:t>
      </w:r>
      <w:r w:rsidR="00331C4C" w:rsidRPr="00DD3A94">
        <w:rPr>
          <w:color w:val="000000"/>
          <w:sz w:val="20"/>
          <w:szCs w:val="20"/>
          <w:bdr w:val="none" w:sz="0" w:space="0" w:color="auto" w:frame="1"/>
          <w:lang w:val="en-GB" w:eastAsia="en-GB"/>
        </w:rPr>
        <w:t xml:space="preserve"> </w:t>
      </w:r>
      <w:r w:rsidRPr="00DD3A94">
        <w:rPr>
          <w:color w:val="000000"/>
          <w:sz w:val="20"/>
          <w:szCs w:val="20"/>
          <w:bdr w:val="none" w:sz="0" w:space="0" w:color="auto" w:frame="1"/>
          <w:lang w:val="en-GB" w:eastAsia="en-GB"/>
        </w:rPr>
        <w:t xml:space="preserve">may </w:t>
      </w:r>
      <w:r w:rsidR="00331C4C" w:rsidRPr="00DD3A94">
        <w:rPr>
          <w:color w:val="000000"/>
          <w:sz w:val="20"/>
          <w:szCs w:val="20"/>
          <w:bdr w:val="none" w:sz="0" w:space="0" w:color="auto" w:frame="1"/>
          <w:lang w:val="en-GB" w:eastAsia="en-GB"/>
        </w:rPr>
        <w:t xml:space="preserve">fail to provide a </w:t>
      </w:r>
      <w:r w:rsidRPr="00DD3A94">
        <w:rPr>
          <w:color w:val="000000"/>
          <w:sz w:val="20"/>
          <w:szCs w:val="20"/>
          <w:bdr w:val="none" w:sz="0" w:space="0" w:color="auto" w:frame="1"/>
          <w:lang w:val="en-GB" w:eastAsia="en-GB"/>
        </w:rPr>
        <w:t>reliable perspective</w:t>
      </w:r>
      <w:r w:rsidR="00331C4C" w:rsidRPr="00DD3A94">
        <w:rPr>
          <w:color w:val="000000"/>
          <w:sz w:val="20"/>
          <w:szCs w:val="20"/>
          <w:bdr w:val="none" w:sz="0" w:space="0" w:color="auto" w:frame="1"/>
          <w:lang w:val="en-GB" w:eastAsia="en-GB"/>
        </w:rPr>
        <w:t xml:space="preserve"> o</w:t>
      </w:r>
      <w:r w:rsidRPr="00DD3A94">
        <w:rPr>
          <w:color w:val="000000"/>
          <w:sz w:val="20"/>
          <w:szCs w:val="20"/>
          <w:bdr w:val="none" w:sz="0" w:space="0" w:color="auto" w:frame="1"/>
          <w:lang w:val="en-GB" w:eastAsia="en-GB"/>
        </w:rPr>
        <w:t>n</w:t>
      </w:r>
      <w:r w:rsidR="00331C4C" w:rsidRPr="00DD3A94">
        <w:rPr>
          <w:color w:val="000000"/>
          <w:sz w:val="20"/>
          <w:szCs w:val="20"/>
          <w:bdr w:val="none" w:sz="0" w:space="0" w:color="auto" w:frame="1"/>
          <w:lang w:val="en-GB" w:eastAsia="en-GB"/>
        </w:rPr>
        <w:t xml:space="preserve"> the industry.</w:t>
      </w:r>
      <w:r w:rsidR="0048706E" w:rsidRPr="00DD3A94">
        <w:rPr>
          <w:color w:val="000000"/>
          <w:sz w:val="20"/>
          <w:szCs w:val="20"/>
          <w:bdr w:val="none" w:sz="0" w:space="0" w:color="auto" w:frame="1"/>
          <w:lang w:val="en-GB" w:eastAsia="en-GB"/>
        </w:rPr>
        <w:t xml:space="preserve"> </w:t>
      </w:r>
      <w:r w:rsidR="00906A96" w:rsidRPr="00DD3A94">
        <w:rPr>
          <w:color w:val="000000"/>
          <w:sz w:val="20"/>
          <w:szCs w:val="20"/>
          <w:bdr w:val="none" w:sz="0" w:space="0" w:color="auto" w:frame="1"/>
          <w:lang w:val="en-GB" w:eastAsia="en-GB"/>
        </w:rPr>
        <w:t xml:space="preserve">In response, </w:t>
      </w:r>
      <w:r w:rsidR="00DD3A94" w:rsidRPr="00DD3A94">
        <w:rPr>
          <w:color w:val="000000"/>
          <w:sz w:val="20"/>
          <w:szCs w:val="20"/>
          <w:bdr w:val="none" w:sz="0" w:space="0" w:color="auto" w:frame="1"/>
          <w:lang w:val="en-GB" w:eastAsia="en-GB"/>
        </w:rPr>
        <w:t xml:space="preserve">the </w:t>
      </w:r>
      <w:r w:rsidR="00256601" w:rsidRPr="00DD3A94">
        <w:rPr>
          <w:color w:val="000000"/>
          <w:sz w:val="20"/>
          <w:szCs w:val="20"/>
          <w:bdr w:val="none" w:sz="0" w:space="0" w:color="auto" w:frame="1"/>
          <w:lang w:val="en-GB" w:eastAsia="en-GB"/>
        </w:rPr>
        <w:t>AAE</w:t>
      </w:r>
      <w:r w:rsidR="00906A96" w:rsidRPr="00DD3A94">
        <w:rPr>
          <w:color w:val="000000"/>
          <w:sz w:val="20"/>
          <w:szCs w:val="20"/>
          <w:bdr w:val="none" w:sz="0" w:space="0" w:color="auto" w:frame="1"/>
          <w:lang w:val="en-GB" w:eastAsia="en-GB"/>
        </w:rPr>
        <w:t xml:space="preserve"> </w:t>
      </w:r>
      <w:r w:rsidR="00DD3A94" w:rsidRPr="00DD3A94">
        <w:rPr>
          <w:color w:val="000000"/>
          <w:sz w:val="20"/>
          <w:szCs w:val="20"/>
          <w:bdr w:val="none" w:sz="0" w:space="0" w:color="auto" w:frame="1"/>
          <w:lang w:val="en-GB" w:eastAsia="en-GB"/>
        </w:rPr>
        <w:t xml:space="preserve">team </w:t>
      </w:r>
      <w:r w:rsidR="00906A96" w:rsidRPr="00DD3A94">
        <w:rPr>
          <w:color w:val="000000"/>
          <w:sz w:val="20"/>
          <w:szCs w:val="20"/>
          <w:bdr w:val="none" w:sz="0" w:space="0" w:color="auto" w:frame="1"/>
          <w:lang w:val="en-GB" w:eastAsia="en-GB"/>
        </w:rPr>
        <w:t xml:space="preserve">is expanding the range of material used </w:t>
      </w:r>
      <w:r w:rsidR="001A5A2A" w:rsidRPr="00DD3A94">
        <w:rPr>
          <w:color w:val="000000"/>
          <w:sz w:val="20"/>
          <w:szCs w:val="20"/>
          <w:bdr w:val="none" w:sz="0" w:space="0" w:color="auto" w:frame="1"/>
          <w:lang w:val="en-GB" w:eastAsia="en-GB"/>
        </w:rPr>
        <w:t>during analysis</w:t>
      </w:r>
      <w:r w:rsidR="00DD3A94" w:rsidRPr="00DD3A94">
        <w:rPr>
          <w:color w:val="000000"/>
          <w:sz w:val="20"/>
          <w:szCs w:val="20"/>
          <w:bdr w:val="none" w:sz="0" w:space="0" w:color="auto" w:frame="1"/>
          <w:lang w:val="en-GB" w:eastAsia="en-GB"/>
        </w:rPr>
        <w:t>,</w:t>
      </w:r>
      <w:r w:rsidR="001A5A2A" w:rsidRPr="00DD3A94">
        <w:rPr>
          <w:color w:val="000000"/>
          <w:sz w:val="20"/>
          <w:szCs w:val="20"/>
          <w:bdr w:val="none" w:sz="0" w:space="0" w:color="auto" w:frame="1"/>
          <w:lang w:val="en-GB" w:eastAsia="en-GB"/>
        </w:rPr>
        <w:t xml:space="preserve"> </w:t>
      </w:r>
      <w:r w:rsidR="00256601" w:rsidRPr="00DD3A94">
        <w:rPr>
          <w:color w:val="000000"/>
          <w:sz w:val="20"/>
          <w:szCs w:val="20"/>
          <w:bdr w:val="none" w:sz="0" w:space="0" w:color="auto" w:frame="1"/>
          <w:lang w:val="en-GB" w:eastAsia="en-GB"/>
        </w:rPr>
        <w:t xml:space="preserve">and increasing collaboration with R&amp;C </w:t>
      </w:r>
      <w:r w:rsidR="00AF2318" w:rsidRPr="00DD3A94">
        <w:rPr>
          <w:color w:val="000000"/>
          <w:sz w:val="20"/>
          <w:szCs w:val="20"/>
          <w:bdr w:val="none" w:sz="0" w:space="0" w:color="auto" w:frame="1"/>
          <w:lang w:val="en-GB" w:eastAsia="en-GB"/>
        </w:rPr>
        <w:t xml:space="preserve">to </w:t>
      </w:r>
      <w:r w:rsidR="001A5A2A" w:rsidRPr="00DD3A94">
        <w:rPr>
          <w:color w:val="000000"/>
          <w:sz w:val="20"/>
          <w:szCs w:val="20"/>
          <w:bdr w:val="none" w:sz="0" w:space="0" w:color="auto" w:frame="1"/>
          <w:lang w:val="en-GB" w:eastAsia="en-GB"/>
        </w:rPr>
        <w:t>bett</w:t>
      </w:r>
      <w:r w:rsidR="00F43BCA" w:rsidRPr="00DD3A94">
        <w:rPr>
          <w:color w:val="000000"/>
          <w:sz w:val="20"/>
          <w:szCs w:val="20"/>
          <w:bdr w:val="none" w:sz="0" w:space="0" w:color="auto" w:frame="1"/>
          <w:lang w:val="en-GB" w:eastAsia="en-GB"/>
        </w:rPr>
        <w:t>er identify risks and suitability of investments given the objectives of the Fund</w:t>
      </w:r>
      <w:r w:rsidR="00331C4C" w:rsidRPr="00DD3A94">
        <w:rPr>
          <w:color w:val="000000"/>
          <w:sz w:val="20"/>
          <w:szCs w:val="20"/>
          <w:bdr w:val="none" w:sz="0" w:space="0" w:color="auto" w:frame="1"/>
          <w:lang w:val="en-GB" w:eastAsia="en-GB"/>
        </w:rPr>
        <w:t xml:space="preserve">. The second lesson </w:t>
      </w:r>
      <w:r w:rsidR="00ED4E5D" w:rsidRPr="00DD3A94">
        <w:rPr>
          <w:color w:val="000000"/>
          <w:sz w:val="20"/>
          <w:szCs w:val="20"/>
          <w:bdr w:val="none" w:sz="0" w:space="0" w:color="auto" w:frame="1"/>
          <w:lang w:val="en-GB" w:eastAsia="en-GB"/>
        </w:rPr>
        <w:t xml:space="preserve">is </w:t>
      </w:r>
      <w:r w:rsidR="00331C4C" w:rsidRPr="00DD3A94">
        <w:rPr>
          <w:color w:val="000000"/>
          <w:sz w:val="20"/>
          <w:szCs w:val="20"/>
          <w:bdr w:val="none" w:sz="0" w:space="0" w:color="auto" w:frame="1"/>
          <w:lang w:val="en-GB" w:eastAsia="en-GB"/>
        </w:rPr>
        <w:t xml:space="preserve">that </w:t>
      </w:r>
      <w:r w:rsidR="002A73FC" w:rsidRPr="00DD3A94">
        <w:rPr>
          <w:color w:val="000000"/>
          <w:sz w:val="20"/>
          <w:szCs w:val="20"/>
          <w:bdr w:val="none" w:sz="0" w:space="0" w:color="auto" w:frame="1"/>
          <w:lang w:val="en-GB" w:eastAsia="en-GB"/>
        </w:rPr>
        <w:t xml:space="preserve">investment recommendations should be driven </w:t>
      </w:r>
      <w:r w:rsidR="009A542E" w:rsidRPr="00DD3A94">
        <w:rPr>
          <w:color w:val="000000"/>
          <w:sz w:val="20"/>
          <w:szCs w:val="20"/>
          <w:bdr w:val="none" w:sz="0" w:space="0" w:color="auto" w:frame="1"/>
          <w:lang w:val="en-GB" w:eastAsia="en-GB"/>
        </w:rPr>
        <w:t xml:space="preserve">predominantly </w:t>
      </w:r>
      <w:r w:rsidR="002A73FC" w:rsidRPr="00DD3A94">
        <w:rPr>
          <w:color w:val="000000"/>
          <w:sz w:val="20"/>
          <w:szCs w:val="20"/>
          <w:bdr w:val="none" w:sz="0" w:space="0" w:color="auto" w:frame="1"/>
          <w:lang w:val="en-GB" w:eastAsia="en-GB"/>
        </w:rPr>
        <w:t>b</w:t>
      </w:r>
      <w:r w:rsidR="00AF7F55" w:rsidRPr="00DD3A94">
        <w:rPr>
          <w:color w:val="000000"/>
          <w:sz w:val="20"/>
          <w:szCs w:val="20"/>
          <w:bdr w:val="none" w:sz="0" w:space="0" w:color="auto" w:frame="1"/>
          <w:lang w:val="en-GB" w:eastAsia="en-GB"/>
        </w:rPr>
        <w:t xml:space="preserve">y </w:t>
      </w:r>
      <w:r w:rsidR="00F43D6E" w:rsidRPr="00DD3A94">
        <w:rPr>
          <w:color w:val="000000"/>
          <w:sz w:val="20"/>
          <w:szCs w:val="20"/>
          <w:bdr w:val="none" w:sz="0" w:space="0" w:color="auto" w:frame="1"/>
          <w:lang w:eastAsia="en-GB"/>
        </w:rPr>
        <w:t>conservative assumptions based on sound evidence, rather than opportunistic assumptions of future growth</w:t>
      </w:r>
      <w:r w:rsidR="00F43D6E" w:rsidRPr="00DD3A94">
        <w:rPr>
          <w:color w:val="000000"/>
          <w:sz w:val="20"/>
          <w:szCs w:val="20"/>
          <w:bdr w:val="none" w:sz="0" w:space="0" w:color="auto" w:frame="1"/>
          <w:lang w:val="en-GB" w:eastAsia="en-GB"/>
        </w:rPr>
        <w:t xml:space="preserve">. </w:t>
      </w:r>
      <w:r w:rsidR="00DD3A94">
        <w:rPr>
          <w:color w:val="000000"/>
          <w:sz w:val="20"/>
          <w:szCs w:val="20"/>
          <w:bdr w:val="none" w:sz="0" w:space="0" w:color="auto" w:frame="1"/>
          <w:lang w:val="en-GB" w:eastAsia="en-GB"/>
        </w:rPr>
        <w:t>Our</w:t>
      </w:r>
      <w:r w:rsidR="009A542E" w:rsidRPr="00DD3A94">
        <w:rPr>
          <w:color w:val="000000"/>
          <w:sz w:val="20"/>
          <w:szCs w:val="20"/>
          <w:bdr w:val="none" w:sz="0" w:space="0" w:color="auto" w:frame="1"/>
          <w:lang w:val="en-GB" w:eastAsia="en-GB"/>
        </w:rPr>
        <w:t xml:space="preserve"> Bingo</w:t>
      </w:r>
      <w:r w:rsidR="00DD3A94">
        <w:rPr>
          <w:color w:val="000000"/>
          <w:sz w:val="20"/>
          <w:szCs w:val="20"/>
          <w:bdr w:val="none" w:sz="0" w:space="0" w:color="auto" w:frame="1"/>
          <w:lang w:val="en-GB" w:eastAsia="en-GB"/>
        </w:rPr>
        <w:t xml:space="preserve"> model</w:t>
      </w:r>
      <w:r w:rsidR="009A542E" w:rsidRPr="00DD3A94">
        <w:rPr>
          <w:color w:val="000000"/>
          <w:sz w:val="20"/>
          <w:szCs w:val="20"/>
          <w:bdr w:val="none" w:sz="0" w:space="0" w:color="auto" w:frame="1"/>
          <w:lang w:val="en-GB" w:eastAsia="en-GB"/>
        </w:rPr>
        <w:t xml:space="preserve"> placed </w:t>
      </w:r>
      <w:r w:rsidR="00770000" w:rsidRPr="00DD3A94">
        <w:rPr>
          <w:color w:val="000000"/>
          <w:sz w:val="20"/>
          <w:szCs w:val="20"/>
          <w:bdr w:val="none" w:sz="0" w:space="0" w:color="auto" w:frame="1"/>
          <w:lang w:val="en-GB" w:eastAsia="en-GB"/>
        </w:rPr>
        <w:t>a</w:t>
      </w:r>
      <w:r w:rsidR="009A542E" w:rsidRPr="00DD3A94">
        <w:rPr>
          <w:color w:val="000000"/>
          <w:sz w:val="20"/>
          <w:szCs w:val="20"/>
          <w:bdr w:val="none" w:sz="0" w:space="0" w:color="auto" w:frame="1"/>
          <w:lang w:val="en-GB" w:eastAsia="en-GB"/>
        </w:rPr>
        <w:t xml:space="preserve"> </w:t>
      </w:r>
      <w:r w:rsidR="009847DB" w:rsidRPr="00DD3A94">
        <w:rPr>
          <w:color w:val="000000"/>
          <w:sz w:val="20"/>
          <w:szCs w:val="20"/>
          <w:bdr w:val="none" w:sz="0" w:space="0" w:color="auto" w:frame="1"/>
          <w:lang w:val="en-GB" w:eastAsia="en-GB"/>
        </w:rPr>
        <w:t>significant weight upon future</w:t>
      </w:r>
      <w:r w:rsidR="00206EF0" w:rsidRPr="00DD3A94">
        <w:rPr>
          <w:color w:val="000000"/>
          <w:sz w:val="20"/>
          <w:szCs w:val="20"/>
          <w:bdr w:val="none" w:sz="0" w:space="0" w:color="auto" w:frame="1"/>
          <w:lang w:val="en-GB" w:eastAsia="en-GB"/>
        </w:rPr>
        <w:t xml:space="preserve"> acquisitions</w:t>
      </w:r>
      <w:r w:rsidR="00DD3A94">
        <w:rPr>
          <w:color w:val="000000"/>
          <w:sz w:val="20"/>
          <w:szCs w:val="20"/>
          <w:bdr w:val="none" w:sz="0" w:space="0" w:color="auto" w:frame="1"/>
          <w:lang w:val="en-GB" w:eastAsia="en-GB"/>
        </w:rPr>
        <w:t>,</w:t>
      </w:r>
      <w:r w:rsidR="008330B2" w:rsidRPr="00DD3A94">
        <w:rPr>
          <w:color w:val="000000"/>
          <w:sz w:val="20"/>
          <w:szCs w:val="20"/>
          <w:bdr w:val="none" w:sz="0" w:space="0" w:color="auto" w:frame="1"/>
          <w:lang w:val="en-GB" w:eastAsia="en-GB"/>
        </w:rPr>
        <w:t xml:space="preserve"> which </w:t>
      </w:r>
      <w:r w:rsidR="00890E9D" w:rsidRPr="00DD3A94">
        <w:rPr>
          <w:color w:val="000000"/>
          <w:sz w:val="20"/>
          <w:szCs w:val="20"/>
          <w:bdr w:val="none" w:sz="0" w:space="0" w:color="auto" w:frame="1"/>
          <w:lang w:val="en-GB" w:eastAsia="en-GB"/>
        </w:rPr>
        <w:t>resulted in a high valuation and implied margin of safety</w:t>
      </w:r>
      <w:r w:rsidR="00331C4C" w:rsidRPr="00DD3A94">
        <w:rPr>
          <w:color w:val="000000"/>
          <w:sz w:val="20"/>
          <w:szCs w:val="20"/>
          <w:bdr w:val="none" w:sz="0" w:space="0" w:color="auto" w:frame="1"/>
          <w:lang w:val="en-GB" w:eastAsia="en-GB"/>
        </w:rPr>
        <w:t>. The final lesson is that analysts should consider possib</w:t>
      </w:r>
      <w:r w:rsidR="00331C4C" w:rsidRPr="002C3CF3">
        <w:rPr>
          <w:color w:val="000000"/>
          <w:sz w:val="20"/>
          <w:szCs w:val="20"/>
          <w:bdr w:val="none" w:sz="0" w:space="0" w:color="auto" w:frame="1"/>
          <w:lang w:val="en-GB" w:eastAsia="en-GB"/>
        </w:rPr>
        <w:t>le scenarios</w:t>
      </w:r>
      <w:r w:rsidR="00DD3A94">
        <w:rPr>
          <w:color w:val="000000"/>
          <w:sz w:val="20"/>
          <w:szCs w:val="20"/>
          <w:bdr w:val="none" w:sz="0" w:space="0" w:color="auto" w:frame="1"/>
          <w:lang w:val="en-GB" w:eastAsia="en-GB"/>
        </w:rPr>
        <w:t xml:space="preserve"> more deeply</w:t>
      </w:r>
      <w:r w:rsidR="00331C4C" w:rsidRPr="002C3CF3">
        <w:rPr>
          <w:color w:val="000000"/>
          <w:sz w:val="20"/>
          <w:szCs w:val="20"/>
          <w:bdr w:val="none" w:sz="0" w:space="0" w:color="auto" w:frame="1"/>
          <w:lang w:val="en-GB" w:eastAsia="en-GB"/>
        </w:rPr>
        <w:t>, both positive and negative</w:t>
      </w:r>
      <w:r w:rsidR="005961AA">
        <w:rPr>
          <w:color w:val="000000"/>
          <w:sz w:val="20"/>
          <w:szCs w:val="20"/>
          <w:bdr w:val="none" w:sz="0" w:space="0" w:color="auto" w:frame="1"/>
          <w:lang w:val="en-GB" w:eastAsia="en-GB"/>
        </w:rPr>
        <w:t>,</w:t>
      </w:r>
      <w:r w:rsidR="00331C4C" w:rsidRPr="002C3CF3">
        <w:rPr>
          <w:color w:val="000000"/>
          <w:sz w:val="20"/>
          <w:szCs w:val="20"/>
          <w:bdr w:val="none" w:sz="0" w:space="0" w:color="auto" w:frame="1"/>
          <w:lang w:val="en-GB" w:eastAsia="en-GB"/>
        </w:rPr>
        <w:t xml:space="preserve"> and incorporate this into the SCENSCENARIO analysis procedure</w:t>
      </w:r>
      <w:r w:rsidR="00301A7E">
        <w:rPr>
          <w:color w:val="000000"/>
          <w:sz w:val="20"/>
          <w:szCs w:val="20"/>
          <w:bdr w:val="none" w:sz="0" w:space="0" w:color="auto" w:frame="1"/>
          <w:lang w:val="en-GB" w:eastAsia="en-GB"/>
        </w:rPr>
        <w:t xml:space="preserve"> under which a valuation range is generated</w:t>
      </w:r>
      <w:r w:rsidR="00331C4C" w:rsidRPr="002C3CF3">
        <w:rPr>
          <w:color w:val="000000"/>
          <w:sz w:val="20"/>
          <w:szCs w:val="20"/>
          <w:bdr w:val="none" w:sz="0" w:space="0" w:color="auto" w:frame="1"/>
          <w:lang w:val="en-GB" w:eastAsia="en-GB"/>
        </w:rPr>
        <w:t xml:space="preserve">. </w:t>
      </w:r>
      <w:r w:rsidR="00B4769A">
        <w:rPr>
          <w:color w:val="000000"/>
          <w:sz w:val="20"/>
          <w:szCs w:val="20"/>
          <w:bdr w:val="none" w:sz="0" w:space="0" w:color="auto" w:frame="1"/>
          <w:lang w:val="en-GB" w:eastAsia="en-GB"/>
        </w:rPr>
        <w:t>O</w:t>
      </w:r>
      <w:r w:rsidR="005961AA">
        <w:rPr>
          <w:color w:val="000000"/>
          <w:sz w:val="20"/>
          <w:szCs w:val="20"/>
          <w:bdr w:val="none" w:sz="0" w:space="0" w:color="auto" w:frame="1"/>
          <w:lang w:val="en-GB" w:eastAsia="en-GB"/>
        </w:rPr>
        <w:t>ur subsequent investment recommendations will benefit from the lessons learnt</w:t>
      </w:r>
      <w:r w:rsidR="00B4769A">
        <w:rPr>
          <w:color w:val="000000"/>
          <w:sz w:val="20"/>
          <w:szCs w:val="20"/>
          <w:bdr w:val="none" w:sz="0" w:space="0" w:color="auto" w:frame="1"/>
          <w:lang w:val="en-GB" w:eastAsia="en-GB"/>
        </w:rPr>
        <w:t xml:space="preserve"> from the Bingo experience. A</w:t>
      </w:r>
      <w:r w:rsidR="005961AA">
        <w:rPr>
          <w:color w:val="000000"/>
          <w:sz w:val="20"/>
          <w:szCs w:val="20"/>
          <w:bdr w:val="none" w:sz="0" w:space="0" w:color="auto" w:frame="1"/>
          <w:lang w:val="en-GB" w:eastAsia="en-GB"/>
        </w:rPr>
        <w:t>s students</w:t>
      </w:r>
      <w:r w:rsidR="00B4769A">
        <w:rPr>
          <w:color w:val="000000"/>
          <w:sz w:val="20"/>
          <w:szCs w:val="20"/>
          <w:bdr w:val="none" w:sz="0" w:space="0" w:color="auto" w:frame="1"/>
          <w:lang w:val="en-GB" w:eastAsia="en-GB"/>
        </w:rPr>
        <w:t>, we</w:t>
      </w:r>
      <w:r w:rsidR="005961AA">
        <w:rPr>
          <w:color w:val="000000"/>
          <w:sz w:val="20"/>
          <w:szCs w:val="20"/>
          <w:bdr w:val="none" w:sz="0" w:space="0" w:color="auto" w:frame="1"/>
          <w:lang w:val="en-GB" w:eastAsia="en-GB"/>
        </w:rPr>
        <w:t xml:space="preserve"> have </w:t>
      </w:r>
      <w:r w:rsidR="00B4769A">
        <w:rPr>
          <w:color w:val="000000"/>
          <w:sz w:val="20"/>
          <w:szCs w:val="20"/>
          <w:bdr w:val="none" w:sz="0" w:space="0" w:color="auto" w:frame="1"/>
          <w:lang w:val="en-GB" w:eastAsia="en-GB"/>
        </w:rPr>
        <w:t xml:space="preserve">certainly </w:t>
      </w:r>
      <w:r w:rsidR="005961AA">
        <w:rPr>
          <w:color w:val="000000"/>
          <w:sz w:val="20"/>
          <w:szCs w:val="20"/>
          <w:bdr w:val="none" w:sz="0" w:space="0" w:color="auto" w:frame="1"/>
          <w:lang w:val="en-GB" w:eastAsia="en-GB"/>
        </w:rPr>
        <w:t>bee</w:t>
      </w:r>
      <w:r w:rsidR="00E634AF">
        <w:rPr>
          <w:color w:val="000000"/>
          <w:sz w:val="20"/>
          <w:szCs w:val="20"/>
          <w:bdr w:val="none" w:sz="0" w:space="0" w:color="auto" w:frame="1"/>
          <w:lang w:val="en-GB" w:eastAsia="en-GB"/>
        </w:rPr>
        <w:t>n exposed to a significant opportunity</w:t>
      </w:r>
      <w:r w:rsidR="00ED4E5D">
        <w:rPr>
          <w:color w:val="000000"/>
          <w:sz w:val="20"/>
          <w:szCs w:val="20"/>
          <w:bdr w:val="none" w:sz="0" w:space="0" w:color="auto" w:frame="1"/>
          <w:lang w:val="en-GB" w:eastAsia="en-GB"/>
        </w:rPr>
        <w:t xml:space="preserve"> to deepen our understanding of investing</w:t>
      </w:r>
      <w:r w:rsidR="00E634AF">
        <w:rPr>
          <w:color w:val="000000"/>
          <w:sz w:val="20"/>
          <w:szCs w:val="20"/>
          <w:bdr w:val="none" w:sz="0" w:space="0" w:color="auto" w:frame="1"/>
          <w:lang w:val="en-GB" w:eastAsia="en-GB"/>
        </w:rPr>
        <w:t xml:space="preserve">. </w:t>
      </w:r>
    </w:p>
    <w:p w14:paraId="382C8BD1" w14:textId="450162DC" w:rsidR="00755556" w:rsidRPr="002C3CF3" w:rsidRDefault="001D4CE6" w:rsidP="00DD3A94">
      <w:pPr>
        <w:spacing w:before="360"/>
        <w:rPr>
          <w:lang w:eastAsia="zh-CN"/>
        </w:rPr>
      </w:pPr>
      <w:r>
        <w:rPr>
          <w:i/>
          <w:sz w:val="20"/>
          <w:szCs w:val="20"/>
          <w:lang w:val="en-US"/>
        </w:rPr>
        <w:t>Aiyun (</w:t>
      </w:r>
      <w:r w:rsidR="00755556" w:rsidRPr="002C3CF3">
        <w:rPr>
          <w:i/>
          <w:sz w:val="20"/>
          <w:szCs w:val="20"/>
          <w:lang w:val="en-US"/>
        </w:rPr>
        <w:t>Stephanie</w:t>
      </w:r>
      <w:r>
        <w:rPr>
          <w:i/>
          <w:sz w:val="20"/>
          <w:szCs w:val="20"/>
          <w:lang w:val="en-US"/>
        </w:rPr>
        <w:t>)</w:t>
      </w:r>
      <w:r w:rsidR="00755556" w:rsidRPr="002C3CF3">
        <w:rPr>
          <w:i/>
          <w:sz w:val="20"/>
          <w:szCs w:val="20"/>
          <w:lang w:val="en-US"/>
        </w:rPr>
        <w:t xml:space="preserve"> Lin, Senior Analyst </w:t>
      </w:r>
    </w:p>
    <w:p w14:paraId="5379A251" w14:textId="026EFA30" w:rsidR="009B28F6" w:rsidRPr="002C3CF3" w:rsidRDefault="009B28F6" w:rsidP="00A250F3">
      <w:pPr>
        <w:rPr>
          <w:lang w:eastAsia="zh-CN"/>
        </w:rPr>
      </w:pPr>
    </w:p>
    <w:p w14:paraId="7C54D2D7" w14:textId="241EADB8" w:rsidR="009B28F6" w:rsidRDefault="009B28F6" w:rsidP="00A250F3">
      <w:pPr>
        <w:rPr>
          <w:lang w:eastAsia="zh-CN"/>
        </w:rPr>
      </w:pPr>
    </w:p>
    <w:p w14:paraId="55F399F5" w14:textId="21354B6E" w:rsidR="00A250F3" w:rsidRDefault="00A250F3" w:rsidP="00A250F3">
      <w:pPr>
        <w:rPr>
          <w:lang w:eastAsia="zh-CN"/>
        </w:rPr>
      </w:pPr>
    </w:p>
    <w:p w14:paraId="534F2B09" w14:textId="18499522" w:rsidR="00A250F3" w:rsidRDefault="00A250F3" w:rsidP="00A250F3">
      <w:pPr>
        <w:rPr>
          <w:lang w:eastAsia="zh-CN"/>
        </w:rPr>
      </w:pPr>
    </w:p>
    <w:p w14:paraId="7B90CF64" w14:textId="7DB80B2B" w:rsidR="00A250F3" w:rsidRDefault="00A250F3" w:rsidP="00A250F3">
      <w:pPr>
        <w:rPr>
          <w:lang w:eastAsia="zh-CN"/>
        </w:rPr>
      </w:pPr>
    </w:p>
    <w:p w14:paraId="55A920D5" w14:textId="1FC497B9" w:rsidR="005A612A" w:rsidRPr="00DD3A94" w:rsidRDefault="005A612A" w:rsidP="00A250F3">
      <w:pPr>
        <w:pStyle w:val="Heading1"/>
        <w:spacing w:before="0" w:after="240" w:line="240" w:lineRule="auto"/>
        <w:rPr>
          <w:color w:val="4472C4"/>
          <w:sz w:val="28"/>
          <w:szCs w:val="28"/>
          <w:bdr w:val="none" w:sz="0" w:space="0" w:color="auto" w:frame="1"/>
        </w:rPr>
      </w:pPr>
      <w:bookmarkStart w:id="27" w:name="_Toc5995720"/>
      <w:bookmarkEnd w:id="2"/>
      <w:r w:rsidRPr="00DD3A94">
        <w:rPr>
          <w:color w:val="4472C4"/>
          <w:sz w:val="28"/>
          <w:szCs w:val="28"/>
          <w:bdr w:val="none" w:sz="0" w:space="0" w:color="auto" w:frame="1"/>
        </w:rPr>
        <w:lastRenderedPageBreak/>
        <w:t>Portfolio Overview</w:t>
      </w:r>
      <w:bookmarkEnd w:id="27"/>
    </w:p>
    <w:p w14:paraId="72D1847C" w14:textId="6873DAA9" w:rsidR="000A50C6" w:rsidRDefault="005A612A" w:rsidP="000A50C6">
      <w:pPr>
        <w:pStyle w:val="NormalWeb"/>
        <w:spacing w:before="180" w:beforeAutospacing="0" w:after="0" w:afterAutospacing="0"/>
        <w:jc w:val="both"/>
        <w:rPr>
          <w:color w:val="000000"/>
          <w:sz w:val="20"/>
        </w:rPr>
      </w:pPr>
      <w:r w:rsidRPr="002C3CF3">
        <w:rPr>
          <w:color w:val="000000"/>
          <w:sz w:val="20"/>
          <w:szCs w:val="20"/>
          <w:bdr w:val="none" w:sz="0" w:space="0" w:color="auto" w:frame="1"/>
          <w:lang w:val="en-US"/>
        </w:rPr>
        <w:t>In providing information on asset allocation and performance, it is worth reiterating the long-term objectives of the SMF. The SMF strives to </w:t>
      </w:r>
      <w:r w:rsidRPr="002C3CF3">
        <w:rPr>
          <w:color w:val="000000"/>
          <w:sz w:val="20"/>
          <w:szCs w:val="20"/>
          <w:bdr w:val="none" w:sz="0" w:space="0" w:color="auto" w:frame="1"/>
        </w:rPr>
        <w:t>maximise the long-term trade-off between the expected value of funds invested, against the risk of sustained reduction in the real value of the portfolio. The aim is to support the real value of its philanthropic activities in perpetuity, i.e. maintain the real value of the fund and its distributions over the long run.</w:t>
      </w:r>
      <w:r w:rsidR="000A50C6">
        <w:rPr>
          <w:color w:val="000000"/>
          <w:sz w:val="20"/>
        </w:rPr>
        <w:t xml:space="preserve"> </w:t>
      </w:r>
      <w:r w:rsidR="00654568" w:rsidRPr="002C3CF3">
        <w:rPr>
          <w:color w:val="000000"/>
          <w:sz w:val="20"/>
        </w:rPr>
        <w:t xml:space="preserve">This report reflects portfolio data as at </w:t>
      </w:r>
      <w:r w:rsidR="00CF4C5D">
        <w:rPr>
          <w:color w:val="000000"/>
          <w:sz w:val="20"/>
        </w:rPr>
        <w:t>8</w:t>
      </w:r>
      <w:r w:rsidR="00654568" w:rsidRPr="002C3CF3">
        <w:rPr>
          <w:color w:val="000000"/>
          <w:sz w:val="20"/>
          <w:vertAlign w:val="superscript"/>
        </w:rPr>
        <w:t>th</w:t>
      </w:r>
      <w:r w:rsidR="00654568" w:rsidRPr="002C3CF3">
        <w:rPr>
          <w:color w:val="000000"/>
          <w:sz w:val="20"/>
        </w:rPr>
        <w:t xml:space="preserve"> </w:t>
      </w:r>
      <w:r w:rsidR="00CF4C5D">
        <w:rPr>
          <w:color w:val="000000"/>
          <w:sz w:val="20"/>
        </w:rPr>
        <w:t xml:space="preserve">April </w:t>
      </w:r>
      <w:r w:rsidR="00654568" w:rsidRPr="002C3CF3">
        <w:rPr>
          <w:color w:val="000000"/>
          <w:sz w:val="20"/>
        </w:rPr>
        <w:t>2019</w:t>
      </w:r>
      <w:r w:rsidR="00DD3A94">
        <w:rPr>
          <w:color w:val="000000"/>
          <w:sz w:val="20"/>
        </w:rPr>
        <w:t>, and</w:t>
      </w:r>
      <w:r w:rsidR="00654568" w:rsidRPr="002C3CF3">
        <w:rPr>
          <w:color w:val="000000"/>
          <w:sz w:val="20"/>
        </w:rPr>
        <w:t xml:space="preserve"> measur</w:t>
      </w:r>
      <w:r w:rsidR="00DD3A94">
        <w:rPr>
          <w:color w:val="000000"/>
          <w:sz w:val="20"/>
        </w:rPr>
        <w:t>es</w:t>
      </w:r>
      <w:r w:rsidR="00654568" w:rsidRPr="002C3CF3">
        <w:rPr>
          <w:color w:val="000000"/>
          <w:sz w:val="20"/>
        </w:rPr>
        <w:t xml:space="preserve"> performance since inception on </w:t>
      </w:r>
      <w:r w:rsidR="00EA7BEA">
        <w:rPr>
          <w:color w:val="000000"/>
          <w:sz w:val="20"/>
        </w:rPr>
        <w:t>10</w:t>
      </w:r>
      <w:r w:rsidR="00D27D0A" w:rsidRPr="002B07EA">
        <w:rPr>
          <w:color w:val="000000"/>
          <w:sz w:val="20"/>
          <w:vertAlign w:val="superscript"/>
        </w:rPr>
        <w:t>th</w:t>
      </w:r>
      <w:r w:rsidR="00EA7BEA">
        <w:rPr>
          <w:color w:val="000000"/>
          <w:sz w:val="20"/>
          <w:vertAlign w:val="superscript"/>
        </w:rPr>
        <w:t xml:space="preserve"> </w:t>
      </w:r>
      <w:r w:rsidR="00654568" w:rsidRPr="002C3CF3">
        <w:rPr>
          <w:color w:val="000000"/>
          <w:sz w:val="20"/>
        </w:rPr>
        <w:t xml:space="preserve">April 2018. </w:t>
      </w:r>
      <w:r w:rsidR="000A50C6">
        <w:rPr>
          <w:color w:val="000000"/>
          <w:sz w:val="20"/>
        </w:rPr>
        <w:t xml:space="preserve">The results hence cover only a short initial period in the life of what is a long-term fund.  </w:t>
      </w:r>
    </w:p>
    <w:p w14:paraId="3A2F15FB" w14:textId="7726B889" w:rsidR="00830FE3" w:rsidRPr="002C3CF3" w:rsidRDefault="00654568" w:rsidP="000A50C6">
      <w:pPr>
        <w:pStyle w:val="NormalWeb"/>
        <w:spacing w:before="180" w:beforeAutospacing="0" w:after="0" w:afterAutospacing="0"/>
        <w:jc w:val="both"/>
        <w:rPr>
          <w:color w:val="000000"/>
          <w:sz w:val="20"/>
        </w:rPr>
      </w:pPr>
      <w:r w:rsidRPr="000A50C6">
        <w:rPr>
          <w:color w:val="000000"/>
          <w:sz w:val="20"/>
        </w:rPr>
        <w:t>Asset allocation data for</w:t>
      </w:r>
      <w:r w:rsidR="00CF4C5D" w:rsidRPr="000A50C6">
        <w:rPr>
          <w:color w:val="000000"/>
          <w:sz w:val="20"/>
        </w:rPr>
        <w:t xml:space="preserve"> </w:t>
      </w:r>
      <w:r w:rsidR="003E4982" w:rsidRPr="000A50C6">
        <w:rPr>
          <w:color w:val="000000"/>
          <w:sz w:val="20"/>
        </w:rPr>
        <w:t>both 10</w:t>
      </w:r>
      <w:r w:rsidR="003E4982" w:rsidRPr="000A50C6">
        <w:rPr>
          <w:color w:val="000000"/>
          <w:sz w:val="20"/>
          <w:vertAlign w:val="superscript"/>
        </w:rPr>
        <w:t>th</w:t>
      </w:r>
      <w:r w:rsidR="003E4982" w:rsidRPr="000A50C6">
        <w:rPr>
          <w:color w:val="000000"/>
          <w:sz w:val="20"/>
        </w:rPr>
        <w:t xml:space="preserve"> April 201</w:t>
      </w:r>
      <w:r w:rsidR="002B07EA" w:rsidRPr="000A50C6">
        <w:rPr>
          <w:color w:val="000000"/>
          <w:sz w:val="20"/>
        </w:rPr>
        <w:t xml:space="preserve">8 and </w:t>
      </w:r>
      <w:r w:rsidR="00CF4C5D" w:rsidRPr="000A50C6">
        <w:rPr>
          <w:color w:val="000000"/>
          <w:sz w:val="20"/>
        </w:rPr>
        <w:t>8</w:t>
      </w:r>
      <w:r w:rsidRPr="000A50C6">
        <w:rPr>
          <w:color w:val="000000"/>
          <w:sz w:val="20"/>
          <w:vertAlign w:val="superscript"/>
        </w:rPr>
        <w:t>th</w:t>
      </w:r>
      <w:r w:rsidRPr="000A50C6">
        <w:rPr>
          <w:color w:val="000000"/>
          <w:sz w:val="20"/>
        </w:rPr>
        <w:t xml:space="preserve"> </w:t>
      </w:r>
      <w:r w:rsidR="00CF4C5D" w:rsidRPr="000A50C6">
        <w:rPr>
          <w:color w:val="000000"/>
          <w:sz w:val="20"/>
        </w:rPr>
        <w:t>April</w:t>
      </w:r>
      <w:r w:rsidR="002B07EA" w:rsidRPr="000A50C6">
        <w:rPr>
          <w:color w:val="000000"/>
          <w:sz w:val="20"/>
        </w:rPr>
        <w:t xml:space="preserve"> 2019</w:t>
      </w:r>
      <w:r w:rsidR="00CF4C5D" w:rsidRPr="000A50C6">
        <w:rPr>
          <w:color w:val="000000"/>
          <w:sz w:val="20"/>
        </w:rPr>
        <w:t xml:space="preserve"> </w:t>
      </w:r>
      <w:r w:rsidRPr="000A50C6">
        <w:rPr>
          <w:color w:val="000000"/>
          <w:sz w:val="20"/>
        </w:rPr>
        <w:t>is presented in Figure 1</w:t>
      </w:r>
      <w:r w:rsidR="002B07EA" w:rsidRPr="000A50C6">
        <w:rPr>
          <w:color w:val="000000"/>
          <w:sz w:val="20"/>
        </w:rPr>
        <w:t xml:space="preserve"> and Figure 2 respectively.</w:t>
      </w:r>
      <w:r w:rsidRPr="002C3CF3">
        <w:rPr>
          <w:color w:val="000000"/>
          <w:sz w:val="20"/>
        </w:rPr>
        <w:t xml:space="preserve"> </w:t>
      </w:r>
    </w:p>
    <w:p w14:paraId="25ACB5B9" w14:textId="578607D5" w:rsidR="003E4982" w:rsidRPr="000A50C6" w:rsidRDefault="003E4982" w:rsidP="000A50C6">
      <w:pPr>
        <w:pStyle w:val="TableFigure"/>
        <w:spacing w:before="360" w:after="60" w:line="240" w:lineRule="auto"/>
        <w:ind w:left="-274" w:firstLine="274"/>
        <w:jc w:val="left"/>
        <w:rPr>
          <w:sz w:val="22"/>
          <w:szCs w:val="22"/>
          <w:lang w:val="en-US"/>
        </w:rPr>
      </w:pPr>
      <w:r w:rsidRPr="000A50C6">
        <w:rPr>
          <w:sz w:val="22"/>
          <w:szCs w:val="22"/>
          <w:lang w:val="en-US"/>
        </w:rPr>
        <w:t>Figure 1: Asset Allocation as at 10/4/2018</w:t>
      </w:r>
    </w:p>
    <w:p w14:paraId="6DC44C7A" w14:textId="53FD498E" w:rsidR="003E4982" w:rsidRPr="003E4982" w:rsidRDefault="00556A2B" w:rsidP="003E4982">
      <w:pPr>
        <w:pStyle w:val="TableFigure"/>
        <w:spacing w:before="360" w:after="80" w:line="240" w:lineRule="auto"/>
        <w:ind w:left="-274" w:firstLine="274"/>
        <w:jc w:val="left"/>
        <w:rPr>
          <w:sz w:val="20"/>
          <w:szCs w:val="20"/>
          <w:lang w:val="en-US"/>
        </w:rPr>
      </w:pPr>
      <w:r>
        <w:rPr>
          <w:noProof/>
          <w:lang w:eastAsia="en-AU"/>
        </w:rPr>
        <w:drawing>
          <wp:anchor distT="0" distB="0" distL="114300" distR="114300" simplePos="0" relativeHeight="251709440" behindDoc="0" locked="0" layoutInCell="1" allowOverlap="1" wp14:anchorId="4F33BC39" wp14:editId="5AE40660">
            <wp:simplePos x="0" y="0"/>
            <wp:positionH relativeFrom="margin">
              <wp:align>right</wp:align>
            </wp:positionH>
            <wp:positionV relativeFrom="paragraph">
              <wp:posOffset>29936</wp:posOffset>
            </wp:positionV>
            <wp:extent cx="6087110" cy="2731770"/>
            <wp:effectExtent l="0" t="0" r="8890" b="11430"/>
            <wp:wrapNone/>
            <wp:docPr id="6" name="Chart 6">
              <a:extLst xmlns:a="http://schemas.openxmlformats.org/drawingml/2006/main">
                <a:ext uri="{FF2B5EF4-FFF2-40B4-BE49-F238E27FC236}">
                  <a16:creationId xmlns:a16="http://schemas.microsoft.com/office/drawing/2014/main" id="{123B78F5-1DD4-415D-A81E-3EAD3C149A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EB6CF18" w14:textId="540EE7D5" w:rsidR="003E4982" w:rsidRPr="003E4982" w:rsidRDefault="003E4982" w:rsidP="003E4982">
      <w:pPr>
        <w:pStyle w:val="TableFigure"/>
        <w:spacing w:before="360" w:after="80" w:line="240" w:lineRule="auto"/>
        <w:ind w:left="-274" w:firstLine="274"/>
        <w:jc w:val="left"/>
        <w:rPr>
          <w:sz w:val="20"/>
          <w:szCs w:val="20"/>
          <w:lang w:val="en-US"/>
        </w:rPr>
      </w:pPr>
    </w:p>
    <w:p w14:paraId="66339F69" w14:textId="197E440A" w:rsidR="003E4982" w:rsidRPr="003E4982" w:rsidRDefault="003E4982" w:rsidP="003E4982">
      <w:pPr>
        <w:pStyle w:val="TableFigure"/>
        <w:spacing w:before="360" w:after="80" w:line="240" w:lineRule="auto"/>
        <w:ind w:left="-274" w:firstLine="274"/>
        <w:jc w:val="left"/>
        <w:rPr>
          <w:sz w:val="20"/>
          <w:szCs w:val="20"/>
          <w:lang w:val="en-US"/>
        </w:rPr>
      </w:pPr>
    </w:p>
    <w:p w14:paraId="65777B39" w14:textId="4E638D15" w:rsidR="003E4982" w:rsidRPr="003E4982" w:rsidRDefault="003E4982" w:rsidP="003E4982">
      <w:pPr>
        <w:pStyle w:val="TableFigure"/>
        <w:spacing w:before="360" w:after="80" w:line="240" w:lineRule="auto"/>
        <w:ind w:left="-274" w:firstLine="274"/>
        <w:jc w:val="left"/>
        <w:rPr>
          <w:sz w:val="20"/>
          <w:szCs w:val="20"/>
          <w:lang w:val="en-US"/>
        </w:rPr>
      </w:pPr>
    </w:p>
    <w:p w14:paraId="4CDA0756" w14:textId="64D085E2" w:rsidR="003E4982" w:rsidRDefault="003E4982" w:rsidP="00A250F3">
      <w:pPr>
        <w:pStyle w:val="TableFigure"/>
        <w:spacing w:before="360" w:after="80" w:line="240" w:lineRule="auto"/>
        <w:ind w:left="-274" w:firstLine="274"/>
        <w:jc w:val="left"/>
        <w:rPr>
          <w:sz w:val="20"/>
          <w:szCs w:val="20"/>
          <w:lang w:val="en-US"/>
        </w:rPr>
      </w:pPr>
    </w:p>
    <w:p w14:paraId="18338B14" w14:textId="52E2965A" w:rsidR="003E4982" w:rsidRDefault="003E4982" w:rsidP="00A250F3">
      <w:pPr>
        <w:pStyle w:val="TableFigure"/>
        <w:spacing w:before="360" w:after="80" w:line="240" w:lineRule="auto"/>
        <w:ind w:left="-274" w:firstLine="274"/>
        <w:jc w:val="left"/>
        <w:rPr>
          <w:sz w:val="20"/>
          <w:szCs w:val="20"/>
          <w:lang w:val="en-US"/>
        </w:rPr>
      </w:pPr>
    </w:p>
    <w:p w14:paraId="0DA478A1" w14:textId="689AC2BB" w:rsidR="003E4982" w:rsidRDefault="003E4982" w:rsidP="00A250F3">
      <w:pPr>
        <w:pStyle w:val="TableFigure"/>
        <w:spacing w:before="360" w:after="80" w:line="240" w:lineRule="auto"/>
        <w:ind w:left="-274" w:firstLine="274"/>
        <w:jc w:val="left"/>
        <w:rPr>
          <w:sz w:val="20"/>
          <w:szCs w:val="20"/>
          <w:lang w:val="en-US"/>
        </w:rPr>
      </w:pPr>
    </w:p>
    <w:p w14:paraId="4AC416F8" w14:textId="6FBB32C5" w:rsidR="003E4982" w:rsidRDefault="003E4982" w:rsidP="00A250F3">
      <w:pPr>
        <w:pStyle w:val="TableFigure"/>
        <w:spacing w:before="360" w:after="80" w:line="240" w:lineRule="auto"/>
        <w:ind w:left="-274" w:firstLine="274"/>
        <w:jc w:val="left"/>
        <w:rPr>
          <w:sz w:val="20"/>
          <w:szCs w:val="20"/>
          <w:lang w:val="en-US"/>
        </w:rPr>
      </w:pPr>
    </w:p>
    <w:p w14:paraId="08D1F424" w14:textId="6BB1D66B" w:rsidR="005A612A" w:rsidRPr="002C3CF3" w:rsidRDefault="0076304F" w:rsidP="00A250F3">
      <w:pPr>
        <w:pStyle w:val="TableFigure"/>
        <w:spacing w:before="360" w:after="80" w:line="240" w:lineRule="auto"/>
        <w:ind w:left="-274" w:firstLine="274"/>
        <w:jc w:val="left"/>
        <w:rPr>
          <w:sz w:val="20"/>
          <w:szCs w:val="20"/>
          <w:lang w:val="en-US"/>
        </w:rPr>
      </w:pPr>
      <w:r w:rsidRPr="002C3CF3">
        <w:rPr>
          <w:sz w:val="20"/>
          <w:szCs w:val="20"/>
          <w:lang w:val="en-US"/>
        </w:rPr>
        <w:t xml:space="preserve">Figure </w:t>
      </w:r>
      <w:r w:rsidR="003E4982">
        <w:rPr>
          <w:sz w:val="20"/>
          <w:szCs w:val="20"/>
          <w:lang w:val="en-US"/>
        </w:rPr>
        <w:t>2</w:t>
      </w:r>
      <w:r w:rsidRPr="002C3CF3">
        <w:rPr>
          <w:sz w:val="20"/>
          <w:szCs w:val="20"/>
          <w:lang w:val="en-US"/>
        </w:rPr>
        <w:t xml:space="preserve">: Asset Allocation as at </w:t>
      </w:r>
      <w:r w:rsidR="007872F4">
        <w:rPr>
          <w:sz w:val="20"/>
          <w:szCs w:val="20"/>
          <w:lang w:val="en-US"/>
        </w:rPr>
        <w:t>8</w:t>
      </w:r>
      <w:r w:rsidRPr="002C3CF3">
        <w:rPr>
          <w:sz w:val="20"/>
          <w:szCs w:val="20"/>
          <w:lang w:val="en-US"/>
        </w:rPr>
        <w:t>/</w:t>
      </w:r>
      <w:r w:rsidR="007872F4">
        <w:rPr>
          <w:sz w:val="20"/>
          <w:szCs w:val="20"/>
          <w:lang w:val="en-US"/>
        </w:rPr>
        <w:t>4</w:t>
      </w:r>
      <w:r w:rsidRPr="002C3CF3">
        <w:rPr>
          <w:sz w:val="20"/>
          <w:szCs w:val="20"/>
          <w:lang w:val="en-US"/>
        </w:rPr>
        <w:t>/19:</w:t>
      </w:r>
    </w:p>
    <w:p w14:paraId="04564230" w14:textId="1F998AB2" w:rsidR="005A612A" w:rsidRDefault="00DC1622" w:rsidP="00A250F3">
      <w:pPr>
        <w:pStyle w:val="NormalWeb"/>
        <w:spacing w:before="0" w:beforeAutospacing="0" w:after="0" w:afterAutospacing="0"/>
        <w:jc w:val="both"/>
        <w:rPr>
          <w:b/>
          <w:color w:val="000000"/>
          <w:sz w:val="20"/>
          <w:szCs w:val="20"/>
        </w:rPr>
      </w:pPr>
      <w:r w:rsidRPr="002C3CF3">
        <w:rPr>
          <w:b/>
          <w:color w:val="000000"/>
          <w:sz w:val="20"/>
          <w:szCs w:val="20"/>
        </w:rPr>
        <w:t xml:space="preserve"> </w:t>
      </w:r>
    </w:p>
    <w:p w14:paraId="5F10E7B1" w14:textId="7FB83DAC" w:rsidR="00CF4C5D" w:rsidRDefault="005047C6" w:rsidP="00A250F3">
      <w:pPr>
        <w:pStyle w:val="NormalWeb"/>
        <w:spacing w:before="0" w:beforeAutospacing="0" w:after="0" w:afterAutospacing="0"/>
        <w:jc w:val="both"/>
        <w:rPr>
          <w:b/>
          <w:color w:val="000000"/>
          <w:sz w:val="20"/>
          <w:szCs w:val="20"/>
        </w:rPr>
      </w:pPr>
      <w:r>
        <w:rPr>
          <w:noProof/>
          <w:lang w:val="en-AU" w:eastAsia="en-AU"/>
        </w:rPr>
        <w:drawing>
          <wp:anchor distT="0" distB="0" distL="114300" distR="114300" simplePos="0" relativeHeight="251707392" behindDoc="0" locked="0" layoutInCell="1" allowOverlap="1" wp14:anchorId="5A22E38C" wp14:editId="7A3B9585">
            <wp:simplePos x="0" y="0"/>
            <wp:positionH relativeFrom="column">
              <wp:posOffset>0</wp:posOffset>
            </wp:positionH>
            <wp:positionV relativeFrom="paragraph">
              <wp:posOffset>-635</wp:posOffset>
            </wp:positionV>
            <wp:extent cx="6087600" cy="2732400"/>
            <wp:effectExtent l="0" t="0" r="8890" b="11430"/>
            <wp:wrapNone/>
            <wp:docPr id="3" name="Chart 3">
              <a:extLst xmlns:a="http://schemas.openxmlformats.org/drawingml/2006/main">
                <a:ext uri="{FF2B5EF4-FFF2-40B4-BE49-F238E27FC236}">
                  <a16:creationId xmlns:a16="http://schemas.microsoft.com/office/drawing/2014/main" id="{F9ADF949-C7CD-9144-95C8-045A8C590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6C167BDB" w14:textId="6BA7166C" w:rsidR="00CF4C5D" w:rsidRDefault="00CF4C5D" w:rsidP="00A250F3">
      <w:pPr>
        <w:pStyle w:val="NormalWeb"/>
        <w:spacing w:before="0" w:beforeAutospacing="0" w:after="0" w:afterAutospacing="0"/>
        <w:jc w:val="both"/>
        <w:rPr>
          <w:b/>
          <w:color w:val="000000"/>
          <w:sz w:val="20"/>
          <w:szCs w:val="20"/>
        </w:rPr>
      </w:pPr>
    </w:p>
    <w:p w14:paraId="7F1D3AB1" w14:textId="77777777" w:rsidR="00CF4C5D" w:rsidRPr="002C3CF3" w:rsidRDefault="00CF4C5D" w:rsidP="00A250F3">
      <w:pPr>
        <w:pStyle w:val="NormalWeb"/>
        <w:spacing w:before="0" w:beforeAutospacing="0" w:after="0" w:afterAutospacing="0"/>
        <w:jc w:val="both"/>
        <w:rPr>
          <w:b/>
          <w:color w:val="000000"/>
          <w:sz w:val="20"/>
          <w:szCs w:val="20"/>
        </w:rPr>
      </w:pPr>
    </w:p>
    <w:p w14:paraId="414639DC" w14:textId="0B94C595" w:rsidR="0076304F" w:rsidRPr="002C3CF3" w:rsidRDefault="0076304F" w:rsidP="00A250F3">
      <w:pPr>
        <w:pStyle w:val="NormalWeb"/>
        <w:spacing w:before="0" w:beforeAutospacing="0" w:after="0" w:afterAutospacing="0"/>
        <w:jc w:val="both"/>
        <w:rPr>
          <w:b/>
          <w:color w:val="000000"/>
          <w:sz w:val="20"/>
          <w:szCs w:val="20"/>
        </w:rPr>
      </w:pPr>
    </w:p>
    <w:p w14:paraId="1791977C" w14:textId="0F9F7471" w:rsidR="0076304F" w:rsidRPr="002C3CF3" w:rsidRDefault="0076304F" w:rsidP="00A250F3">
      <w:pPr>
        <w:pStyle w:val="NormalWeb"/>
        <w:spacing w:before="0" w:beforeAutospacing="0" w:after="0" w:afterAutospacing="0"/>
        <w:jc w:val="both"/>
        <w:rPr>
          <w:b/>
          <w:color w:val="000000"/>
          <w:sz w:val="20"/>
          <w:szCs w:val="20"/>
        </w:rPr>
      </w:pPr>
    </w:p>
    <w:p w14:paraId="5A820650" w14:textId="4A078C25" w:rsidR="001D4E42" w:rsidRPr="002C3CF3" w:rsidRDefault="001D4E42" w:rsidP="00A250F3">
      <w:pPr>
        <w:spacing w:before="180"/>
        <w:rPr>
          <w:sz w:val="20"/>
          <w:szCs w:val="20"/>
          <w:lang w:val="en-US"/>
        </w:rPr>
      </w:pPr>
    </w:p>
    <w:p w14:paraId="5018DB91" w14:textId="7AB30E14" w:rsidR="001D4E42" w:rsidRPr="002C3CF3" w:rsidRDefault="001D4E42" w:rsidP="00A250F3">
      <w:pPr>
        <w:spacing w:before="180"/>
        <w:rPr>
          <w:sz w:val="20"/>
          <w:szCs w:val="20"/>
          <w:lang w:val="en-US"/>
        </w:rPr>
      </w:pPr>
    </w:p>
    <w:p w14:paraId="467AC20E" w14:textId="33BC95FF" w:rsidR="001D4E42" w:rsidRPr="002C3CF3" w:rsidRDefault="001D4E42" w:rsidP="00A250F3">
      <w:pPr>
        <w:spacing w:before="180"/>
        <w:rPr>
          <w:sz w:val="20"/>
          <w:szCs w:val="20"/>
          <w:lang w:val="en-US"/>
        </w:rPr>
      </w:pPr>
    </w:p>
    <w:p w14:paraId="06E0FB9A" w14:textId="70625B75" w:rsidR="001D4E42" w:rsidRPr="002C3CF3" w:rsidRDefault="001D4E42" w:rsidP="00A250F3">
      <w:pPr>
        <w:spacing w:before="180"/>
        <w:rPr>
          <w:sz w:val="20"/>
          <w:szCs w:val="20"/>
          <w:lang w:val="en-US"/>
        </w:rPr>
      </w:pPr>
    </w:p>
    <w:p w14:paraId="1FA8F432" w14:textId="0E13CC7F" w:rsidR="001D4E42" w:rsidRPr="002C3CF3" w:rsidRDefault="001D4E42" w:rsidP="00A250F3">
      <w:pPr>
        <w:spacing w:before="180"/>
        <w:rPr>
          <w:sz w:val="20"/>
          <w:szCs w:val="20"/>
          <w:lang w:val="en-US"/>
        </w:rPr>
      </w:pPr>
    </w:p>
    <w:p w14:paraId="2898E254" w14:textId="68DE2EEA" w:rsidR="001D4E42" w:rsidRPr="002C3CF3" w:rsidRDefault="001D4E42" w:rsidP="00A250F3">
      <w:pPr>
        <w:spacing w:before="180"/>
        <w:rPr>
          <w:sz w:val="20"/>
          <w:szCs w:val="20"/>
          <w:lang w:val="en-US"/>
        </w:rPr>
      </w:pPr>
    </w:p>
    <w:p w14:paraId="2EBABB00" w14:textId="3F6A6BBF" w:rsidR="001D4E42" w:rsidRPr="002C3CF3" w:rsidRDefault="001D4E42" w:rsidP="00A250F3">
      <w:pPr>
        <w:spacing w:before="180"/>
        <w:rPr>
          <w:sz w:val="20"/>
          <w:szCs w:val="20"/>
          <w:lang w:val="en-US"/>
        </w:rPr>
      </w:pPr>
    </w:p>
    <w:p w14:paraId="70B44E2F" w14:textId="020BF0BF" w:rsidR="001D4E42" w:rsidRDefault="001D4E42" w:rsidP="00A250F3">
      <w:pPr>
        <w:spacing w:before="180"/>
        <w:rPr>
          <w:sz w:val="20"/>
          <w:szCs w:val="20"/>
          <w:lang w:val="en-US"/>
        </w:rPr>
      </w:pPr>
    </w:p>
    <w:p w14:paraId="1F1F8EA1" w14:textId="18AF75A8" w:rsidR="002A26E9" w:rsidRDefault="002A26E9" w:rsidP="00A250F3">
      <w:pPr>
        <w:spacing w:before="180"/>
        <w:rPr>
          <w:sz w:val="20"/>
          <w:szCs w:val="20"/>
          <w:lang w:val="en-US"/>
        </w:rPr>
      </w:pPr>
    </w:p>
    <w:p w14:paraId="1E417D3C" w14:textId="516E1A0C" w:rsidR="002A26E9" w:rsidRDefault="002A26E9" w:rsidP="00A250F3">
      <w:pPr>
        <w:spacing w:before="180"/>
        <w:rPr>
          <w:sz w:val="20"/>
          <w:szCs w:val="20"/>
          <w:lang w:val="en-US"/>
        </w:rPr>
      </w:pPr>
    </w:p>
    <w:p w14:paraId="07EA217E" w14:textId="3C139E2A" w:rsidR="002A26E9" w:rsidRDefault="002A26E9" w:rsidP="00A250F3">
      <w:pPr>
        <w:spacing w:before="180"/>
        <w:rPr>
          <w:sz w:val="20"/>
          <w:szCs w:val="20"/>
          <w:lang w:val="en-US"/>
        </w:rPr>
      </w:pPr>
    </w:p>
    <w:p w14:paraId="0E8589FF" w14:textId="612D347F" w:rsidR="00C243AB" w:rsidRPr="007A3ACE" w:rsidRDefault="00F226D6" w:rsidP="00A250F3">
      <w:pPr>
        <w:spacing w:before="180"/>
        <w:jc w:val="both"/>
        <w:rPr>
          <w:sz w:val="20"/>
          <w:szCs w:val="20"/>
        </w:rPr>
      </w:pPr>
      <w:r w:rsidRPr="002C3CF3">
        <w:rPr>
          <w:sz w:val="20"/>
          <w:szCs w:val="20"/>
          <w:lang w:val="en-US"/>
        </w:rPr>
        <w:t xml:space="preserve">Figure </w:t>
      </w:r>
      <w:r w:rsidR="002B07EA">
        <w:rPr>
          <w:sz w:val="20"/>
          <w:szCs w:val="20"/>
          <w:lang w:val="en-US"/>
        </w:rPr>
        <w:t>3</w:t>
      </w:r>
      <w:r w:rsidR="00610E25" w:rsidRPr="002C3CF3">
        <w:rPr>
          <w:sz w:val="20"/>
          <w:szCs w:val="20"/>
          <w:lang w:val="en-US"/>
        </w:rPr>
        <w:t xml:space="preserve"> details the </w:t>
      </w:r>
      <w:r w:rsidR="00AE4DE4">
        <w:rPr>
          <w:sz w:val="20"/>
          <w:szCs w:val="20"/>
          <w:lang w:val="en-US"/>
        </w:rPr>
        <w:t xml:space="preserve">Fund’s </w:t>
      </w:r>
      <w:r w:rsidR="00610E25" w:rsidRPr="002C3CF3">
        <w:rPr>
          <w:sz w:val="20"/>
          <w:szCs w:val="20"/>
          <w:lang w:val="en-US"/>
        </w:rPr>
        <w:t>investments and total p</w:t>
      </w:r>
      <w:r w:rsidR="00D501FD" w:rsidRPr="002C3CF3">
        <w:rPr>
          <w:sz w:val="20"/>
          <w:szCs w:val="20"/>
          <w:lang w:val="en-US"/>
        </w:rPr>
        <w:t>erformance since inception</w:t>
      </w:r>
      <w:r w:rsidR="00610E25" w:rsidRPr="002C3CF3">
        <w:rPr>
          <w:sz w:val="20"/>
          <w:szCs w:val="20"/>
          <w:lang w:val="en-US"/>
        </w:rPr>
        <w:t xml:space="preserve">. </w:t>
      </w:r>
      <w:r w:rsidR="00410225">
        <w:rPr>
          <w:sz w:val="20"/>
          <w:szCs w:val="20"/>
          <w:lang w:val="en-US"/>
        </w:rPr>
        <w:t>The performance data represents an important milestone</w:t>
      </w:r>
      <w:r w:rsidR="00D27D0A">
        <w:rPr>
          <w:sz w:val="20"/>
          <w:szCs w:val="20"/>
          <w:lang w:val="en-US"/>
        </w:rPr>
        <w:t>,</w:t>
      </w:r>
      <w:r w:rsidR="00410225">
        <w:rPr>
          <w:sz w:val="20"/>
          <w:szCs w:val="20"/>
          <w:lang w:val="en-US"/>
        </w:rPr>
        <w:t xml:space="preserve"> </w:t>
      </w:r>
      <w:r w:rsidR="00531540">
        <w:rPr>
          <w:sz w:val="20"/>
          <w:szCs w:val="20"/>
          <w:lang w:val="en-US"/>
        </w:rPr>
        <w:t xml:space="preserve">as we have now reached </w:t>
      </w:r>
      <w:r w:rsidR="008F0CA8">
        <w:rPr>
          <w:sz w:val="20"/>
          <w:szCs w:val="20"/>
          <w:lang w:val="en-US"/>
        </w:rPr>
        <w:t xml:space="preserve">one year since </w:t>
      </w:r>
      <w:r w:rsidR="00D27D0A">
        <w:rPr>
          <w:sz w:val="20"/>
          <w:szCs w:val="20"/>
          <w:lang w:val="en-US"/>
        </w:rPr>
        <w:t xml:space="preserve">the </w:t>
      </w:r>
      <w:r w:rsidR="00053175">
        <w:rPr>
          <w:sz w:val="20"/>
          <w:szCs w:val="20"/>
          <w:lang w:val="en-US"/>
        </w:rPr>
        <w:t xml:space="preserve">funds were </w:t>
      </w:r>
      <w:r w:rsidR="00D27D0A">
        <w:rPr>
          <w:sz w:val="20"/>
          <w:szCs w:val="20"/>
          <w:lang w:val="en-US"/>
        </w:rPr>
        <w:t xml:space="preserve">initially </w:t>
      </w:r>
      <w:r w:rsidR="00053175">
        <w:rPr>
          <w:sz w:val="20"/>
          <w:szCs w:val="20"/>
          <w:lang w:val="en-US"/>
        </w:rPr>
        <w:t xml:space="preserve">invested into the SMF reference portfolio. It is pleasing to see the </w:t>
      </w:r>
      <w:r w:rsidR="004969DF">
        <w:rPr>
          <w:sz w:val="20"/>
          <w:szCs w:val="20"/>
          <w:lang w:val="en-US"/>
        </w:rPr>
        <w:t xml:space="preserve">Fund’s return of </w:t>
      </w:r>
      <w:r w:rsidR="005A7ECC">
        <w:rPr>
          <w:sz w:val="20"/>
          <w:szCs w:val="20"/>
          <w:lang w:val="en-US"/>
        </w:rPr>
        <w:t>8.83</w:t>
      </w:r>
      <w:r w:rsidR="004969DF">
        <w:rPr>
          <w:sz w:val="20"/>
          <w:szCs w:val="20"/>
          <w:lang w:val="en-US"/>
        </w:rPr>
        <w:t xml:space="preserve">% surpass </w:t>
      </w:r>
      <w:r w:rsidR="004969DF" w:rsidRPr="007A3ACE">
        <w:rPr>
          <w:sz w:val="20"/>
          <w:szCs w:val="20"/>
          <w:lang w:val="en-US"/>
        </w:rPr>
        <w:t xml:space="preserve">the </w:t>
      </w:r>
      <w:r w:rsidR="00733FAC" w:rsidRPr="007A3ACE">
        <w:rPr>
          <w:sz w:val="20"/>
          <w:szCs w:val="20"/>
          <w:lang w:val="en-US"/>
        </w:rPr>
        <w:t xml:space="preserve">nominal return </w:t>
      </w:r>
      <w:r w:rsidR="004969DF" w:rsidRPr="007A3ACE">
        <w:rPr>
          <w:sz w:val="20"/>
          <w:szCs w:val="20"/>
          <w:lang w:val="en-US"/>
        </w:rPr>
        <w:t>target</w:t>
      </w:r>
      <w:r w:rsidR="008F0CA8" w:rsidRPr="007A3ACE">
        <w:rPr>
          <w:sz w:val="20"/>
          <w:szCs w:val="20"/>
          <w:lang w:val="en-US"/>
        </w:rPr>
        <w:t xml:space="preserve"> </w:t>
      </w:r>
      <w:r w:rsidR="00733FAC" w:rsidRPr="007A3ACE">
        <w:rPr>
          <w:sz w:val="20"/>
          <w:szCs w:val="20"/>
          <w:lang w:val="en-US"/>
        </w:rPr>
        <w:t>of 7% (made of the 4.5% distribution rate and expected inflation of 2.5%).</w:t>
      </w:r>
      <w:r w:rsidR="00ED645A" w:rsidRPr="007A3ACE">
        <w:rPr>
          <w:sz w:val="20"/>
          <w:szCs w:val="20"/>
          <w:lang w:val="en-US"/>
        </w:rPr>
        <w:t xml:space="preserve"> The long-term </w:t>
      </w:r>
      <w:r w:rsidR="0086207A" w:rsidRPr="007A3ACE">
        <w:rPr>
          <w:sz w:val="20"/>
          <w:szCs w:val="20"/>
          <w:lang w:val="en-US"/>
        </w:rPr>
        <w:t>significance</w:t>
      </w:r>
      <w:r w:rsidR="00D96F74" w:rsidRPr="007A3ACE">
        <w:rPr>
          <w:sz w:val="20"/>
          <w:szCs w:val="20"/>
          <w:lang w:val="en-US"/>
        </w:rPr>
        <w:t xml:space="preserve"> </w:t>
      </w:r>
      <w:r w:rsidR="00194C2D">
        <w:rPr>
          <w:sz w:val="20"/>
          <w:szCs w:val="20"/>
          <w:lang w:val="en-US"/>
        </w:rPr>
        <w:t xml:space="preserve">of </w:t>
      </w:r>
      <w:r w:rsidR="00D27D0A" w:rsidRPr="007A3ACE">
        <w:rPr>
          <w:sz w:val="20"/>
          <w:szCs w:val="20"/>
          <w:lang w:val="en-US"/>
        </w:rPr>
        <w:t>this</w:t>
      </w:r>
      <w:r w:rsidR="0086207A" w:rsidRPr="007A3ACE">
        <w:rPr>
          <w:sz w:val="20"/>
          <w:szCs w:val="20"/>
          <w:lang w:val="en-US"/>
        </w:rPr>
        <w:t xml:space="preserve"> result </w:t>
      </w:r>
      <w:r w:rsidR="00D96F74" w:rsidRPr="007A3ACE">
        <w:rPr>
          <w:sz w:val="20"/>
          <w:szCs w:val="20"/>
          <w:lang w:val="en-US"/>
        </w:rPr>
        <w:t xml:space="preserve">is that it represents progress towards maintaining the real value of the Fund to support our philanthropic objectives. </w:t>
      </w:r>
      <w:r w:rsidR="004A21F8" w:rsidRPr="007A3ACE">
        <w:rPr>
          <w:sz w:val="20"/>
          <w:szCs w:val="20"/>
          <w:lang w:val="en-US"/>
        </w:rPr>
        <w:t>The Fund paid it</w:t>
      </w:r>
      <w:r w:rsidR="003E5096" w:rsidRPr="007A3ACE">
        <w:rPr>
          <w:sz w:val="20"/>
          <w:szCs w:val="20"/>
          <w:lang w:val="en-US"/>
        </w:rPr>
        <w:t xml:space="preserve">s first distribution </w:t>
      </w:r>
      <w:r w:rsidR="000A50C6" w:rsidRPr="007A3ACE">
        <w:rPr>
          <w:sz w:val="20"/>
          <w:szCs w:val="20"/>
          <w:lang w:val="en-US"/>
        </w:rPr>
        <w:t xml:space="preserve">of $27,746.21 </w:t>
      </w:r>
      <w:r w:rsidR="003E5096" w:rsidRPr="007A3ACE">
        <w:rPr>
          <w:sz w:val="20"/>
          <w:szCs w:val="20"/>
          <w:lang w:val="en-US"/>
        </w:rPr>
        <w:t>on 14</w:t>
      </w:r>
      <w:r w:rsidR="003E5096" w:rsidRPr="007A3ACE">
        <w:rPr>
          <w:sz w:val="20"/>
          <w:szCs w:val="20"/>
          <w:vertAlign w:val="superscript"/>
          <w:lang w:val="en-US"/>
        </w:rPr>
        <w:t>th</w:t>
      </w:r>
      <w:r w:rsidR="003E5096" w:rsidRPr="007A3ACE">
        <w:rPr>
          <w:sz w:val="20"/>
          <w:szCs w:val="20"/>
          <w:lang w:val="en-US"/>
        </w:rPr>
        <w:t xml:space="preserve"> January 2019</w:t>
      </w:r>
      <w:r w:rsidR="000A50C6" w:rsidRPr="007A3ACE">
        <w:rPr>
          <w:sz w:val="20"/>
          <w:szCs w:val="20"/>
          <w:lang w:val="en-US"/>
        </w:rPr>
        <w:t xml:space="preserve">, comprising </w:t>
      </w:r>
      <w:r w:rsidR="00CA62FB" w:rsidRPr="007A3ACE">
        <w:rPr>
          <w:sz w:val="20"/>
          <w:szCs w:val="20"/>
        </w:rPr>
        <w:t>$19,762.38</w:t>
      </w:r>
      <w:r w:rsidR="000A50C6" w:rsidRPr="007A3ACE">
        <w:rPr>
          <w:sz w:val="20"/>
          <w:szCs w:val="20"/>
        </w:rPr>
        <w:t xml:space="preserve"> paid out from the Fund itself with the balance met </w:t>
      </w:r>
      <w:r w:rsidR="00D27A9A" w:rsidRPr="007A3ACE">
        <w:rPr>
          <w:sz w:val="20"/>
          <w:szCs w:val="20"/>
        </w:rPr>
        <w:t>by interest</w:t>
      </w:r>
      <w:r w:rsidR="000A50C6" w:rsidRPr="007A3ACE">
        <w:rPr>
          <w:sz w:val="20"/>
          <w:szCs w:val="20"/>
        </w:rPr>
        <w:t xml:space="preserve"> </w:t>
      </w:r>
      <w:r w:rsidR="003630D2" w:rsidRPr="007A3ACE">
        <w:rPr>
          <w:sz w:val="20"/>
          <w:szCs w:val="20"/>
        </w:rPr>
        <w:t xml:space="preserve">received on cash held </w:t>
      </w:r>
      <w:r w:rsidR="00706DCD" w:rsidRPr="007A3ACE">
        <w:rPr>
          <w:sz w:val="20"/>
          <w:szCs w:val="20"/>
        </w:rPr>
        <w:t xml:space="preserve">by CBE prior to </w:t>
      </w:r>
      <w:r w:rsidR="000A50C6" w:rsidRPr="007A3ACE">
        <w:rPr>
          <w:sz w:val="20"/>
          <w:szCs w:val="20"/>
        </w:rPr>
        <w:t>transfer of the funds to the SMF</w:t>
      </w:r>
      <w:r w:rsidR="00706DCD" w:rsidRPr="007A3ACE">
        <w:rPr>
          <w:sz w:val="20"/>
          <w:szCs w:val="20"/>
        </w:rPr>
        <w:t xml:space="preserve">. </w:t>
      </w:r>
    </w:p>
    <w:p w14:paraId="09C488D2" w14:textId="41FD301E" w:rsidR="0096546E" w:rsidRPr="00AC697D" w:rsidRDefault="0096546E" w:rsidP="0012519F">
      <w:pPr>
        <w:spacing w:before="240" w:after="60"/>
        <w:jc w:val="both"/>
        <w:rPr>
          <w:b/>
          <w:sz w:val="22"/>
          <w:szCs w:val="22"/>
          <w:lang w:val="en-US"/>
        </w:rPr>
      </w:pPr>
      <w:r w:rsidRPr="007A3ACE">
        <w:rPr>
          <w:b/>
          <w:sz w:val="22"/>
          <w:szCs w:val="22"/>
          <w:lang w:val="en-US"/>
        </w:rPr>
        <w:t xml:space="preserve">Figure </w:t>
      </w:r>
      <w:r w:rsidR="002B07EA" w:rsidRPr="007A3ACE">
        <w:rPr>
          <w:b/>
          <w:sz w:val="22"/>
          <w:szCs w:val="22"/>
          <w:lang w:val="en-US"/>
        </w:rPr>
        <w:t>3</w:t>
      </w:r>
      <w:r w:rsidRPr="007A3ACE">
        <w:rPr>
          <w:b/>
          <w:sz w:val="22"/>
          <w:szCs w:val="22"/>
          <w:lang w:val="en-US"/>
        </w:rPr>
        <w:t xml:space="preserve">: Portfolio Structure and Performance: 10 April 2018 to </w:t>
      </w:r>
      <w:r w:rsidR="00097F8E" w:rsidRPr="007A3ACE">
        <w:rPr>
          <w:b/>
          <w:sz w:val="22"/>
          <w:szCs w:val="22"/>
          <w:lang w:val="en-US"/>
        </w:rPr>
        <w:t>8</w:t>
      </w:r>
      <w:r w:rsidRPr="007A3ACE">
        <w:rPr>
          <w:b/>
          <w:sz w:val="22"/>
          <w:szCs w:val="22"/>
          <w:lang w:val="en-US"/>
        </w:rPr>
        <w:t xml:space="preserve"> </w:t>
      </w:r>
      <w:r w:rsidR="00097F8E" w:rsidRPr="007A3ACE">
        <w:rPr>
          <w:b/>
          <w:sz w:val="22"/>
          <w:szCs w:val="22"/>
          <w:lang w:val="en-US"/>
        </w:rPr>
        <w:t>April</w:t>
      </w:r>
      <w:r w:rsidRPr="007A3ACE">
        <w:rPr>
          <w:b/>
          <w:sz w:val="22"/>
          <w:szCs w:val="22"/>
          <w:lang w:val="en-US"/>
        </w:rPr>
        <w:t xml:space="preserve"> 201</w:t>
      </w:r>
      <w:r w:rsidR="00411B50" w:rsidRPr="007A3ACE">
        <w:rPr>
          <w:b/>
          <w:sz w:val="22"/>
          <w:szCs w:val="22"/>
          <w:lang w:val="en-US"/>
        </w:rPr>
        <w:t>9</w:t>
      </w:r>
    </w:p>
    <w:tbl>
      <w:tblPr>
        <w:tblStyle w:val="TableGrid"/>
        <w:tblW w:w="5118"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2779"/>
        <w:gridCol w:w="2522"/>
        <w:gridCol w:w="1234"/>
        <w:gridCol w:w="1093"/>
        <w:gridCol w:w="1095"/>
        <w:gridCol w:w="1085"/>
      </w:tblGrid>
      <w:tr w:rsidR="00FD197C" w:rsidRPr="0096546E" w14:paraId="6AD2C5E5" w14:textId="77777777" w:rsidTr="009907D9">
        <w:tc>
          <w:tcPr>
            <w:tcW w:w="1417" w:type="pct"/>
            <w:shd w:val="clear" w:color="auto" w:fill="DEEAF6"/>
            <w:vAlign w:val="center"/>
          </w:tcPr>
          <w:p w14:paraId="36B7209C" w14:textId="1186306D" w:rsidR="00435874" w:rsidRPr="0096546E" w:rsidRDefault="00435874" w:rsidP="000866A5">
            <w:pPr>
              <w:spacing w:before="60" w:after="60"/>
              <w:jc w:val="center"/>
              <w:rPr>
                <w:b/>
                <w:sz w:val="20"/>
                <w:szCs w:val="20"/>
              </w:rPr>
            </w:pPr>
            <w:r w:rsidRPr="0096546E">
              <w:rPr>
                <w:b/>
                <w:sz w:val="20"/>
                <w:szCs w:val="20"/>
                <w:lang w:val="en-US"/>
              </w:rPr>
              <w:t>Portfolio Component</w:t>
            </w:r>
          </w:p>
        </w:tc>
        <w:tc>
          <w:tcPr>
            <w:tcW w:w="1284" w:type="pct"/>
            <w:shd w:val="clear" w:color="auto" w:fill="DEEAF6"/>
            <w:vAlign w:val="center"/>
          </w:tcPr>
          <w:p w14:paraId="2A6AD604" w14:textId="63FC745A" w:rsidR="00435874" w:rsidRPr="0096546E" w:rsidRDefault="00435874" w:rsidP="000866A5">
            <w:pPr>
              <w:spacing w:before="60" w:after="60"/>
              <w:jc w:val="center"/>
              <w:rPr>
                <w:b/>
                <w:sz w:val="20"/>
                <w:szCs w:val="20"/>
              </w:rPr>
            </w:pPr>
            <w:r w:rsidRPr="0096546E">
              <w:rPr>
                <w:b/>
                <w:sz w:val="20"/>
                <w:szCs w:val="20"/>
                <w:lang w:val="en-US"/>
              </w:rPr>
              <w:t>Benchmark ETF</w:t>
            </w:r>
          </w:p>
        </w:tc>
        <w:tc>
          <w:tcPr>
            <w:tcW w:w="629" w:type="pct"/>
            <w:shd w:val="clear" w:color="auto" w:fill="DEEAF6"/>
            <w:vAlign w:val="center"/>
          </w:tcPr>
          <w:p w14:paraId="670887B8" w14:textId="77777777" w:rsidR="00435874" w:rsidRDefault="00435874" w:rsidP="000866A5">
            <w:pPr>
              <w:spacing w:before="60" w:after="60"/>
              <w:jc w:val="center"/>
              <w:rPr>
                <w:b/>
                <w:sz w:val="20"/>
                <w:szCs w:val="20"/>
                <w:lang w:val="en-US"/>
              </w:rPr>
            </w:pPr>
            <w:r w:rsidRPr="0096546E">
              <w:rPr>
                <w:b/>
                <w:sz w:val="20"/>
                <w:szCs w:val="20"/>
                <w:lang w:val="en-US"/>
              </w:rPr>
              <w:t>Opening Balance (10/4/2018)</w:t>
            </w:r>
          </w:p>
          <w:p w14:paraId="5FA12D05" w14:textId="4D4B94AE" w:rsidR="00435874" w:rsidRPr="0096546E" w:rsidRDefault="00435874" w:rsidP="000866A5">
            <w:pPr>
              <w:spacing w:before="60" w:after="60"/>
              <w:jc w:val="center"/>
              <w:rPr>
                <w:b/>
                <w:sz w:val="20"/>
                <w:szCs w:val="20"/>
              </w:rPr>
            </w:pPr>
            <w:r>
              <w:rPr>
                <w:b/>
                <w:sz w:val="20"/>
                <w:szCs w:val="20"/>
                <w:lang w:val="en-US"/>
              </w:rPr>
              <w:t>$</w:t>
            </w:r>
          </w:p>
        </w:tc>
        <w:tc>
          <w:tcPr>
            <w:tcW w:w="557" w:type="pct"/>
            <w:shd w:val="clear" w:color="auto" w:fill="DEEAF6"/>
            <w:vAlign w:val="center"/>
          </w:tcPr>
          <w:p w14:paraId="6793B432" w14:textId="77777777" w:rsidR="00435874" w:rsidRDefault="00435874" w:rsidP="000866A5">
            <w:pPr>
              <w:spacing w:before="60" w:after="60"/>
              <w:jc w:val="center"/>
              <w:rPr>
                <w:b/>
                <w:sz w:val="20"/>
                <w:szCs w:val="20"/>
                <w:lang w:val="en-US"/>
              </w:rPr>
            </w:pPr>
            <w:r w:rsidRPr="0096546E">
              <w:rPr>
                <w:b/>
                <w:sz w:val="20"/>
                <w:szCs w:val="20"/>
                <w:lang w:val="en-US"/>
              </w:rPr>
              <w:t>Closing Balance (</w:t>
            </w:r>
            <w:r>
              <w:rPr>
                <w:b/>
                <w:sz w:val="20"/>
                <w:szCs w:val="20"/>
                <w:lang w:val="en-US"/>
              </w:rPr>
              <w:t>8</w:t>
            </w:r>
            <w:r w:rsidRPr="0096546E">
              <w:rPr>
                <w:b/>
                <w:sz w:val="20"/>
                <w:szCs w:val="20"/>
                <w:lang w:val="en-US"/>
              </w:rPr>
              <w:t>/</w:t>
            </w:r>
            <w:r>
              <w:rPr>
                <w:b/>
                <w:sz w:val="20"/>
                <w:szCs w:val="20"/>
                <w:lang w:val="en-US"/>
              </w:rPr>
              <w:t>4</w:t>
            </w:r>
            <w:r w:rsidRPr="0096546E">
              <w:rPr>
                <w:b/>
                <w:sz w:val="20"/>
                <w:szCs w:val="20"/>
                <w:lang w:val="en-US"/>
              </w:rPr>
              <w:t>/201</w:t>
            </w:r>
            <w:r>
              <w:rPr>
                <w:b/>
                <w:sz w:val="20"/>
                <w:szCs w:val="20"/>
                <w:lang w:val="en-US"/>
              </w:rPr>
              <w:t>9</w:t>
            </w:r>
            <w:r w:rsidRPr="0096546E">
              <w:rPr>
                <w:b/>
                <w:sz w:val="20"/>
                <w:szCs w:val="20"/>
                <w:lang w:val="en-US"/>
              </w:rPr>
              <w:t>)</w:t>
            </w:r>
          </w:p>
          <w:p w14:paraId="4549034A" w14:textId="2874CBF7" w:rsidR="00435874" w:rsidRPr="0096546E" w:rsidRDefault="00435874" w:rsidP="000866A5">
            <w:pPr>
              <w:spacing w:before="60" w:after="60"/>
              <w:jc w:val="center"/>
              <w:rPr>
                <w:b/>
                <w:sz w:val="20"/>
                <w:szCs w:val="20"/>
              </w:rPr>
            </w:pPr>
            <w:r>
              <w:rPr>
                <w:b/>
                <w:sz w:val="20"/>
                <w:szCs w:val="20"/>
                <w:lang w:val="en-US"/>
              </w:rPr>
              <w:t>$</w:t>
            </w:r>
          </w:p>
        </w:tc>
        <w:tc>
          <w:tcPr>
            <w:tcW w:w="558" w:type="pct"/>
            <w:shd w:val="clear" w:color="auto" w:fill="DEEAF6"/>
          </w:tcPr>
          <w:p w14:paraId="23C1887E" w14:textId="77777777" w:rsidR="00435874" w:rsidRDefault="00435874" w:rsidP="000866A5">
            <w:pPr>
              <w:spacing w:before="60" w:after="60"/>
              <w:jc w:val="center"/>
              <w:rPr>
                <w:b/>
                <w:sz w:val="20"/>
                <w:szCs w:val="20"/>
                <w:lang w:val="en-US"/>
              </w:rPr>
            </w:pPr>
            <w:r w:rsidRPr="0096546E">
              <w:rPr>
                <w:b/>
                <w:sz w:val="20"/>
                <w:szCs w:val="20"/>
                <w:lang w:val="en-US"/>
              </w:rPr>
              <w:t>Reference Portfolio</w:t>
            </w:r>
          </w:p>
          <w:p w14:paraId="1D100BFF" w14:textId="529E015F" w:rsidR="00435874" w:rsidRPr="0096546E" w:rsidRDefault="00435874" w:rsidP="000866A5">
            <w:pPr>
              <w:spacing w:before="60" w:after="60"/>
              <w:jc w:val="center"/>
              <w:rPr>
                <w:b/>
                <w:sz w:val="20"/>
                <w:szCs w:val="20"/>
                <w:lang w:val="en-US"/>
              </w:rPr>
            </w:pPr>
            <w:r>
              <w:rPr>
                <w:b/>
                <w:sz w:val="20"/>
                <w:szCs w:val="20"/>
                <w:lang w:val="en-US"/>
              </w:rPr>
              <w:t>%</w:t>
            </w:r>
          </w:p>
        </w:tc>
        <w:tc>
          <w:tcPr>
            <w:tcW w:w="553" w:type="pct"/>
            <w:shd w:val="clear" w:color="auto" w:fill="DEEAF6"/>
            <w:vAlign w:val="center"/>
          </w:tcPr>
          <w:p w14:paraId="12A76AD0" w14:textId="77777777" w:rsidR="00435874" w:rsidRDefault="00435874" w:rsidP="000866A5">
            <w:pPr>
              <w:spacing w:before="60" w:after="60"/>
              <w:jc w:val="center"/>
              <w:rPr>
                <w:b/>
                <w:sz w:val="20"/>
                <w:szCs w:val="20"/>
                <w:lang w:val="en-US"/>
              </w:rPr>
            </w:pPr>
            <w:r w:rsidRPr="0096546E">
              <w:rPr>
                <w:b/>
                <w:sz w:val="20"/>
                <w:szCs w:val="20"/>
                <w:lang w:val="en-US"/>
              </w:rPr>
              <w:t>SMF Portfolio (</w:t>
            </w:r>
            <w:r>
              <w:rPr>
                <w:b/>
                <w:sz w:val="20"/>
                <w:szCs w:val="20"/>
                <w:lang w:val="en-US"/>
              </w:rPr>
              <w:t>8</w:t>
            </w:r>
            <w:r w:rsidRPr="0096546E">
              <w:rPr>
                <w:b/>
                <w:sz w:val="20"/>
                <w:szCs w:val="20"/>
                <w:lang w:val="en-US"/>
              </w:rPr>
              <w:t>/</w:t>
            </w:r>
            <w:r>
              <w:rPr>
                <w:b/>
                <w:sz w:val="20"/>
                <w:szCs w:val="20"/>
                <w:lang w:val="en-US"/>
              </w:rPr>
              <w:t>4</w:t>
            </w:r>
            <w:r w:rsidRPr="0096546E">
              <w:rPr>
                <w:b/>
                <w:sz w:val="20"/>
                <w:szCs w:val="20"/>
                <w:lang w:val="en-US"/>
              </w:rPr>
              <w:t>/201</w:t>
            </w:r>
            <w:r>
              <w:rPr>
                <w:b/>
                <w:sz w:val="20"/>
                <w:szCs w:val="20"/>
                <w:lang w:val="en-US"/>
              </w:rPr>
              <w:t>9</w:t>
            </w:r>
            <w:r w:rsidRPr="0096546E">
              <w:rPr>
                <w:b/>
                <w:sz w:val="20"/>
                <w:szCs w:val="20"/>
                <w:lang w:val="en-US"/>
              </w:rPr>
              <w:t>)</w:t>
            </w:r>
          </w:p>
          <w:p w14:paraId="0BA8EE83" w14:textId="3BB9641C" w:rsidR="00435874" w:rsidRPr="0096546E" w:rsidRDefault="00435874" w:rsidP="000866A5">
            <w:pPr>
              <w:spacing w:before="60" w:after="60"/>
              <w:jc w:val="center"/>
              <w:rPr>
                <w:b/>
                <w:sz w:val="20"/>
                <w:szCs w:val="20"/>
              </w:rPr>
            </w:pPr>
            <w:r>
              <w:rPr>
                <w:b/>
                <w:sz w:val="20"/>
                <w:szCs w:val="20"/>
                <w:lang w:val="en-US"/>
              </w:rPr>
              <w:t>%</w:t>
            </w:r>
          </w:p>
        </w:tc>
      </w:tr>
      <w:tr w:rsidR="00FD197C" w:rsidRPr="0096546E" w14:paraId="4544B99E" w14:textId="77777777" w:rsidTr="009907D9">
        <w:tc>
          <w:tcPr>
            <w:tcW w:w="2703" w:type="pct"/>
            <w:gridSpan w:val="2"/>
            <w:vAlign w:val="center"/>
          </w:tcPr>
          <w:p w14:paraId="32FEC5C6" w14:textId="77777777" w:rsidR="00435874" w:rsidRPr="0096546E" w:rsidRDefault="00435874" w:rsidP="000866A5">
            <w:pPr>
              <w:spacing w:before="60" w:after="60"/>
              <w:rPr>
                <w:b/>
                <w:i/>
                <w:sz w:val="20"/>
                <w:szCs w:val="20"/>
                <w:u w:val="single"/>
              </w:rPr>
            </w:pPr>
            <w:r w:rsidRPr="0096546E">
              <w:rPr>
                <w:b/>
                <w:sz w:val="20"/>
                <w:szCs w:val="20"/>
                <w:u w:val="single"/>
                <w:lang w:val="en-US"/>
              </w:rPr>
              <w:t>ASSET VALUES AND WEIGHTS</w:t>
            </w:r>
          </w:p>
        </w:tc>
        <w:tc>
          <w:tcPr>
            <w:tcW w:w="629" w:type="pct"/>
            <w:vAlign w:val="center"/>
          </w:tcPr>
          <w:p w14:paraId="72F5FFD6" w14:textId="77777777" w:rsidR="00435874" w:rsidRPr="0096546E" w:rsidRDefault="00435874" w:rsidP="000866A5">
            <w:pPr>
              <w:spacing w:before="60" w:after="60"/>
              <w:jc w:val="center"/>
              <w:rPr>
                <w:b/>
                <w:i/>
                <w:sz w:val="20"/>
                <w:szCs w:val="20"/>
              </w:rPr>
            </w:pPr>
          </w:p>
        </w:tc>
        <w:tc>
          <w:tcPr>
            <w:tcW w:w="557" w:type="pct"/>
            <w:vAlign w:val="center"/>
          </w:tcPr>
          <w:p w14:paraId="6264BCCF" w14:textId="77777777" w:rsidR="00435874" w:rsidRPr="0096546E" w:rsidRDefault="00435874" w:rsidP="000866A5">
            <w:pPr>
              <w:spacing w:before="60" w:after="60"/>
              <w:jc w:val="center"/>
              <w:rPr>
                <w:b/>
                <w:i/>
                <w:sz w:val="20"/>
                <w:szCs w:val="20"/>
              </w:rPr>
            </w:pPr>
          </w:p>
        </w:tc>
        <w:tc>
          <w:tcPr>
            <w:tcW w:w="558" w:type="pct"/>
          </w:tcPr>
          <w:p w14:paraId="4DAC4C02" w14:textId="77777777" w:rsidR="00435874" w:rsidRPr="0096546E" w:rsidRDefault="00435874" w:rsidP="000866A5">
            <w:pPr>
              <w:spacing w:before="60" w:after="60"/>
              <w:jc w:val="center"/>
              <w:rPr>
                <w:b/>
                <w:i/>
                <w:sz w:val="20"/>
                <w:szCs w:val="20"/>
              </w:rPr>
            </w:pPr>
          </w:p>
        </w:tc>
        <w:tc>
          <w:tcPr>
            <w:tcW w:w="553" w:type="pct"/>
            <w:vAlign w:val="center"/>
          </w:tcPr>
          <w:p w14:paraId="65ECB766" w14:textId="77777777" w:rsidR="00435874" w:rsidRPr="0096546E" w:rsidRDefault="00435874" w:rsidP="000866A5">
            <w:pPr>
              <w:spacing w:before="60" w:after="60"/>
              <w:jc w:val="center"/>
              <w:rPr>
                <w:b/>
                <w:i/>
                <w:sz w:val="20"/>
                <w:szCs w:val="20"/>
              </w:rPr>
            </w:pPr>
          </w:p>
        </w:tc>
      </w:tr>
      <w:tr w:rsidR="00FD197C" w:rsidRPr="0096546E" w14:paraId="34A064E4" w14:textId="77777777" w:rsidTr="009907D9">
        <w:tc>
          <w:tcPr>
            <w:tcW w:w="1417" w:type="pct"/>
            <w:vAlign w:val="center"/>
          </w:tcPr>
          <w:p w14:paraId="7891BC02" w14:textId="77777777" w:rsidR="00435874" w:rsidRPr="0096546E" w:rsidRDefault="00435874" w:rsidP="000866A5">
            <w:pPr>
              <w:spacing w:before="60" w:after="60"/>
              <w:rPr>
                <w:b/>
                <w:i/>
                <w:sz w:val="20"/>
                <w:szCs w:val="20"/>
              </w:rPr>
            </w:pPr>
            <w:r w:rsidRPr="0096546E">
              <w:rPr>
                <w:b/>
                <w:i/>
                <w:sz w:val="20"/>
                <w:szCs w:val="20"/>
                <w:lang w:val="en-US"/>
              </w:rPr>
              <w:t>Australian Equities</w:t>
            </w:r>
          </w:p>
        </w:tc>
        <w:tc>
          <w:tcPr>
            <w:tcW w:w="1284" w:type="pct"/>
            <w:vAlign w:val="center"/>
          </w:tcPr>
          <w:p w14:paraId="09E6A239" w14:textId="77777777" w:rsidR="00435874" w:rsidRPr="0096546E" w:rsidRDefault="00435874" w:rsidP="000866A5">
            <w:pPr>
              <w:spacing w:before="60" w:after="60"/>
              <w:jc w:val="center"/>
              <w:rPr>
                <w:b/>
                <w:i/>
                <w:sz w:val="20"/>
                <w:szCs w:val="20"/>
              </w:rPr>
            </w:pPr>
          </w:p>
        </w:tc>
        <w:tc>
          <w:tcPr>
            <w:tcW w:w="629" w:type="pct"/>
            <w:vAlign w:val="center"/>
          </w:tcPr>
          <w:p w14:paraId="6FEA242B" w14:textId="77777777" w:rsidR="00435874" w:rsidRPr="0096546E" w:rsidRDefault="00435874" w:rsidP="000866A5">
            <w:pPr>
              <w:spacing w:before="60" w:after="60"/>
              <w:jc w:val="center"/>
              <w:rPr>
                <w:b/>
                <w:i/>
                <w:sz w:val="20"/>
                <w:szCs w:val="20"/>
              </w:rPr>
            </w:pPr>
          </w:p>
        </w:tc>
        <w:tc>
          <w:tcPr>
            <w:tcW w:w="557" w:type="pct"/>
            <w:vAlign w:val="center"/>
          </w:tcPr>
          <w:p w14:paraId="047A800F" w14:textId="77777777" w:rsidR="00435874" w:rsidRPr="0096546E" w:rsidRDefault="00435874" w:rsidP="000866A5">
            <w:pPr>
              <w:spacing w:before="60" w:after="60"/>
              <w:jc w:val="center"/>
              <w:rPr>
                <w:b/>
                <w:i/>
                <w:sz w:val="20"/>
                <w:szCs w:val="20"/>
              </w:rPr>
            </w:pPr>
          </w:p>
        </w:tc>
        <w:tc>
          <w:tcPr>
            <w:tcW w:w="558" w:type="pct"/>
          </w:tcPr>
          <w:p w14:paraId="6A8F6B6E" w14:textId="77777777" w:rsidR="00435874" w:rsidRPr="0096546E" w:rsidRDefault="00435874" w:rsidP="000866A5">
            <w:pPr>
              <w:spacing w:before="60" w:after="60"/>
              <w:jc w:val="center"/>
              <w:rPr>
                <w:b/>
                <w:i/>
                <w:sz w:val="20"/>
                <w:szCs w:val="20"/>
              </w:rPr>
            </w:pPr>
          </w:p>
        </w:tc>
        <w:tc>
          <w:tcPr>
            <w:tcW w:w="553" w:type="pct"/>
            <w:vAlign w:val="center"/>
          </w:tcPr>
          <w:p w14:paraId="1B194CB4" w14:textId="77777777" w:rsidR="00435874" w:rsidRPr="0096546E" w:rsidRDefault="00435874" w:rsidP="000866A5">
            <w:pPr>
              <w:spacing w:before="60" w:after="60"/>
              <w:jc w:val="center"/>
              <w:rPr>
                <w:b/>
                <w:i/>
                <w:sz w:val="20"/>
                <w:szCs w:val="20"/>
              </w:rPr>
            </w:pPr>
          </w:p>
        </w:tc>
      </w:tr>
      <w:tr w:rsidR="00FD197C" w:rsidRPr="0096546E" w14:paraId="47794AEF" w14:textId="77777777" w:rsidTr="009907D9">
        <w:tc>
          <w:tcPr>
            <w:tcW w:w="1417" w:type="pct"/>
            <w:vAlign w:val="center"/>
          </w:tcPr>
          <w:p w14:paraId="084B4DF5" w14:textId="77777777" w:rsidR="00435874" w:rsidRPr="0096546E" w:rsidRDefault="00435874" w:rsidP="000866A5">
            <w:pPr>
              <w:spacing w:before="60" w:after="60"/>
              <w:rPr>
                <w:sz w:val="20"/>
                <w:szCs w:val="20"/>
              </w:rPr>
            </w:pPr>
            <w:r w:rsidRPr="0096546E">
              <w:rPr>
                <w:sz w:val="20"/>
                <w:szCs w:val="20"/>
                <w:lang w:val="en-US"/>
              </w:rPr>
              <w:t>iShares Core S&amp;P/ASX 200</w:t>
            </w:r>
          </w:p>
        </w:tc>
        <w:tc>
          <w:tcPr>
            <w:tcW w:w="1284" w:type="pct"/>
            <w:vAlign w:val="center"/>
          </w:tcPr>
          <w:p w14:paraId="4BFA5C49" w14:textId="77777777" w:rsidR="00435874" w:rsidRPr="0096546E" w:rsidRDefault="00435874" w:rsidP="000866A5">
            <w:pPr>
              <w:spacing w:before="60" w:after="60"/>
              <w:jc w:val="center"/>
              <w:rPr>
                <w:sz w:val="20"/>
                <w:szCs w:val="20"/>
              </w:rPr>
            </w:pPr>
          </w:p>
        </w:tc>
        <w:tc>
          <w:tcPr>
            <w:tcW w:w="629" w:type="pct"/>
            <w:vAlign w:val="center"/>
          </w:tcPr>
          <w:p w14:paraId="5EB343C5" w14:textId="77777777" w:rsidR="00435874" w:rsidRPr="0096546E" w:rsidRDefault="00435874" w:rsidP="000866A5">
            <w:pPr>
              <w:spacing w:before="60" w:after="60"/>
              <w:jc w:val="center"/>
              <w:rPr>
                <w:sz w:val="20"/>
                <w:szCs w:val="20"/>
              </w:rPr>
            </w:pPr>
            <w:r w:rsidRPr="0096546E">
              <w:rPr>
                <w:sz w:val="20"/>
                <w:szCs w:val="20"/>
              </w:rPr>
              <w:t>372,114</w:t>
            </w:r>
          </w:p>
        </w:tc>
        <w:tc>
          <w:tcPr>
            <w:tcW w:w="557" w:type="pct"/>
            <w:vAlign w:val="center"/>
          </w:tcPr>
          <w:p w14:paraId="1E3BC1F2" w14:textId="23E97B3D" w:rsidR="00435874" w:rsidRPr="0096546E" w:rsidRDefault="00435874" w:rsidP="000866A5">
            <w:pPr>
              <w:spacing w:before="60" w:after="60"/>
              <w:jc w:val="center"/>
              <w:rPr>
                <w:sz w:val="20"/>
                <w:szCs w:val="20"/>
              </w:rPr>
            </w:pPr>
            <w:r w:rsidRPr="0096546E">
              <w:rPr>
                <w:sz w:val="20"/>
                <w:szCs w:val="20"/>
              </w:rPr>
              <w:t>3</w:t>
            </w:r>
            <w:r>
              <w:rPr>
                <w:sz w:val="20"/>
                <w:szCs w:val="20"/>
              </w:rPr>
              <w:t>2</w:t>
            </w:r>
            <w:r w:rsidR="00064032">
              <w:rPr>
                <w:sz w:val="20"/>
                <w:szCs w:val="20"/>
              </w:rPr>
              <w:t>4</w:t>
            </w:r>
            <w:r>
              <w:rPr>
                <w:sz w:val="20"/>
                <w:szCs w:val="20"/>
              </w:rPr>
              <w:t>,</w:t>
            </w:r>
            <w:r w:rsidR="00064032">
              <w:rPr>
                <w:sz w:val="20"/>
                <w:szCs w:val="20"/>
              </w:rPr>
              <w:t>003</w:t>
            </w:r>
          </w:p>
        </w:tc>
        <w:tc>
          <w:tcPr>
            <w:tcW w:w="558" w:type="pct"/>
          </w:tcPr>
          <w:p w14:paraId="758C3189" w14:textId="77777777" w:rsidR="00435874" w:rsidRPr="0096546E" w:rsidRDefault="00435874" w:rsidP="000866A5">
            <w:pPr>
              <w:spacing w:before="60" w:after="60"/>
              <w:jc w:val="center"/>
              <w:rPr>
                <w:sz w:val="20"/>
                <w:szCs w:val="20"/>
                <w:lang w:val="en-US"/>
              </w:rPr>
            </w:pPr>
          </w:p>
        </w:tc>
        <w:tc>
          <w:tcPr>
            <w:tcW w:w="553" w:type="pct"/>
            <w:vAlign w:val="center"/>
          </w:tcPr>
          <w:p w14:paraId="1E553FB2" w14:textId="78C796BD" w:rsidR="00435874" w:rsidRPr="0096546E" w:rsidRDefault="00435874" w:rsidP="000866A5">
            <w:pPr>
              <w:spacing w:before="60" w:after="60"/>
              <w:jc w:val="center"/>
              <w:rPr>
                <w:sz w:val="20"/>
                <w:szCs w:val="20"/>
              </w:rPr>
            </w:pPr>
            <w:r w:rsidRPr="0096546E">
              <w:rPr>
                <w:sz w:val="20"/>
                <w:szCs w:val="20"/>
                <w:lang w:val="en-US"/>
              </w:rPr>
              <w:t>4</w:t>
            </w:r>
            <w:r>
              <w:rPr>
                <w:sz w:val="20"/>
                <w:szCs w:val="20"/>
                <w:lang w:val="en-US"/>
              </w:rPr>
              <w:t>9.</w:t>
            </w:r>
            <w:r w:rsidR="00AA47ED">
              <w:rPr>
                <w:sz w:val="20"/>
                <w:szCs w:val="20"/>
                <w:lang w:val="en-US"/>
              </w:rPr>
              <w:t>8</w:t>
            </w:r>
          </w:p>
        </w:tc>
      </w:tr>
      <w:tr w:rsidR="0012519F" w:rsidRPr="0096546E" w14:paraId="0B6D01A0" w14:textId="77777777" w:rsidTr="009907D9">
        <w:tc>
          <w:tcPr>
            <w:tcW w:w="1417" w:type="pct"/>
            <w:vAlign w:val="center"/>
          </w:tcPr>
          <w:p w14:paraId="74F97B6B" w14:textId="20A44F7E" w:rsidR="0012519F" w:rsidRPr="0096546E" w:rsidRDefault="00F82EF9" w:rsidP="0012519F">
            <w:pPr>
              <w:spacing w:before="60" w:after="60"/>
              <w:rPr>
                <w:sz w:val="20"/>
                <w:szCs w:val="20"/>
                <w:lang w:val="en-US"/>
              </w:rPr>
            </w:pPr>
            <w:r w:rsidRPr="00591EE3">
              <w:rPr>
                <w:color w:val="000000"/>
                <w:sz w:val="20"/>
                <w:szCs w:val="20"/>
              </w:rPr>
              <w:t>Bingo Industries Limited</w:t>
            </w:r>
          </w:p>
        </w:tc>
        <w:tc>
          <w:tcPr>
            <w:tcW w:w="1284" w:type="pct"/>
            <w:vAlign w:val="center"/>
          </w:tcPr>
          <w:p w14:paraId="2200AD23" w14:textId="3DA4E7DE" w:rsidR="0012519F" w:rsidRPr="0096546E" w:rsidRDefault="0012519F" w:rsidP="0012519F">
            <w:pPr>
              <w:spacing w:before="60" w:after="60"/>
              <w:jc w:val="center"/>
              <w:rPr>
                <w:sz w:val="20"/>
                <w:szCs w:val="20"/>
                <w:lang w:val="en-US"/>
              </w:rPr>
            </w:pPr>
            <w:r w:rsidRPr="0096546E">
              <w:rPr>
                <w:sz w:val="20"/>
                <w:szCs w:val="20"/>
                <w:lang w:val="en-US"/>
              </w:rPr>
              <w:t>-</w:t>
            </w:r>
          </w:p>
        </w:tc>
        <w:tc>
          <w:tcPr>
            <w:tcW w:w="629" w:type="pct"/>
            <w:vAlign w:val="center"/>
          </w:tcPr>
          <w:p w14:paraId="0EFED589" w14:textId="7A60079D" w:rsidR="0012519F" w:rsidRPr="0096546E" w:rsidRDefault="0012519F" w:rsidP="0012519F">
            <w:pPr>
              <w:spacing w:before="60" w:after="60"/>
              <w:jc w:val="center"/>
              <w:rPr>
                <w:sz w:val="20"/>
                <w:szCs w:val="20"/>
              </w:rPr>
            </w:pPr>
            <w:r w:rsidRPr="0096546E">
              <w:rPr>
                <w:sz w:val="20"/>
                <w:szCs w:val="20"/>
              </w:rPr>
              <w:t>-</w:t>
            </w:r>
          </w:p>
        </w:tc>
        <w:tc>
          <w:tcPr>
            <w:tcW w:w="557" w:type="pct"/>
            <w:vAlign w:val="center"/>
          </w:tcPr>
          <w:p w14:paraId="615296A0" w14:textId="51110C51" w:rsidR="0012519F" w:rsidRDefault="0012519F" w:rsidP="0012519F">
            <w:pPr>
              <w:spacing w:before="60" w:after="60"/>
              <w:jc w:val="center"/>
              <w:rPr>
                <w:sz w:val="20"/>
                <w:szCs w:val="20"/>
              </w:rPr>
            </w:pPr>
            <w:r>
              <w:rPr>
                <w:sz w:val="20"/>
                <w:szCs w:val="20"/>
              </w:rPr>
              <w:t>18,211</w:t>
            </w:r>
          </w:p>
        </w:tc>
        <w:tc>
          <w:tcPr>
            <w:tcW w:w="558" w:type="pct"/>
          </w:tcPr>
          <w:p w14:paraId="38695842" w14:textId="77777777" w:rsidR="0012519F" w:rsidRPr="0096546E" w:rsidRDefault="0012519F" w:rsidP="0012519F">
            <w:pPr>
              <w:spacing w:before="60" w:after="60"/>
              <w:jc w:val="center"/>
              <w:rPr>
                <w:sz w:val="20"/>
                <w:szCs w:val="20"/>
                <w:lang w:val="en-US"/>
              </w:rPr>
            </w:pPr>
          </w:p>
        </w:tc>
        <w:tc>
          <w:tcPr>
            <w:tcW w:w="553" w:type="pct"/>
            <w:vAlign w:val="center"/>
          </w:tcPr>
          <w:p w14:paraId="3C6BB78A" w14:textId="16126A0D" w:rsidR="0012519F" w:rsidRDefault="0012519F" w:rsidP="0012519F">
            <w:pPr>
              <w:spacing w:before="60" w:after="60"/>
              <w:jc w:val="center"/>
              <w:rPr>
                <w:sz w:val="20"/>
                <w:szCs w:val="20"/>
                <w:lang w:val="en-US"/>
              </w:rPr>
            </w:pPr>
            <w:r>
              <w:rPr>
                <w:sz w:val="20"/>
                <w:szCs w:val="20"/>
                <w:lang w:val="en-US"/>
              </w:rPr>
              <w:t>2.8</w:t>
            </w:r>
          </w:p>
        </w:tc>
      </w:tr>
      <w:tr w:rsidR="00FD197C" w:rsidRPr="0096546E" w14:paraId="39BFC2A7" w14:textId="77777777" w:rsidTr="009907D9">
        <w:tc>
          <w:tcPr>
            <w:tcW w:w="1417" w:type="pct"/>
            <w:vAlign w:val="center"/>
          </w:tcPr>
          <w:p w14:paraId="4B35B90A" w14:textId="5A8A4E04" w:rsidR="00435874" w:rsidRPr="0096546E" w:rsidRDefault="00F82EF9" w:rsidP="000866A5">
            <w:pPr>
              <w:spacing w:before="60" w:after="60"/>
              <w:rPr>
                <w:sz w:val="20"/>
                <w:szCs w:val="20"/>
                <w:lang w:val="en-US"/>
              </w:rPr>
            </w:pPr>
            <w:r w:rsidRPr="00591EE3">
              <w:rPr>
                <w:color w:val="000000"/>
                <w:sz w:val="20"/>
                <w:szCs w:val="20"/>
              </w:rPr>
              <w:t>Rio Tinto Limited</w:t>
            </w:r>
          </w:p>
        </w:tc>
        <w:tc>
          <w:tcPr>
            <w:tcW w:w="1284" w:type="pct"/>
            <w:vAlign w:val="center"/>
          </w:tcPr>
          <w:p w14:paraId="67088EC5" w14:textId="77777777" w:rsidR="00435874" w:rsidRPr="0096546E" w:rsidRDefault="00435874" w:rsidP="000866A5">
            <w:pPr>
              <w:spacing w:before="60" w:after="60"/>
              <w:jc w:val="center"/>
              <w:rPr>
                <w:sz w:val="20"/>
                <w:szCs w:val="20"/>
                <w:lang w:val="en-US"/>
              </w:rPr>
            </w:pPr>
            <w:r w:rsidRPr="0096546E">
              <w:rPr>
                <w:sz w:val="20"/>
                <w:szCs w:val="20"/>
                <w:lang w:val="en-US"/>
              </w:rPr>
              <w:t>-</w:t>
            </w:r>
          </w:p>
        </w:tc>
        <w:tc>
          <w:tcPr>
            <w:tcW w:w="629" w:type="pct"/>
            <w:vAlign w:val="center"/>
          </w:tcPr>
          <w:p w14:paraId="4E5A091C" w14:textId="77777777" w:rsidR="00435874" w:rsidRPr="0096546E" w:rsidRDefault="00435874" w:rsidP="000866A5">
            <w:pPr>
              <w:spacing w:before="60" w:after="60"/>
              <w:jc w:val="center"/>
              <w:rPr>
                <w:sz w:val="20"/>
                <w:szCs w:val="20"/>
              </w:rPr>
            </w:pPr>
            <w:r w:rsidRPr="0096546E">
              <w:rPr>
                <w:sz w:val="20"/>
                <w:szCs w:val="20"/>
              </w:rPr>
              <w:t>-</w:t>
            </w:r>
          </w:p>
        </w:tc>
        <w:tc>
          <w:tcPr>
            <w:tcW w:w="557" w:type="pct"/>
            <w:vAlign w:val="center"/>
          </w:tcPr>
          <w:p w14:paraId="6F1C6670" w14:textId="3E29532F" w:rsidR="00435874" w:rsidRPr="0096546E" w:rsidRDefault="00D944FC" w:rsidP="000866A5">
            <w:pPr>
              <w:spacing w:before="60" w:after="60"/>
              <w:jc w:val="center"/>
              <w:rPr>
                <w:sz w:val="20"/>
                <w:szCs w:val="20"/>
              </w:rPr>
            </w:pPr>
            <w:r>
              <w:rPr>
                <w:sz w:val="20"/>
                <w:szCs w:val="20"/>
              </w:rPr>
              <w:t>11,569</w:t>
            </w:r>
          </w:p>
        </w:tc>
        <w:tc>
          <w:tcPr>
            <w:tcW w:w="558" w:type="pct"/>
          </w:tcPr>
          <w:p w14:paraId="2F92CCC7" w14:textId="77777777" w:rsidR="00435874" w:rsidRPr="0096546E" w:rsidRDefault="00435874" w:rsidP="000866A5">
            <w:pPr>
              <w:spacing w:before="60" w:after="60"/>
              <w:jc w:val="center"/>
              <w:rPr>
                <w:sz w:val="20"/>
                <w:szCs w:val="20"/>
                <w:lang w:val="en-US"/>
              </w:rPr>
            </w:pPr>
          </w:p>
        </w:tc>
        <w:tc>
          <w:tcPr>
            <w:tcW w:w="553" w:type="pct"/>
            <w:vAlign w:val="center"/>
          </w:tcPr>
          <w:p w14:paraId="2DC6ABF6" w14:textId="20A7DC74" w:rsidR="00435874" w:rsidRPr="0096546E" w:rsidRDefault="00D944FC" w:rsidP="000866A5">
            <w:pPr>
              <w:spacing w:before="60" w:after="60"/>
              <w:jc w:val="center"/>
              <w:rPr>
                <w:sz w:val="20"/>
                <w:szCs w:val="20"/>
                <w:lang w:val="en-US"/>
              </w:rPr>
            </w:pPr>
            <w:r>
              <w:rPr>
                <w:sz w:val="20"/>
                <w:szCs w:val="20"/>
                <w:lang w:val="en-US"/>
              </w:rPr>
              <w:t>1.8</w:t>
            </w:r>
          </w:p>
        </w:tc>
      </w:tr>
      <w:tr w:rsidR="0012519F" w:rsidRPr="0096546E" w14:paraId="5DBDEA2F" w14:textId="77777777" w:rsidTr="009907D9">
        <w:tc>
          <w:tcPr>
            <w:tcW w:w="1417" w:type="pct"/>
            <w:tcBorders>
              <w:bottom w:val="single" w:sz="4" w:space="0" w:color="auto"/>
            </w:tcBorders>
            <w:vAlign w:val="center"/>
          </w:tcPr>
          <w:p w14:paraId="0C9B42AF" w14:textId="06DFE6F8" w:rsidR="0012519F" w:rsidRPr="0096546E" w:rsidRDefault="00F82EF9" w:rsidP="0012519F">
            <w:pPr>
              <w:spacing w:before="60" w:after="60"/>
              <w:rPr>
                <w:sz w:val="20"/>
                <w:szCs w:val="20"/>
              </w:rPr>
            </w:pPr>
            <w:r w:rsidRPr="00591EE3">
              <w:rPr>
                <w:color w:val="000000"/>
                <w:sz w:val="20"/>
                <w:szCs w:val="20"/>
              </w:rPr>
              <w:t>Telstra Corporation Limited</w:t>
            </w:r>
          </w:p>
        </w:tc>
        <w:tc>
          <w:tcPr>
            <w:tcW w:w="1284" w:type="pct"/>
            <w:tcBorders>
              <w:bottom w:val="single" w:sz="4" w:space="0" w:color="auto"/>
            </w:tcBorders>
            <w:vAlign w:val="center"/>
          </w:tcPr>
          <w:p w14:paraId="3B59E806" w14:textId="0F6E7B51" w:rsidR="0012519F" w:rsidRPr="0096546E" w:rsidRDefault="0012519F" w:rsidP="0012519F">
            <w:pPr>
              <w:spacing w:before="60" w:after="60"/>
              <w:jc w:val="center"/>
              <w:rPr>
                <w:sz w:val="20"/>
                <w:szCs w:val="20"/>
              </w:rPr>
            </w:pPr>
            <w:r w:rsidRPr="0096546E">
              <w:rPr>
                <w:sz w:val="20"/>
                <w:szCs w:val="20"/>
                <w:lang w:val="en-US"/>
              </w:rPr>
              <w:t>-</w:t>
            </w:r>
          </w:p>
        </w:tc>
        <w:tc>
          <w:tcPr>
            <w:tcW w:w="629" w:type="pct"/>
            <w:tcBorders>
              <w:bottom w:val="single" w:sz="4" w:space="0" w:color="auto"/>
            </w:tcBorders>
            <w:vAlign w:val="center"/>
          </w:tcPr>
          <w:p w14:paraId="03270DB8" w14:textId="1C7D835B" w:rsidR="0012519F" w:rsidRPr="0096546E" w:rsidRDefault="0012519F" w:rsidP="0012519F">
            <w:pPr>
              <w:spacing w:before="60" w:after="60"/>
              <w:jc w:val="center"/>
              <w:rPr>
                <w:sz w:val="20"/>
                <w:szCs w:val="20"/>
              </w:rPr>
            </w:pPr>
            <w:r w:rsidRPr="0096546E">
              <w:rPr>
                <w:sz w:val="20"/>
                <w:szCs w:val="20"/>
              </w:rPr>
              <w:t>-</w:t>
            </w:r>
          </w:p>
        </w:tc>
        <w:tc>
          <w:tcPr>
            <w:tcW w:w="557" w:type="pct"/>
            <w:tcBorders>
              <w:bottom w:val="single" w:sz="4" w:space="0" w:color="auto"/>
            </w:tcBorders>
            <w:vAlign w:val="center"/>
          </w:tcPr>
          <w:p w14:paraId="0C45EFAA" w14:textId="62C10A3B" w:rsidR="0012519F" w:rsidRPr="0096546E" w:rsidRDefault="00D944FC" w:rsidP="0012519F">
            <w:pPr>
              <w:spacing w:before="60" w:after="60"/>
              <w:jc w:val="center"/>
              <w:rPr>
                <w:sz w:val="20"/>
                <w:szCs w:val="20"/>
              </w:rPr>
            </w:pPr>
            <w:r>
              <w:rPr>
                <w:sz w:val="20"/>
                <w:szCs w:val="20"/>
              </w:rPr>
              <w:t>29,548</w:t>
            </w:r>
          </w:p>
        </w:tc>
        <w:tc>
          <w:tcPr>
            <w:tcW w:w="558" w:type="pct"/>
            <w:tcBorders>
              <w:bottom w:val="single" w:sz="4" w:space="0" w:color="auto"/>
            </w:tcBorders>
          </w:tcPr>
          <w:p w14:paraId="7207F97D" w14:textId="77777777" w:rsidR="0012519F" w:rsidRPr="0096546E" w:rsidRDefault="0012519F" w:rsidP="0012519F">
            <w:pPr>
              <w:spacing w:before="60" w:after="60"/>
              <w:jc w:val="center"/>
              <w:rPr>
                <w:sz w:val="20"/>
                <w:szCs w:val="20"/>
                <w:lang w:val="en-US"/>
              </w:rPr>
            </w:pPr>
          </w:p>
        </w:tc>
        <w:tc>
          <w:tcPr>
            <w:tcW w:w="553" w:type="pct"/>
            <w:tcBorders>
              <w:bottom w:val="single" w:sz="4" w:space="0" w:color="auto"/>
            </w:tcBorders>
            <w:vAlign w:val="center"/>
          </w:tcPr>
          <w:p w14:paraId="36FB321A" w14:textId="33036924" w:rsidR="0012519F" w:rsidRPr="0096546E" w:rsidRDefault="00D944FC" w:rsidP="0012519F">
            <w:pPr>
              <w:spacing w:before="60" w:after="60"/>
              <w:jc w:val="center"/>
              <w:rPr>
                <w:sz w:val="20"/>
                <w:szCs w:val="20"/>
              </w:rPr>
            </w:pPr>
            <w:r>
              <w:rPr>
                <w:sz w:val="20"/>
                <w:szCs w:val="20"/>
                <w:lang w:val="en-US"/>
              </w:rPr>
              <w:t>4.</w:t>
            </w:r>
            <w:r w:rsidR="00AA47ED">
              <w:rPr>
                <w:sz w:val="20"/>
                <w:szCs w:val="20"/>
                <w:lang w:val="en-US"/>
              </w:rPr>
              <w:t>5</w:t>
            </w:r>
          </w:p>
        </w:tc>
      </w:tr>
      <w:tr w:rsidR="0012519F" w:rsidRPr="0096546E" w14:paraId="7FBDF278" w14:textId="77777777" w:rsidTr="009907D9">
        <w:tc>
          <w:tcPr>
            <w:tcW w:w="1417" w:type="pct"/>
            <w:tcBorders>
              <w:top w:val="single" w:sz="4" w:space="0" w:color="auto"/>
              <w:bottom w:val="single" w:sz="4" w:space="0" w:color="auto"/>
            </w:tcBorders>
            <w:vAlign w:val="center"/>
          </w:tcPr>
          <w:p w14:paraId="59CDE5A3" w14:textId="77777777" w:rsidR="0012519F" w:rsidRPr="0096546E" w:rsidRDefault="0012519F" w:rsidP="0012519F">
            <w:pPr>
              <w:spacing w:before="60" w:after="60"/>
              <w:rPr>
                <w:b/>
                <w:i/>
                <w:sz w:val="20"/>
                <w:szCs w:val="20"/>
              </w:rPr>
            </w:pPr>
            <w:r w:rsidRPr="0096546E">
              <w:rPr>
                <w:b/>
                <w:i/>
                <w:sz w:val="20"/>
                <w:szCs w:val="20"/>
              </w:rPr>
              <w:t>Total Australian Equities</w:t>
            </w:r>
          </w:p>
        </w:tc>
        <w:tc>
          <w:tcPr>
            <w:tcW w:w="1284" w:type="pct"/>
            <w:tcBorders>
              <w:top w:val="single" w:sz="4" w:space="0" w:color="auto"/>
              <w:bottom w:val="single" w:sz="4" w:space="0" w:color="auto"/>
            </w:tcBorders>
            <w:vAlign w:val="center"/>
          </w:tcPr>
          <w:p w14:paraId="4AEF92E1" w14:textId="157E2D86" w:rsidR="0012519F" w:rsidRPr="0096546E" w:rsidRDefault="0012519F" w:rsidP="0012519F">
            <w:pPr>
              <w:spacing w:before="60" w:after="60"/>
              <w:jc w:val="center"/>
              <w:rPr>
                <w:sz w:val="20"/>
                <w:szCs w:val="20"/>
              </w:rPr>
            </w:pPr>
            <w:r w:rsidRPr="0096546E">
              <w:rPr>
                <w:sz w:val="20"/>
                <w:szCs w:val="20"/>
                <w:lang w:val="en-US"/>
              </w:rPr>
              <w:t>iShares Core S&amp;P/ASX 200</w:t>
            </w:r>
          </w:p>
        </w:tc>
        <w:tc>
          <w:tcPr>
            <w:tcW w:w="629" w:type="pct"/>
            <w:tcBorders>
              <w:top w:val="single" w:sz="4" w:space="0" w:color="auto"/>
              <w:bottom w:val="single" w:sz="4" w:space="0" w:color="auto"/>
            </w:tcBorders>
            <w:vAlign w:val="center"/>
          </w:tcPr>
          <w:p w14:paraId="63E29475" w14:textId="77777777" w:rsidR="0012519F" w:rsidRPr="0096546E" w:rsidRDefault="0012519F" w:rsidP="0012519F">
            <w:pPr>
              <w:spacing w:before="60" w:after="60"/>
              <w:jc w:val="center"/>
              <w:rPr>
                <w:b/>
                <w:i/>
                <w:sz w:val="20"/>
                <w:szCs w:val="20"/>
              </w:rPr>
            </w:pPr>
          </w:p>
        </w:tc>
        <w:tc>
          <w:tcPr>
            <w:tcW w:w="557" w:type="pct"/>
            <w:tcBorders>
              <w:top w:val="single" w:sz="4" w:space="0" w:color="auto"/>
              <w:bottom w:val="single" w:sz="4" w:space="0" w:color="auto"/>
            </w:tcBorders>
            <w:vAlign w:val="center"/>
          </w:tcPr>
          <w:p w14:paraId="06663ABA" w14:textId="77777777" w:rsidR="0012519F" w:rsidRPr="0096546E" w:rsidRDefault="0012519F" w:rsidP="0012519F">
            <w:pPr>
              <w:spacing w:before="60" w:after="60"/>
              <w:jc w:val="center"/>
              <w:rPr>
                <w:b/>
                <w:i/>
                <w:sz w:val="20"/>
                <w:szCs w:val="20"/>
              </w:rPr>
            </w:pPr>
          </w:p>
        </w:tc>
        <w:tc>
          <w:tcPr>
            <w:tcW w:w="558" w:type="pct"/>
            <w:tcBorders>
              <w:top w:val="single" w:sz="4" w:space="0" w:color="auto"/>
              <w:bottom w:val="single" w:sz="4" w:space="0" w:color="auto"/>
            </w:tcBorders>
            <w:vAlign w:val="center"/>
          </w:tcPr>
          <w:p w14:paraId="1AE7AC77" w14:textId="77777777" w:rsidR="0012519F" w:rsidRPr="0096546E" w:rsidRDefault="0012519F" w:rsidP="0012519F">
            <w:pPr>
              <w:spacing w:before="60" w:after="60"/>
              <w:jc w:val="center"/>
              <w:rPr>
                <w:b/>
                <w:i/>
                <w:sz w:val="20"/>
                <w:szCs w:val="20"/>
              </w:rPr>
            </w:pPr>
            <w:r w:rsidRPr="0096546E">
              <w:rPr>
                <w:b/>
                <w:i/>
                <w:sz w:val="20"/>
                <w:szCs w:val="20"/>
              </w:rPr>
              <w:t>60</w:t>
            </w:r>
          </w:p>
        </w:tc>
        <w:tc>
          <w:tcPr>
            <w:tcW w:w="553" w:type="pct"/>
            <w:tcBorders>
              <w:top w:val="single" w:sz="4" w:space="0" w:color="auto"/>
              <w:bottom w:val="single" w:sz="4" w:space="0" w:color="auto"/>
            </w:tcBorders>
            <w:vAlign w:val="center"/>
          </w:tcPr>
          <w:p w14:paraId="44D0223A" w14:textId="19AF0F3F" w:rsidR="0012519F" w:rsidRPr="0096546E" w:rsidRDefault="0012519F" w:rsidP="0012519F">
            <w:pPr>
              <w:spacing w:before="60" w:after="60"/>
              <w:jc w:val="center"/>
              <w:rPr>
                <w:b/>
                <w:i/>
                <w:sz w:val="20"/>
                <w:szCs w:val="20"/>
              </w:rPr>
            </w:pPr>
            <w:r w:rsidRPr="0096546E">
              <w:rPr>
                <w:b/>
                <w:i/>
                <w:sz w:val="20"/>
                <w:szCs w:val="20"/>
              </w:rPr>
              <w:t>5</w:t>
            </w:r>
            <w:r w:rsidR="00AA47ED">
              <w:rPr>
                <w:b/>
                <w:i/>
                <w:sz w:val="20"/>
                <w:szCs w:val="20"/>
              </w:rPr>
              <w:t>8</w:t>
            </w:r>
            <w:r w:rsidR="00D944FC">
              <w:rPr>
                <w:b/>
                <w:i/>
                <w:sz w:val="20"/>
                <w:szCs w:val="20"/>
              </w:rPr>
              <w:t>.</w:t>
            </w:r>
            <w:r w:rsidR="00AA47ED">
              <w:rPr>
                <w:b/>
                <w:i/>
                <w:sz w:val="20"/>
                <w:szCs w:val="20"/>
              </w:rPr>
              <w:t>9</w:t>
            </w:r>
          </w:p>
        </w:tc>
      </w:tr>
      <w:tr w:rsidR="0012519F" w:rsidRPr="0096546E" w14:paraId="54C77058" w14:textId="77777777" w:rsidTr="009907D9">
        <w:tc>
          <w:tcPr>
            <w:tcW w:w="1417" w:type="pct"/>
            <w:vAlign w:val="center"/>
          </w:tcPr>
          <w:p w14:paraId="7E608C84" w14:textId="77777777" w:rsidR="0012519F" w:rsidRPr="0096546E" w:rsidRDefault="0012519F" w:rsidP="0012519F">
            <w:pPr>
              <w:spacing w:before="120" w:after="60"/>
              <w:rPr>
                <w:b/>
                <w:i/>
                <w:sz w:val="20"/>
                <w:szCs w:val="20"/>
              </w:rPr>
            </w:pPr>
            <w:r w:rsidRPr="0096546E">
              <w:rPr>
                <w:b/>
                <w:i/>
                <w:sz w:val="20"/>
                <w:szCs w:val="20"/>
              </w:rPr>
              <w:t>International Equities</w:t>
            </w:r>
          </w:p>
        </w:tc>
        <w:tc>
          <w:tcPr>
            <w:tcW w:w="1284" w:type="pct"/>
            <w:vAlign w:val="center"/>
          </w:tcPr>
          <w:p w14:paraId="58FBB16B" w14:textId="77777777" w:rsidR="0012519F" w:rsidRPr="0096546E" w:rsidRDefault="0012519F" w:rsidP="0012519F">
            <w:pPr>
              <w:spacing w:before="120" w:after="60"/>
              <w:jc w:val="center"/>
              <w:rPr>
                <w:b/>
                <w:i/>
                <w:sz w:val="20"/>
                <w:szCs w:val="20"/>
              </w:rPr>
            </w:pPr>
          </w:p>
        </w:tc>
        <w:tc>
          <w:tcPr>
            <w:tcW w:w="629" w:type="pct"/>
            <w:vAlign w:val="center"/>
          </w:tcPr>
          <w:p w14:paraId="4AD22D50" w14:textId="77777777" w:rsidR="0012519F" w:rsidRPr="0096546E" w:rsidRDefault="0012519F" w:rsidP="0012519F">
            <w:pPr>
              <w:spacing w:before="120" w:after="60"/>
              <w:jc w:val="center"/>
              <w:rPr>
                <w:b/>
                <w:i/>
                <w:sz w:val="20"/>
                <w:szCs w:val="20"/>
              </w:rPr>
            </w:pPr>
          </w:p>
        </w:tc>
        <w:tc>
          <w:tcPr>
            <w:tcW w:w="557" w:type="pct"/>
            <w:vAlign w:val="center"/>
          </w:tcPr>
          <w:p w14:paraId="7C212EED" w14:textId="77777777" w:rsidR="0012519F" w:rsidRPr="0096546E" w:rsidRDefault="0012519F" w:rsidP="0012519F">
            <w:pPr>
              <w:spacing w:before="120" w:after="60"/>
              <w:jc w:val="center"/>
              <w:rPr>
                <w:b/>
                <w:i/>
                <w:sz w:val="20"/>
                <w:szCs w:val="20"/>
              </w:rPr>
            </w:pPr>
          </w:p>
        </w:tc>
        <w:tc>
          <w:tcPr>
            <w:tcW w:w="558" w:type="pct"/>
          </w:tcPr>
          <w:p w14:paraId="20122446" w14:textId="77777777" w:rsidR="0012519F" w:rsidRPr="0096546E" w:rsidRDefault="0012519F" w:rsidP="0012519F">
            <w:pPr>
              <w:spacing w:before="120" w:after="60"/>
              <w:jc w:val="center"/>
              <w:rPr>
                <w:b/>
                <w:i/>
                <w:sz w:val="20"/>
                <w:szCs w:val="20"/>
              </w:rPr>
            </w:pPr>
          </w:p>
        </w:tc>
        <w:tc>
          <w:tcPr>
            <w:tcW w:w="553" w:type="pct"/>
            <w:vAlign w:val="center"/>
          </w:tcPr>
          <w:p w14:paraId="730653BD" w14:textId="77777777" w:rsidR="0012519F" w:rsidRPr="0096546E" w:rsidRDefault="0012519F" w:rsidP="0012519F">
            <w:pPr>
              <w:spacing w:before="120" w:after="60"/>
              <w:jc w:val="center"/>
              <w:rPr>
                <w:b/>
                <w:i/>
                <w:sz w:val="20"/>
                <w:szCs w:val="20"/>
              </w:rPr>
            </w:pPr>
          </w:p>
        </w:tc>
      </w:tr>
      <w:tr w:rsidR="0012519F" w:rsidRPr="0096546E" w14:paraId="566C2E71" w14:textId="77777777" w:rsidTr="009907D9">
        <w:tc>
          <w:tcPr>
            <w:tcW w:w="1417" w:type="pct"/>
            <w:vAlign w:val="center"/>
          </w:tcPr>
          <w:p w14:paraId="022DD563" w14:textId="77777777" w:rsidR="0012519F" w:rsidRPr="0096546E" w:rsidRDefault="0012519F" w:rsidP="0012519F">
            <w:pPr>
              <w:spacing w:before="60" w:after="60"/>
              <w:rPr>
                <w:sz w:val="20"/>
                <w:szCs w:val="20"/>
              </w:rPr>
            </w:pPr>
            <w:r w:rsidRPr="0096546E">
              <w:rPr>
                <w:sz w:val="20"/>
                <w:szCs w:val="20"/>
                <w:lang w:val="en-US"/>
              </w:rPr>
              <w:t>International Equities, Unhedged</w:t>
            </w:r>
          </w:p>
        </w:tc>
        <w:tc>
          <w:tcPr>
            <w:tcW w:w="1284" w:type="pct"/>
            <w:vAlign w:val="center"/>
          </w:tcPr>
          <w:p w14:paraId="335FDC48" w14:textId="77777777" w:rsidR="0012519F" w:rsidRPr="0096546E" w:rsidRDefault="0012519F" w:rsidP="0012519F">
            <w:pPr>
              <w:spacing w:before="60" w:after="60"/>
              <w:jc w:val="center"/>
              <w:rPr>
                <w:sz w:val="20"/>
                <w:szCs w:val="20"/>
              </w:rPr>
            </w:pPr>
            <w:r w:rsidRPr="0096546E">
              <w:rPr>
                <w:sz w:val="20"/>
                <w:szCs w:val="20"/>
                <w:lang w:val="en-US"/>
              </w:rPr>
              <w:t>Vanguard International Shares Index</w:t>
            </w:r>
          </w:p>
        </w:tc>
        <w:tc>
          <w:tcPr>
            <w:tcW w:w="629" w:type="pct"/>
            <w:vAlign w:val="center"/>
          </w:tcPr>
          <w:p w14:paraId="7F927B2A" w14:textId="77777777" w:rsidR="0012519F" w:rsidRPr="0096546E" w:rsidRDefault="0012519F" w:rsidP="0012519F">
            <w:pPr>
              <w:spacing w:before="60" w:after="60"/>
              <w:jc w:val="center"/>
              <w:rPr>
                <w:sz w:val="20"/>
                <w:szCs w:val="20"/>
              </w:rPr>
            </w:pPr>
            <w:r w:rsidRPr="0096546E">
              <w:rPr>
                <w:sz w:val="20"/>
                <w:szCs w:val="20"/>
              </w:rPr>
              <w:t>61,974</w:t>
            </w:r>
          </w:p>
        </w:tc>
        <w:tc>
          <w:tcPr>
            <w:tcW w:w="557" w:type="pct"/>
            <w:vAlign w:val="center"/>
          </w:tcPr>
          <w:p w14:paraId="318BF644" w14:textId="349A6472" w:rsidR="0012519F" w:rsidRPr="0096546E" w:rsidRDefault="0012519F" w:rsidP="0012519F">
            <w:pPr>
              <w:spacing w:before="60" w:after="60"/>
              <w:jc w:val="center"/>
              <w:rPr>
                <w:sz w:val="20"/>
                <w:szCs w:val="20"/>
              </w:rPr>
            </w:pPr>
            <w:r w:rsidRPr="0096546E">
              <w:rPr>
                <w:sz w:val="20"/>
                <w:szCs w:val="20"/>
              </w:rPr>
              <w:t>6</w:t>
            </w:r>
            <w:r>
              <w:rPr>
                <w:sz w:val="20"/>
                <w:szCs w:val="20"/>
              </w:rPr>
              <w:t>8,949</w:t>
            </w:r>
          </w:p>
        </w:tc>
        <w:tc>
          <w:tcPr>
            <w:tcW w:w="558" w:type="pct"/>
            <w:vAlign w:val="center"/>
          </w:tcPr>
          <w:p w14:paraId="617359DB" w14:textId="77777777" w:rsidR="0012519F" w:rsidRPr="0096546E" w:rsidRDefault="0012519F" w:rsidP="0012519F">
            <w:pPr>
              <w:spacing w:before="60" w:after="60"/>
              <w:jc w:val="center"/>
              <w:rPr>
                <w:sz w:val="20"/>
                <w:szCs w:val="20"/>
                <w:lang w:val="en-US"/>
              </w:rPr>
            </w:pPr>
            <w:r w:rsidRPr="0096546E">
              <w:rPr>
                <w:sz w:val="20"/>
                <w:szCs w:val="20"/>
                <w:lang w:val="en-US"/>
              </w:rPr>
              <w:t>10</w:t>
            </w:r>
          </w:p>
        </w:tc>
        <w:tc>
          <w:tcPr>
            <w:tcW w:w="553" w:type="pct"/>
            <w:vAlign w:val="center"/>
          </w:tcPr>
          <w:p w14:paraId="214B0785" w14:textId="640EC0C9" w:rsidR="0012519F" w:rsidRPr="0096546E" w:rsidRDefault="0012519F" w:rsidP="0012519F">
            <w:pPr>
              <w:spacing w:before="60" w:after="60"/>
              <w:jc w:val="center"/>
              <w:rPr>
                <w:sz w:val="20"/>
                <w:szCs w:val="20"/>
              </w:rPr>
            </w:pPr>
            <w:r w:rsidRPr="0096546E">
              <w:rPr>
                <w:sz w:val="20"/>
                <w:szCs w:val="20"/>
                <w:lang w:val="en-US"/>
              </w:rPr>
              <w:t>10.</w:t>
            </w:r>
            <w:r>
              <w:rPr>
                <w:sz w:val="20"/>
                <w:szCs w:val="20"/>
                <w:lang w:val="en-US"/>
              </w:rPr>
              <w:t>6</w:t>
            </w:r>
          </w:p>
        </w:tc>
      </w:tr>
      <w:tr w:rsidR="0012519F" w:rsidRPr="0096546E" w14:paraId="2E7B5B5E" w14:textId="77777777" w:rsidTr="009907D9">
        <w:tc>
          <w:tcPr>
            <w:tcW w:w="1417" w:type="pct"/>
            <w:tcBorders>
              <w:bottom w:val="single" w:sz="4" w:space="0" w:color="auto"/>
            </w:tcBorders>
            <w:vAlign w:val="center"/>
          </w:tcPr>
          <w:p w14:paraId="0F3E7693" w14:textId="69C6D15C" w:rsidR="0012519F" w:rsidRPr="0096546E" w:rsidRDefault="0012519F" w:rsidP="0012519F">
            <w:pPr>
              <w:spacing w:before="60" w:after="60"/>
              <w:rPr>
                <w:sz w:val="20"/>
                <w:szCs w:val="20"/>
              </w:rPr>
            </w:pPr>
            <w:r w:rsidRPr="0096546E">
              <w:rPr>
                <w:sz w:val="20"/>
                <w:szCs w:val="20"/>
                <w:lang w:val="en-US"/>
              </w:rPr>
              <w:t xml:space="preserve">International Equities, </w:t>
            </w:r>
            <w:r>
              <w:rPr>
                <w:sz w:val="20"/>
                <w:szCs w:val="20"/>
                <w:lang w:val="en-US"/>
              </w:rPr>
              <w:t xml:space="preserve">    </w:t>
            </w:r>
            <w:r w:rsidRPr="0096546E">
              <w:rPr>
                <w:sz w:val="20"/>
                <w:szCs w:val="20"/>
                <w:lang w:val="en-US"/>
              </w:rPr>
              <w:t>Hedged</w:t>
            </w:r>
          </w:p>
        </w:tc>
        <w:tc>
          <w:tcPr>
            <w:tcW w:w="1284" w:type="pct"/>
            <w:tcBorders>
              <w:bottom w:val="single" w:sz="4" w:space="0" w:color="auto"/>
            </w:tcBorders>
            <w:vAlign w:val="center"/>
          </w:tcPr>
          <w:p w14:paraId="6A57B0DA" w14:textId="77777777" w:rsidR="0012519F" w:rsidRPr="0096546E" w:rsidRDefault="0012519F" w:rsidP="0012519F">
            <w:pPr>
              <w:spacing w:before="60" w:after="60"/>
              <w:jc w:val="center"/>
              <w:rPr>
                <w:sz w:val="20"/>
                <w:szCs w:val="20"/>
              </w:rPr>
            </w:pPr>
            <w:r w:rsidRPr="0096546E">
              <w:rPr>
                <w:sz w:val="20"/>
                <w:szCs w:val="20"/>
                <w:lang w:val="en-US"/>
              </w:rPr>
              <w:t>Vanguard International Shares Index, Hedged</w:t>
            </w:r>
          </w:p>
        </w:tc>
        <w:tc>
          <w:tcPr>
            <w:tcW w:w="629" w:type="pct"/>
            <w:tcBorders>
              <w:bottom w:val="single" w:sz="4" w:space="0" w:color="auto"/>
            </w:tcBorders>
            <w:vAlign w:val="center"/>
          </w:tcPr>
          <w:p w14:paraId="41289807" w14:textId="77777777" w:rsidR="0012519F" w:rsidRPr="0096546E" w:rsidRDefault="0012519F" w:rsidP="0012519F">
            <w:pPr>
              <w:spacing w:before="60" w:after="60"/>
              <w:jc w:val="center"/>
              <w:rPr>
                <w:sz w:val="20"/>
                <w:szCs w:val="20"/>
              </w:rPr>
            </w:pPr>
            <w:r w:rsidRPr="0096546E">
              <w:rPr>
                <w:sz w:val="20"/>
                <w:szCs w:val="20"/>
              </w:rPr>
              <w:t>62,190</w:t>
            </w:r>
          </w:p>
        </w:tc>
        <w:tc>
          <w:tcPr>
            <w:tcW w:w="557" w:type="pct"/>
            <w:tcBorders>
              <w:bottom w:val="single" w:sz="4" w:space="0" w:color="auto"/>
            </w:tcBorders>
            <w:vAlign w:val="center"/>
          </w:tcPr>
          <w:p w14:paraId="4D5D0F8C" w14:textId="5A038781" w:rsidR="0012519F" w:rsidRPr="0096546E" w:rsidRDefault="0012519F" w:rsidP="0012519F">
            <w:pPr>
              <w:spacing w:before="60" w:after="60"/>
              <w:jc w:val="center"/>
              <w:rPr>
                <w:sz w:val="20"/>
                <w:szCs w:val="20"/>
              </w:rPr>
            </w:pPr>
            <w:r w:rsidRPr="0096546E">
              <w:rPr>
                <w:sz w:val="20"/>
                <w:szCs w:val="20"/>
              </w:rPr>
              <w:t>6</w:t>
            </w:r>
            <w:r>
              <w:rPr>
                <w:sz w:val="20"/>
                <w:szCs w:val="20"/>
              </w:rPr>
              <w:t>6</w:t>
            </w:r>
            <w:r w:rsidRPr="0096546E">
              <w:rPr>
                <w:sz w:val="20"/>
                <w:szCs w:val="20"/>
              </w:rPr>
              <w:t>,</w:t>
            </w:r>
            <w:r>
              <w:rPr>
                <w:sz w:val="20"/>
                <w:szCs w:val="20"/>
              </w:rPr>
              <w:t>290</w:t>
            </w:r>
          </w:p>
        </w:tc>
        <w:tc>
          <w:tcPr>
            <w:tcW w:w="558" w:type="pct"/>
            <w:tcBorders>
              <w:bottom w:val="single" w:sz="4" w:space="0" w:color="auto"/>
            </w:tcBorders>
            <w:vAlign w:val="center"/>
          </w:tcPr>
          <w:p w14:paraId="062A40E2" w14:textId="77777777" w:rsidR="0012519F" w:rsidRPr="0096546E" w:rsidRDefault="0012519F" w:rsidP="0012519F">
            <w:pPr>
              <w:spacing w:before="60" w:after="60"/>
              <w:jc w:val="center"/>
              <w:rPr>
                <w:sz w:val="20"/>
                <w:szCs w:val="20"/>
                <w:lang w:val="en-US"/>
              </w:rPr>
            </w:pPr>
            <w:r w:rsidRPr="0096546E">
              <w:rPr>
                <w:sz w:val="20"/>
                <w:szCs w:val="20"/>
                <w:lang w:val="en-US"/>
              </w:rPr>
              <w:t>10</w:t>
            </w:r>
          </w:p>
        </w:tc>
        <w:tc>
          <w:tcPr>
            <w:tcW w:w="553" w:type="pct"/>
            <w:tcBorders>
              <w:bottom w:val="single" w:sz="4" w:space="0" w:color="auto"/>
            </w:tcBorders>
            <w:vAlign w:val="center"/>
          </w:tcPr>
          <w:p w14:paraId="1E07DB78" w14:textId="0FE88AD6" w:rsidR="0012519F" w:rsidRPr="0096546E" w:rsidRDefault="0012519F" w:rsidP="0012519F">
            <w:pPr>
              <w:spacing w:before="60" w:after="60"/>
              <w:jc w:val="center"/>
              <w:rPr>
                <w:sz w:val="20"/>
                <w:szCs w:val="20"/>
              </w:rPr>
            </w:pPr>
            <w:r>
              <w:rPr>
                <w:sz w:val="20"/>
                <w:szCs w:val="20"/>
                <w:lang w:val="en-US"/>
              </w:rPr>
              <w:t>10.2</w:t>
            </w:r>
          </w:p>
        </w:tc>
      </w:tr>
      <w:tr w:rsidR="0012519F" w:rsidRPr="0096546E" w14:paraId="4224EFD1" w14:textId="77777777" w:rsidTr="009907D9">
        <w:tc>
          <w:tcPr>
            <w:tcW w:w="1417" w:type="pct"/>
            <w:tcBorders>
              <w:top w:val="single" w:sz="4" w:space="0" w:color="auto"/>
              <w:bottom w:val="single" w:sz="4" w:space="0" w:color="auto"/>
            </w:tcBorders>
            <w:vAlign w:val="center"/>
          </w:tcPr>
          <w:p w14:paraId="4D6CF7A5" w14:textId="77777777" w:rsidR="0012519F" w:rsidRPr="0096546E" w:rsidRDefault="0012519F" w:rsidP="0012519F">
            <w:pPr>
              <w:spacing w:before="60" w:after="60"/>
              <w:rPr>
                <w:b/>
                <w:i/>
                <w:sz w:val="20"/>
                <w:szCs w:val="20"/>
              </w:rPr>
            </w:pPr>
            <w:r w:rsidRPr="0096546E">
              <w:rPr>
                <w:b/>
                <w:i/>
                <w:sz w:val="20"/>
                <w:szCs w:val="20"/>
              </w:rPr>
              <w:t>Total International Equities</w:t>
            </w:r>
          </w:p>
        </w:tc>
        <w:tc>
          <w:tcPr>
            <w:tcW w:w="1284" w:type="pct"/>
            <w:tcBorders>
              <w:top w:val="single" w:sz="4" w:space="0" w:color="auto"/>
              <w:bottom w:val="single" w:sz="4" w:space="0" w:color="auto"/>
            </w:tcBorders>
            <w:vAlign w:val="center"/>
          </w:tcPr>
          <w:p w14:paraId="68654E41" w14:textId="77777777" w:rsidR="0012519F" w:rsidRPr="0096546E" w:rsidRDefault="0012519F" w:rsidP="0012519F">
            <w:pPr>
              <w:spacing w:before="60" w:after="60"/>
              <w:jc w:val="center"/>
              <w:rPr>
                <w:b/>
                <w:i/>
                <w:sz w:val="20"/>
                <w:szCs w:val="20"/>
              </w:rPr>
            </w:pPr>
          </w:p>
        </w:tc>
        <w:tc>
          <w:tcPr>
            <w:tcW w:w="629" w:type="pct"/>
            <w:tcBorders>
              <w:top w:val="single" w:sz="4" w:space="0" w:color="auto"/>
              <w:bottom w:val="single" w:sz="4" w:space="0" w:color="auto"/>
            </w:tcBorders>
            <w:vAlign w:val="center"/>
          </w:tcPr>
          <w:p w14:paraId="1178013D" w14:textId="77777777" w:rsidR="0012519F" w:rsidRPr="0096546E" w:rsidRDefault="0012519F" w:rsidP="0012519F">
            <w:pPr>
              <w:spacing w:before="60" w:after="60"/>
              <w:jc w:val="center"/>
              <w:rPr>
                <w:b/>
                <w:i/>
                <w:sz w:val="20"/>
                <w:szCs w:val="20"/>
              </w:rPr>
            </w:pPr>
          </w:p>
        </w:tc>
        <w:tc>
          <w:tcPr>
            <w:tcW w:w="557" w:type="pct"/>
            <w:tcBorders>
              <w:top w:val="single" w:sz="4" w:space="0" w:color="auto"/>
              <w:bottom w:val="single" w:sz="4" w:space="0" w:color="auto"/>
            </w:tcBorders>
            <w:vAlign w:val="center"/>
          </w:tcPr>
          <w:p w14:paraId="43D42AAC" w14:textId="77777777" w:rsidR="0012519F" w:rsidRPr="0096546E" w:rsidRDefault="0012519F" w:rsidP="0012519F">
            <w:pPr>
              <w:spacing w:before="60" w:after="60"/>
              <w:jc w:val="center"/>
              <w:rPr>
                <w:b/>
                <w:i/>
                <w:sz w:val="20"/>
                <w:szCs w:val="20"/>
              </w:rPr>
            </w:pPr>
          </w:p>
        </w:tc>
        <w:tc>
          <w:tcPr>
            <w:tcW w:w="558" w:type="pct"/>
            <w:tcBorders>
              <w:top w:val="single" w:sz="4" w:space="0" w:color="auto"/>
              <w:bottom w:val="single" w:sz="4" w:space="0" w:color="auto"/>
            </w:tcBorders>
            <w:vAlign w:val="center"/>
          </w:tcPr>
          <w:p w14:paraId="3D75D416" w14:textId="77777777" w:rsidR="0012519F" w:rsidRPr="0096546E" w:rsidRDefault="0012519F" w:rsidP="0012519F">
            <w:pPr>
              <w:spacing w:before="60" w:after="60"/>
              <w:jc w:val="center"/>
              <w:rPr>
                <w:b/>
                <w:i/>
                <w:sz w:val="20"/>
                <w:szCs w:val="20"/>
              </w:rPr>
            </w:pPr>
            <w:r w:rsidRPr="0096546E">
              <w:rPr>
                <w:b/>
                <w:i/>
                <w:sz w:val="20"/>
                <w:szCs w:val="20"/>
              </w:rPr>
              <w:t>20</w:t>
            </w:r>
          </w:p>
        </w:tc>
        <w:tc>
          <w:tcPr>
            <w:tcW w:w="553" w:type="pct"/>
            <w:tcBorders>
              <w:top w:val="single" w:sz="4" w:space="0" w:color="auto"/>
              <w:bottom w:val="single" w:sz="4" w:space="0" w:color="auto"/>
            </w:tcBorders>
            <w:vAlign w:val="center"/>
          </w:tcPr>
          <w:p w14:paraId="6C563465" w14:textId="10FCADB4" w:rsidR="0012519F" w:rsidRPr="0096546E" w:rsidRDefault="0012519F" w:rsidP="0012519F">
            <w:pPr>
              <w:spacing w:before="60" w:after="60"/>
              <w:jc w:val="center"/>
              <w:rPr>
                <w:b/>
                <w:i/>
                <w:sz w:val="20"/>
                <w:szCs w:val="20"/>
              </w:rPr>
            </w:pPr>
            <w:r w:rsidRPr="0096546E">
              <w:rPr>
                <w:b/>
                <w:i/>
                <w:sz w:val="20"/>
                <w:szCs w:val="20"/>
              </w:rPr>
              <w:t>20.</w:t>
            </w:r>
            <w:r>
              <w:rPr>
                <w:b/>
                <w:i/>
                <w:sz w:val="20"/>
                <w:szCs w:val="20"/>
              </w:rPr>
              <w:t>8</w:t>
            </w:r>
          </w:p>
        </w:tc>
      </w:tr>
      <w:tr w:rsidR="0012519F" w:rsidRPr="0096546E" w14:paraId="7FD31D07" w14:textId="77777777" w:rsidTr="009907D9">
        <w:tc>
          <w:tcPr>
            <w:tcW w:w="1417" w:type="pct"/>
            <w:tcBorders>
              <w:top w:val="single" w:sz="4" w:space="0" w:color="auto"/>
              <w:bottom w:val="single" w:sz="4" w:space="0" w:color="auto"/>
            </w:tcBorders>
            <w:vAlign w:val="center"/>
          </w:tcPr>
          <w:p w14:paraId="1E10F8C6" w14:textId="77777777" w:rsidR="0012519F" w:rsidRPr="0096546E" w:rsidRDefault="0012519F" w:rsidP="0012519F">
            <w:pPr>
              <w:spacing w:before="60" w:after="60"/>
              <w:rPr>
                <w:b/>
                <w:sz w:val="20"/>
                <w:szCs w:val="20"/>
              </w:rPr>
            </w:pPr>
            <w:r w:rsidRPr="0096546E">
              <w:rPr>
                <w:b/>
                <w:sz w:val="20"/>
                <w:szCs w:val="20"/>
              </w:rPr>
              <w:t>Total Equities</w:t>
            </w:r>
          </w:p>
        </w:tc>
        <w:tc>
          <w:tcPr>
            <w:tcW w:w="1284" w:type="pct"/>
            <w:tcBorders>
              <w:top w:val="single" w:sz="4" w:space="0" w:color="auto"/>
              <w:bottom w:val="single" w:sz="4" w:space="0" w:color="auto"/>
            </w:tcBorders>
            <w:vAlign w:val="center"/>
          </w:tcPr>
          <w:p w14:paraId="0C248139" w14:textId="77777777" w:rsidR="0012519F" w:rsidRPr="0096546E" w:rsidRDefault="0012519F" w:rsidP="0012519F">
            <w:pPr>
              <w:spacing w:before="60" w:after="60"/>
              <w:jc w:val="center"/>
              <w:rPr>
                <w:b/>
                <w:sz w:val="20"/>
                <w:szCs w:val="20"/>
              </w:rPr>
            </w:pPr>
          </w:p>
        </w:tc>
        <w:tc>
          <w:tcPr>
            <w:tcW w:w="629" w:type="pct"/>
            <w:tcBorders>
              <w:top w:val="single" w:sz="4" w:space="0" w:color="auto"/>
              <w:bottom w:val="single" w:sz="4" w:space="0" w:color="auto"/>
            </w:tcBorders>
            <w:vAlign w:val="center"/>
          </w:tcPr>
          <w:p w14:paraId="6F7E3182" w14:textId="77777777" w:rsidR="0012519F" w:rsidRPr="0096546E" w:rsidRDefault="0012519F" w:rsidP="0012519F">
            <w:pPr>
              <w:spacing w:before="60" w:after="60"/>
              <w:jc w:val="center"/>
              <w:rPr>
                <w:b/>
                <w:sz w:val="20"/>
                <w:szCs w:val="20"/>
              </w:rPr>
            </w:pPr>
          </w:p>
        </w:tc>
        <w:tc>
          <w:tcPr>
            <w:tcW w:w="557" w:type="pct"/>
            <w:tcBorders>
              <w:top w:val="single" w:sz="4" w:space="0" w:color="auto"/>
              <w:bottom w:val="single" w:sz="4" w:space="0" w:color="auto"/>
            </w:tcBorders>
            <w:vAlign w:val="center"/>
          </w:tcPr>
          <w:p w14:paraId="573E4535" w14:textId="77777777" w:rsidR="0012519F" w:rsidRPr="0096546E" w:rsidRDefault="0012519F" w:rsidP="0012519F">
            <w:pPr>
              <w:spacing w:before="60" w:after="60"/>
              <w:jc w:val="center"/>
              <w:rPr>
                <w:b/>
                <w:sz w:val="20"/>
                <w:szCs w:val="20"/>
              </w:rPr>
            </w:pPr>
          </w:p>
        </w:tc>
        <w:tc>
          <w:tcPr>
            <w:tcW w:w="558" w:type="pct"/>
            <w:tcBorders>
              <w:top w:val="single" w:sz="4" w:space="0" w:color="auto"/>
              <w:bottom w:val="single" w:sz="4" w:space="0" w:color="auto"/>
            </w:tcBorders>
          </w:tcPr>
          <w:p w14:paraId="0AF1DB33" w14:textId="77777777" w:rsidR="0012519F" w:rsidRPr="0096546E" w:rsidRDefault="0012519F" w:rsidP="0012519F">
            <w:pPr>
              <w:spacing w:before="60" w:after="60"/>
              <w:jc w:val="center"/>
              <w:rPr>
                <w:b/>
                <w:sz w:val="20"/>
                <w:szCs w:val="20"/>
              </w:rPr>
            </w:pPr>
            <w:r w:rsidRPr="0096546E">
              <w:rPr>
                <w:b/>
                <w:sz w:val="20"/>
                <w:szCs w:val="20"/>
              </w:rPr>
              <w:t>80</w:t>
            </w:r>
          </w:p>
        </w:tc>
        <w:tc>
          <w:tcPr>
            <w:tcW w:w="553" w:type="pct"/>
            <w:tcBorders>
              <w:top w:val="single" w:sz="4" w:space="0" w:color="auto"/>
              <w:bottom w:val="single" w:sz="4" w:space="0" w:color="auto"/>
            </w:tcBorders>
            <w:vAlign w:val="center"/>
          </w:tcPr>
          <w:p w14:paraId="7B72D7F0" w14:textId="56697DA0" w:rsidR="0012519F" w:rsidRPr="0096546E" w:rsidRDefault="0012519F" w:rsidP="0012519F">
            <w:pPr>
              <w:spacing w:before="60" w:after="60"/>
              <w:jc w:val="center"/>
              <w:rPr>
                <w:b/>
                <w:sz w:val="20"/>
                <w:szCs w:val="20"/>
              </w:rPr>
            </w:pPr>
            <w:r w:rsidRPr="0096546E">
              <w:rPr>
                <w:b/>
                <w:sz w:val="20"/>
                <w:szCs w:val="20"/>
              </w:rPr>
              <w:t>7</w:t>
            </w:r>
            <w:r>
              <w:rPr>
                <w:b/>
                <w:sz w:val="20"/>
                <w:szCs w:val="20"/>
              </w:rPr>
              <w:t>9.</w:t>
            </w:r>
            <w:r w:rsidR="00AA47ED">
              <w:rPr>
                <w:b/>
                <w:sz w:val="20"/>
                <w:szCs w:val="20"/>
              </w:rPr>
              <w:t>7</w:t>
            </w:r>
          </w:p>
        </w:tc>
      </w:tr>
      <w:tr w:rsidR="0012519F" w:rsidRPr="0096546E" w14:paraId="7A0745A4" w14:textId="77777777" w:rsidTr="009907D9">
        <w:tc>
          <w:tcPr>
            <w:tcW w:w="1417" w:type="pct"/>
            <w:vAlign w:val="center"/>
          </w:tcPr>
          <w:p w14:paraId="33BD99AF" w14:textId="77777777" w:rsidR="0012519F" w:rsidRPr="0096546E" w:rsidRDefault="0012519F" w:rsidP="0012519F">
            <w:pPr>
              <w:spacing w:before="120" w:after="60"/>
              <w:rPr>
                <w:sz w:val="20"/>
                <w:szCs w:val="20"/>
                <w:lang w:val="en-US"/>
              </w:rPr>
            </w:pPr>
            <w:r w:rsidRPr="0096546E">
              <w:rPr>
                <w:sz w:val="20"/>
                <w:szCs w:val="20"/>
                <w:lang w:val="en-US"/>
              </w:rPr>
              <w:t>Australian Fixed Income</w:t>
            </w:r>
          </w:p>
        </w:tc>
        <w:tc>
          <w:tcPr>
            <w:tcW w:w="1284" w:type="pct"/>
            <w:vAlign w:val="center"/>
          </w:tcPr>
          <w:p w14:paraId="0BBDADBD" w14:textId="77777777" w:rsidR="0012519F" w:rsidRPr="0096546E" w:rsidRDefault="0012519F" w:rsidP="0012519F">
            <w:pPr>
              <w:spacing w:before="120" w:after="60"/>
              <w:jc w:val="center"/>
              <w:rPr>
                <w:sz w:val="20"/>
                <w:szCs w:val="20"/>
                <w:lang w:val="en-US"/>
              </w:rPr>
            </w:pPr>
            <w:r w:rsidRPr="0096546E">
              <w:rPr>
                <w:sz w:val="20"/>
                <w:szCs w:val="20"/>
                <w:lang w:val="en-US"/>
              </w:rPr>
              <w:t>Vanguard Australian Government Bond Index</w:t>
            </w:r>
          </w:p>
        </w:tc>
        <w:tc>
          <w:tcPr>
            <w:tcW w:w="629" w:type="pct"/>
            <w:vAlign w:val="center"/>
          </w:tcPr>
          <w:p w14:paraId="06BED300" w14:textId="77777777" w:rsidR="0012519F" w:rsidRPr="0096546E" w:rsidRDefault="0012519F" w:rsidP="0012519F">
            <w:pPr>
              <w:spacing w:before="120" w:after="60"/>
              <w:jc w:val="center"/>
              <w:rPr>
                <w:sz w:val="20"/>
                <w:szCs w:val="20"/>
                <w:lang w:val="en-US"/>
              </w:rPr>
            </w:pPr>
            <w:r w:rsidRPr="0096546E">
              <w:rPr>
                <w:sz w:val="20"/>
                <w:szCs w:val="20"/>
              </w:rPr>
              <w:t>92,227</w:t>
            </w:r>
          </w:p>
        </w:tc>
        <w:tc>
          <w:tcPr>
            <w:tcW w:w="557" w:type="pct"/>
            <w:vAlign w:val="center"/>
          </w:tcPr>
          <w:p w14:paraId="61B16856" w14:textId="561C1F3A" w:rsidR="0012519F" w:rsidRPr="0096546E" w:rsidRDefault="0012519F" w:rsidP="0012519F">
            <w:pPr>
              <w:spacing w:before="120" w:after="60"/>
              <w:jc w:val="center"/>
              <w:rPr>
                <w:sz w:val="20"/>
                <w:szCs w:val="20"/>
              </w:rPr>
            </w:pPr>
            <w:r w:rsidRPr="0096546E">
              <w:rPr>
                <w:sz w:val="20"/>
                <w:szCs w:val="20"/>
              </w:rPr>
              <w:t>9</w:t>
            </w:r>
            <w:r>
              <w:rPr>
                <w:sz w:val="20"/>
                <w:szCs w:val="20"/>
              </w:rPr>
              <w:t>6</w:t>
            </w:r>
            <w:r w:rsidRPr="0096546E">
              <w:rPr>
                <w:sz w:val="20"/>
                <w:szCs w:val="20"/>
              </w:rPr>
              <w:t>,</w:t>
            </w:r>
            <w:r>
              <w:rPr>
                <w:sz w:val="20"/>
                <w:szCs w:val="20"/>
              </w:rPr>
              <w:t>884</w:t>
            </w:r>
          </w:p>
        </w:tc>
        <w:tc>
          <w:tcPr>
            <w:tcW w:w="558" w:type="pct"/>
            <w:vAlign w:val="center"/>
          </w:tcPr>
          <w:p w14:paraId="6DFC9410" w14:textId="77777777" w:rsidR="0012519F" w:rsidRPr="0096546E" w:rsidRDefault="0012519F" w:rsidP="0012519F">
            <w:pPr>
              <w:spacing w:before="120" w:after="60"/>
              <w:jc w:val="center"/>
              <w:rPr>
                <w:sz w:val="20"/>
                <w:szCs w:val="20"/>
                <w:lang w:val="en-US"/>
              </w:rPr>
            </w:pPr>
            <w:r w:rsidRPr="0096546E">
              <w:rPr>
                <w:sz w:val="20"/>
                <w:szCs w:val="20"/>
                <w:lang w:val="en-US"/>
              </w:rPr>
              <w:t>15</w:t>
            </w:r>
          </w:p>
        </w:tc>
        <w:tc>
          <w:tcPr>
            <w:tcW w:w="553" w:type="pct"/>
            <w:vAlign w:val="center"/>
          </w:tcPr>
          <w:p w14:paraId="0DC92E70" w14:textId="08BE7144" w:rsidR="0012519F" w:rsidRPr="0096546E" w:rsidRDefault="0012519F" w:rsidP="0012519F">
            <w:pPr>
              <w:spacing w:before="120" w:after="60"/>
              <w:jc w:val="center"/>
              <w:rPr>
                <w:sz w:val="20"/>
                <w:szCs w:val="20"/>
                <w:lang w:val="en-US"/>
              </w:rPr>
            </w:pPr>
            <w:r w:rsidRPr="0096546E">
              <w:rPr>
                <w:sz w:val="20"/>
                <w:szCs w:val="20"/>
                <w:lang w:val="en-US"/>
              </w:rPr>
              <w:t>14.</w:t>
            </w:r>
            <w:r>
              <w:rPr>
                <w:sz w:val="20"/>
                <w:szCs w:val="20"/>
                <w:lang w:val="en-US"/>
              </w:rPr>
              <w:t>9</w:t>
            </w:r>
          </w:p>
        </w:tc>
      </w:tr>
      <w:tr w:rsidR="0012519F" w:rsidRPr="0096546E" w14:paraId="3273A2EF" w14:textId="77777777" w:rsidTr="009907D9">
        <w:tc>
          <w:tcPr>
            <w:tcW w:w="1417" w:type="pct"/>
            <w:vAlign w:val="center"/>
          </w:tcPr>
          <w:p w14:paraId="0407A54F" w14:textId="77777777" w:rsidR="0012519F" w:rsidRPr="0096546E" w:rsidRDefault="0012519F" w:rsidP="0012519F">
            <w:pPr>
              <w:spacing w:before="120" w:after="60"/>
              <w:rPr>
                <w:b/>
                <w:i/>
                <w:sz w:val="20"/>
                <w:szCs w:val="20"/>
                <w:lang w:val="en-US"/>
              </w:rPr>
            </w:pPr>
            <w:r w:rsidRPr="0096546E">
              <w:rPr>
                <w:b/>
                <w:i/>
                <w:sz w:val="20"/>
                <w:szCs w:val="20"/>
                <w:lang w:val="en-US"/>
              </w:rPr>
              <w:t>Australian Cash</w:t>
            </w:r>
          </w:p>
        </w:tc>
        <w:tc>
          <w:tcPr>
            <w:tcW w:w="1284" w:type="pct"/>
            <w:vAlign w:val="center"/>
          </w:tcPr>
          <w:p w14:paraId="345D7D93" w14:textId="77777777" w:rsidR="0012519F" w:rsidRPr="0096546E" w:rsidRDefault="0012519F" w:rsidP="0012519F">
            <w:pPr>
              <w:spacing w:before="120" w:after="60"/>
              <w:jc w:val="center"/>
              <w:rPr>
                <w:sz w:val="20"/>
                <w:szCs w:val="20"/>
                <w:lang w:val="en-US"/>
              </w:rPr>
            </w:pPr>
          </w:p>
        </w:tc>
        <w:tc>
          <w:tcPr>
            <w:tcW w:w="629" w:type="pct"/>
            <w:vAlign w:val="center"/>
          </w:tcPr>
          <w:p w14:paraId="01A73AE3" w14:textId="77777777" w:rsidR="0012519F" w:rsidRPr="0096546E" w:rsidRDefault="0012519F" w:rsidP="0012519F">
            <w:pPr>
              <w:spacing w:before="120" w:after="60"/>
              <w:jc w:val="center"/>
              <w:rPr>
                <w:sz w:val="20"/>
                <w:szCs w:val="20"/>
                <w:lang w:val="en-US"/>
              </w:rPr>
            </w:pPr>
          </w:p>
        </w:tc>
        <w:tc>
          <w:tcPr>
            <w:tcW w:w="557" w:type="pct"/>
            <w:vAlign w:val="center"/>
          </w:tcPr>
          <w:p w14:paraId="078AB8B6" w14:textId="77777777" w:rsidR="0012519F" w:rsidRPr="0096546E" w:rsidRDefault="0012519F" w:rsidP="0012519F">
            <w:pPr>
              <w:spacing w:before="120" w:after="60"/>
              <w:jc w:val="center"/>
              <w:rPr>
                <w:sz w:val="20"/>
                <w:szCs w:val="20"/>
                <w:lang w:val="en-US"/>
              </w:rPr>
            </w:pPr>
          </w:p>
        </w:tc>
        <w:tc>
          <w:tcPr>
            <w:tcW w:w="558" w:type="pct"/>
          </w:tcPr>
          <w:p w14:paraId="6FDCD1F7" w14:textId="77777777" w:rsidR="0012519F" w:rsidRPr="0096546E" w:rsidRDefault="0012519F" w:rsidP="0012519F">
            <w:pPr>
              <w:spacing w:before="120" w:after="60"/>
              <w:jc w:val="center"/>
              <w:rPr>
                <w:sz w:val="20"/>
                <w:szCs w:val="20"/>
                <w:lang w:val="en-US"/>
              </w:rPr>
            </w:pPr>
          </w:p>
        </w:tc>
        <w:tc>
          <w:tcPr>
            <w:tcW w:w="553" w:type="pct"/>
            <w:vAlign w:val="center"/>
          </w:tcPr>
          <w:p w14:paraId="056FF0C0" w14:textId="77777777" w:rsidR="0012519F" w:rsidRPr="0096546E" w:rsidRDefault="0012519F" w:rsidP="0012519F">
            <w:pPr>
              <w:spacing w:before="120" w:after="60"/>
              <w:jc w:val="center"/>
              <w:rPr>
                <w:sz w:val="20"/>
                <w:szCs w:val="20"/>
                <w:lang w:val="en-US"/>
              </w:rPr>
            </w:pPr>
          </w:p>
        </w:tc>
      </w:tr>
      <w:tr w:rsidR="0012519F" w:rsidRPr="0096546E" w14:paraId="7481379F" w14:textId="77777777" w:rsidTr="009907D9">
        <w:tc>
          <w:tcPr>
            <w:tcW w:w="1417" w:type="pct"/>
            <w:vAlign w:val="center"/>
          </w:tcPr>
          <w:p w14:paraId="193E729C" w14:textId="77777777" w:rsidR="0012519F" w:rsidRPr="0096546E" w:rsidRDefault="0012519F" w:rsidP="0012519F">
            <w:pPr>
              <w:spacing w:before="60" w:after="60"/>
              <w:rPr>
                <w:sz w:val="20"/>
                <w:szCs w:val="20"/>
                <w:lang w:val="en-US"/>
              </w:rPr>
            </w:pPr>
            <w:r w:rsidRPr="0096546E">
              <w:rPr>
                <w:sz w:val="20"/>
                <w:szCs w:val="20"/>
                <w:lang w:val="en-US"/>
              </w:rPr>
              <w:t>BetaShares Australia High Interest Cash</w:t>
            </w:r>
          </w:p>
        </w:tc>
        <w:tc>
          <w:tcPr>
            <w:tcW w:w="1284" w:type="pct"/>
            <w:vAlign w:val="center"/>
          </w:tcPr>
          <w:p w14:paraId="0BBF7E9A" w14:textId="77777777" w:rsidR="0012519F" w:rsidRPr="0096546E" w:rsidRDefault="0012519F" w:rsidP="0012519F">
            <w:pPr>
              <w:spacing w:before="60" w:after="60"/>
              <w:jc w:val="center"/>
              <w:rPr>
                <w:sz w:val="20"/>
                <w:szCs w:val="20"/>
                <w:lang w:val="en-US"/>
              </w:rPr>
            </w:pPr>
          </w:p>
        </w:tc>
        <w:tc>
          <w:tcPr>
            <w:tcW w:w="629" w:type="pct"/>
            <w:vAlign w:val="center"/>
          </w:tcPr>
          <w:p w14:paraId="4C6888B3" w14:textId="77777777" w:rsidR="0012519F" w:rsidRPr="0096546E" w:rsidRDefault="0012519F" w:rsidP="0012519F">
            <w:pPr>
              <w:spacing w:before="60" w:after="60"/>
              <w:jc w:val="center"/>
              <w:rPr>
                <w:sz w:val="20"/>
                <w:szCs w:val="20"/>
                <w:lang w:val="en-US"/>
              </w:rPr>
            </w:pPr>
            <w:r w:rsidRPr="0096546E">
              <w:rPr>
                <w:sz w:val="20"/>
                <w:szCs w:val="20"/>
              </w:rPr>
              <w:t>16,690</w:t>
            </w:r>
          </w:p>
        </w:tc>
        <w:tc>
          <w:tcPr>
            <w:tcW w:w="557" w:type="pct"/>
            <w:vAlign w:val="center"/>
          </w:tcPr>
          <w:p w14:paraId="6151220D" w14:textId="1CE4995B" w:rsidR="0012519F" w:rsidRPr="0096546E" w:rsidRDefault="0012519F" w:rsidP="0012519F">
            <w:pPr>
              <w:spacing w:before="60" w:after="60"/>
              <w:jc w:val="center"/>
              <w:rPr>
                <w:sz w:val="20"/>
                <w:szCs w:val="20"/>
              </w:rPr>
            </w:pPr>
            <w:r w:rsidRPr="0096546E">
              <w:rPr>
                <w:sz w:val="20"/>
                <w:szCs w:val="20"/>
              </w:rPr>
              <w:t>16,68</w:t>
            </w:r>
            <w:r>
              <w:rPr>
                <w:sz w:val="20"/>
                <w:szCs w:val="20"/>
              </w:rPr>
              <w:t>0</w:t>
            </w:r>
          </w:p>
        </w:tc>
        <w:tc>
          <w:tcPr>
            <w:tcW w:w="558" w:type="pct"/>
          </w:tcPr>
          <w:p w14:paraId="00944390" w14:textId="77777777" w:rsidR="0012519F" w:rsidRPr="0096546E" w:rsidRDefault="0012519F" w:rsidP="0012519F">
            <w:pPr>
              <w:spacing w:before="60" w:after="60"/>
              <w:jc w:val="center"/>
              <w:rPr>
                <w:sz w:val="20"/>
                <w:szCs w:val="20"/>
                <w:lang w:val="en-US"/>
              </w:rPr>
            </w:pPr>
          </w:p>
        </w:tc>
        <w:tc>
          <w:tcPr>
            <w:tcW w:w="553" w:type="pct"/>
            <w:vAlign w:val="center"/>
          </w:tcPr>
          <w:p w14:paraId="52F0A1EF" w14:textId="77777777" w:rsidR="0012519F" w:rsidRPr="0096546E" w:rsidRDefault="0012519F" w:rsidP="0012519F">
            <w:pPr>
              <w:spacing w:before="60" w:after="60"/>
              <w:jc w:val="center"/>
              <w:rPr>
                <w:sz w:val="20"/>
                <w:szCs w:val="20"/>
                <w:lang w:val="en-US"/>
              </w:rPr>
            </w:pPr>
            <w:r w:rsidRPr="0096546E">
              <w:rPr>
                <w:sz w:val="20"/>
                <w:szCs w:val="20"/>
                <w:lang w:val="en-US"/>
              </w:rPr>
              <w:t>2.6</w:t>
            </w:r>
          </w:p>
        </w:tc>
      </w:tr>
      <w:tr w:rsidR="0012519F" w:rsidRPr="0096546E" w14:paraId="56379C9A" w14:textId="77777777" w:rsidTr="009907D9">
        <w:tc>
          <w:tcPr>
            <w:tcW w:w="1417" w:type="pct"/>
            <w:tcBorders>
              <w:bottom w:val="nil"/>
            </w:tcBorders>
            <w:vAlign w:val="center"/>
          </w:tcPr>
          <w:p w14:paraId="1C3FC65A" w14:textId="031A650D" w:rsidR="0012519F" w:rsidRPr="0096546E" w:rsidRDefault="0012519F" w:rsidP="0012519F">
            <w:pPr>
              <w:spacing w:before="60" w:after="60"/>
              <w:rPr>
                <w:sz w:val="20"/>
                <w:szCs w:val="20"/>
                <w:lang w:val="en-US"/>
              </w:rPr>
            </w:pPr>
            <w:r w:rsidRPr="0096546E">
              <w:rPr>
                <w:sz w:val="20"/>
                <w:szCs w:val="20"/>
                <w:lang w:val="en-US"/>
              </w:rPr>
              <w:t>BT Cash Management Trust</w:t>
            </w:r>
          </w:p>
        </w:tc>
        <w:tc>
          <w:tcPr>
            <w:tcW w:w="1284" w:type="pct"/>
            <w:tcBorders>
              <w:bottom w:val="nil"/>
            </w:tcBorders>
            <w:vAlign w:val="center"/>
          </w:tcPr>
          <w:p w14:paraId="55A91A46" w14:textId="77777777" w:rsidR="0012519F" w:rsidRPr="0096546E" w:rsidRDefault="0012519F" w:rsidP="0012519F">
            <w:pPr>
              <w:spacing w:before="60" w:after="60"/>
              <w:jc w:val="center"/>
              <w:rPr>
                <w:sz w:val="20"/>
                <w:szCs w:val="20"/>
                <w:lang w:val="en-US"/>
              </w:rPr>
            </w:pPr>
            <w:r w:rsidRPr="0096546E">
              <w:rPr>
                <w:sz w:val="20"/>
                <w:szCs w:val="20"/>
                <w:lang w:val="en-US"/>
              </w:rPr>
              <w:t>-</w:t>
            </w:r>
          </w:p>
        </w:tc>
        <w:tc>
          <w:tcPr>
            <w:tcW w:w="629" w:type="pct"/>
            <w:tcBorders>
              <w:bottom w:val="nil"/>
            </w:tcBorders>
            <w:vAlign w:val="center"/>
          </w:tcPr>
          <w:p w14:paraId="5361D661" w14:textId="77777777" w:rsidR="0012519F" w:rsidRPr="0096546E" w:rsidRDefault="0012519F" w:rsidP="0012519F">
            <w:pPr>
              <w:spacing w:before="60" w:after="60"/>
              <w:jc w:val="center"/>
              <w:rPr>
                <w:sz w:val="20"/>
                <w:szCs w:val="20"/>
                <w:lang w:val="en-US"/>
              </w:rPr>
            </w:pPr>
            <w:r w:rsidRPr="0096546E">
              <w:rPr>
                <w:sz w:val="20"/>
                <w:szCs w:val="20"/>
              </w:rPr>
              <w:t>12,832</w:t>
            </w:r>
          </w:p>
        </w:tc>
        <w:tc>
          <w:tcPr>
            <w:tcW w:w="557" w:type="pct"/>
            <w:tcBorders>
              <w:bottom w:val="nil"/>
            </w:tcBorders>
            <w:vAlign w:val="center"/>
          </w:tcPr>
          <w:p w14:paraId="6B6A371B" w14:textId="54ED5A19" w:rsidR="0012519F" w:rsidRPr="0096546E" w:rsidRDefault="0012519F" w:rsidP="0012519F">
            <w:pPr>
              <w:spacing w:before="60" w:after="60"/>
              <w:jc w:val="center"/>
              <w:rPr>
                <w:sz w:val="20"/>
                <w:szCs w:val="20"/>
              </w:rPr>
            </w:pPr>
            <w:r>
              <w:rPr>
                <w:sz w:val="20"/>
                <w:szCs w:val="20"/>
              </w:rPr>
              <w:t>10,897</w:t>
            </w:r>
          </w:p>
        </w:tc>
        <w:tc>
          <w:tcPr>
            <w:tcW w:w="558" w:type="pct"/>
            <w:tcBorders>
              <w:bottom w:val="nil"/>
            </w:tcBorders>
          </w:tcPr>
          <w:p w14:paraId="64D0E7EA" w14:textId="77777777" w:rsidR="0012519F" w:rsidRPr="0096546E" w:rsidRDefault="0012519F" w:rsidP="0012519F">
            <w:pPr>
              <w:spacing w:before="60" w:after="60"/>
              <w:jc w:val="center"/>
              <w:rPr>
                <w:sz w:val="20"/>
                <w:szCs w:val="20"/>
                <w:lang w:val="en-US"/>
              </w:rPr>
            </w:pPr>
          </w:p>
        </w:tc>
        <w:tc>
          <w:tcPr>
            <w:tcW w:w="553" w:type="pct"/>
            <w:tcBorders>
              <w:bottom w:val="nil"/>
            </w:tcBorders>
            <w:vAlign w:val="center"/>
          </w:tcPr>
          <w:p w14:paraId="3D5DE56F" w14:textId="57BC12D5" w:rsidR="0012519F" w:rsidRPr="0096546E" w:rsidRDefault="0012519F" w:rsidP="0012519F">
            <w:pPr>
              <w:spacing w:before="60" w:after="60"/>
              <w:jc w:val="center"/>
              <w:rPr>
                <w:sz w:val="20"/>
                <w:szCs w:val="20"/>
                <w:lang w:val="en-US"/>
              </w:rPr>
            </w:pPr>
            <w:r>
              <w:rPr>
                <w:sz w:val="20"/>
                <w:szCs w:val="20"/>
                <w:lang w:val="en-US"/>
              </w:rPr>
              <w:t>1.7</w:t>
            </w:r>
          </w:p>
        </w:tc>
      </w:tr>
      <w:tr w:rsidR="0012519F" w:rsidRPr="0096546E" w14:paraId="20B56020" w14:textId="77777777" w:rsidTr="009907D9">
        <w:tc>
          <w:tcPr>
            <w:tcW w:w="1417" w:type="pct"/>
            <w:tcBorders>
              <w:bottom w:val="nil"/>
            </w:tcBorders>
            <w:vAlign w:val="center"/>
          </w:tcPr>
          <w:p w14:paraId="2E7FB283" w14:textId="63FBC9B3" w:rsidR="0012519F" w:rsidRPr="0096546E" w:rsidRDefault="0012519F" w:rsidP="0012519F">
            <w:pPr>
              <w:spacing w:before="60" w:after="60"/>
              <w:rPr>
                <w:sz w:val="20"/>
                <w:szCs w:val="20"/>
                <w:lang w:val="en-US"/>
              </w:rPr>
            </w:pPr>
            <w:r w:rsidRPr="0096546E">
              <w:rPr>
                <w:sz w:val="20"/>
                <w:szCs w:val="20"/>
                <w:lang w:val="en-US"/>
              </w:rPr>
              <w:t>Accrued Interest &amp; Dividends</w:t>
            </w:r>
          </w:p>
        </w:tc>
        <w:tc>
          <w:tcPr>
            <w:tcW w:w="1284" w:type="pct"/>
            <w:tcBorders>
              <w:bottom w:val="nil"/>
            </w:tcBorders>
            <w:vAlign w:val="center"/>
          </w:tcPr>
          <w:p w14:paraId="73F01B03" w14:textId="77777777" w:rsidR="0012519F" w:rsidRPr="0096546E" w:rsidRDefault="0012519F" w:rsidP="0012519F">
            <w:pPr>
              <w:spacing w:before="60" w:after="60"/>
              <w:jc w:val="center"/>
              <w:rPr>
                <w:sz w:val="20"/>
                <w:szCs w:val="20"/>
                <w:lang w:val="en-US"/>
              </w:rPr>
            </w:pPr>
            <w:r w:rsidRPr="0096546E">
              <w:rPr>
                <w:sz w:val="20"/>
                <w:szCs w:val="20"/>
                <w:lang w:val="en-US"/>
              </w:rPr>
              <w:t>-</w:t>
            </w:r>
          </w:p>
        </w:tc>
        <w:tc>
          <w:tcPr>
            <w:tcW w:w="629" w:type="pct"/>
            <w:tcBorders>
              <w:bottom w:val="nil"/>
            </w:tcBorders>
            <w:vAlign w:val="center"/>
          </w:tcPr>
          <w:p w14:paraId="5D49309C" w14:textId="77777777" w:rsidR="0012519F" w:rsidRPr="0096546E" w:rsidRDefault="0012519F" w:rsidP="0012519F">
            <w:pPr>
              <w:spacing w:before="60" w:after="60"/>
              <w:jc w:val="center"/>
              <w:rPr>
                <w:sz w:val="20"/>
                <w:szCs w:val="20"/>
                <w:lang w:val="en-US"/>
              </w:rPr>
            </w:pPr>
            <w:r w:rsidRPr="0096546E">
              <w:rPr>
                <w:sz w:val="20"/>
                <w:szCs w:val="20"/>
              </w:rPr>
              <w:t>177</w:t>
            </w:r>
          </w:p>
        </w:tc>
        <w:tc>
          <w:tcPr>
            <w:tcW w:w="557" w:type="pct"/>
            <w:tcBorders>
              <w:bottom w:val="nil"/>
            </w:tcBorders>
            <w:vAlign w:val="center"/>
          </w:tcPr>
          <w:p w14:paraId="5BDAA783" w14:textId="40125FB1" w:rsidR="0012519F" w:rsidRPr="0096546E" w:rsidRDefault="0012519F" w:rsidP="0012519F">
            <w:pPr>
              <w:spacing w:before="60" w:after="60"/>
              <w:jc w:val="center"/>
              <w:rPr>
                <w:sz w:val="20"/>
                <w:szCs w:val="20"/>
              </w:rPr>
            </w:pPr>
            <w:r>
              <w:rPr>
                <w:sz w:val="20"/>
                <w:szCs w:val="20"/>
              </w:rPr>
              <w:t>6,295</w:t>
            </w:r>
          </w:p>
        </w:tc>
        <w:tc>
          <w:tcPr>
            <w:tcW w:w="558" w:type="pct"/>
            <w:tcBorders>
              <w:bottom w:val="nil"/>
            </w:tcBorders>
          </w:tcPr>
          <w:p w14:paraId="6E593A6F" w14:textId="3FFC1DF6" w:rsidR="0012519F" w:rsidRPr="0096546E" w:rsidRDefault="0012519F" w:rsidP="0012519F">
            <w:pPr>
              <w:spacing w:before="60" w:after="60"/>
              <w:jc w:val="center"/>
              <w:rPr>
                <w:sz w:val="20"/>
                <w:szCs w:val="20"/>
                <w:lang w:val="en-US"/>
              </w:rPr>
            </w:pPr>
          </w:p>
        </w:tc>
        <w:tc>
          <w:tcPr>
            <w:tcW w:w="553" w:type="pct"/>
            <w:tcBorders>
              <w:bottom w:val="nil"/>
            </w:tcBorders>
            <w:vAlign w:val="center"/>
          </w:tcPr>
          <w:p w14:paraId="7023991A" w14:textId="5060DB88" w:rsidR="0012519F" w:rsidRPr="0096546E" w:rsidRDefault="0012519F" w:rsidP="0012519F">
            <w:pPr>
              <w:spacing w:before="60" w:after="60"/>
              <w:jc w:val="center"/>
              <w:rPr>
                <w:sz w:val="20"/>
                <w:szCs w:val="20"/>
                <w:lang w:val="en-US"/>
              </w:rPr>
            </w:pPr>
            <w:r>
              <w:rPr>
                <w:sz w:val="20"/>
                <w:szCs w:val="20"/>
                <w:lang w:val="en-US"/>
              </w:rPr>
              <w:t>1.0</w:t>
            </w:r>
          </w:p>
        </w:tc>
      </w:tr>
      <w:tr w:rsidR="0012519F" w:rsidRPr="0096546E" w14:paraId="7EA0EC2D" w14:textId="77777777" w:rsidTr="009907D9">
        <w:tc>
          <w:tcPr>
            <w:tcW w:w="1417" w:type="pct"/>
            <w:tcBorders>
              <w:top w:val="nil"/>
              <w:bottom w:val="single" w:sz="4" w:space="0" w:color="auto"/>
            </w:tcBorders>
            <w:vAlign w:val="center"/>
          </w:tcPr>
          <w:p w14:paraId="693571D5" w14:textId="0CE514C9" w:rsidR="0012519F" w:rsidRPr="0096546E" w:rsidRDefault="0012519F" w:rsidP="0012519F">
            <w:pPr>
              <w:spacing w:before="60" w:after="60"/>
              <w:rPr>
                <w:b/>
                <w:i/>
                <w:sz w:val="20"/>
                <w:szCs w:val="20"/>
                <w:lang w:val="en-US"/>
              </w:rPr>
            </w:pPr>
            <w:r w:rsidRPr="0096546E">
              <w:rPr>
                <w:sz w:val="20"/>
                <w:szCs w:val="20"/>
                <w:lang w:val="en-US"/>
              </w:rPr>
              <w:t>Accrued Franking Credits</w:t>
            </w:r>
          </w:p>
        </w:tc>
        <w:tc>
          <w:tcPr>
            <w:tcW w:w="1284" w:type="pct"/>
            <w:tcBorders>
              <w:top w:val="nil"/>
              <w:bottom w:val="single" w:sz="4" w:space="0" w:color="auto"/>
            </w:tcBorders>
            <w:vAlign w:val="center"/>
          </w:tcPr>
          <w:p w14:paraId="425CD9C9" w14:textId="77777777" w:rsidR="0012519F" w:rsidRPr="0096546E" w:rsidRDefault="0012519F" w:rsidP="0012519F">
            <w:pPr>
              <w:spacing w:before="60" w:after="60"/>
              <w:jc w:val="center"/>
              <w:rPr>
                <w:sz w:val="20"/>
                <w:szCs w:val="20"/>
                <w:lang w:val="en-US"/>
              </w:rPr>
            </w:pPr>
            <w:r w:rsidRPr="0096546E">
              <w:rPr>
                <w:sz w:val="20"/>
                <w:szCs w:val="20"/>
                <w:lang w:val="en-US"/>
              </w:rPr>
              <w:t>-</w:t>
            </w:r>
          </w:p>
        </w:tc>
        <w:tc>
          <w:tcPr>
            <w:tcW w:w="629" w:type="pct"/>
            <w:tcBorders>
              <w:top w:val="nil"/>
              <w:bottom w:val="single" w:sz="4" w:space="0" w:color="auto"/>
            </w:tcBorders>
            <w:vAlign w:val="center"/>
          </w:tcPr>
          <w:p w14:paraId="7F1BD2F3" w14:textId="77777777" w:rsidR="0012519F" w:rsidRPr="0096546E" w:rsidRDefault="0012519F" w:rsidP="0012519F">
            <w:pPr>
              <w:spacing w:before="60" w:after="60"/>
              <w:jc w:val="center"/>
              <w:rPr>
                <w:b/>
                <w:i/>
                <w:sz w:val="20"/>
                <w:szCs w:val="20"/>
                <w:lang w:val="en-US"/>
              </w:rPr>
            </w:pPr>
            <w:r w:rsidRPr="0096546E">
              <w:rPr>
                <w:sz w:val="20"/>
                <w:szCs w:val="20"/>
              </w:rPr>
              <w:t>-</w:t>
            </w:r>
          </w:p>
        </w:tc>
        <w:tc>
          <w:tcPr>
            <w:tcW w:w="557" w:type="pct"/>
            <w:tcBorders>
              <w:top w:val="nil"/>
              <w:bottom w:val="single" w:sz="4" w:space="0" w:color="auto"/>
            </w:tcBorders>
            <w:vAlign w:val="center"/>
          </w:tcPr>
          <w:p w14:paraId="6978B9CC" w14:textId="3D22468E" w:rsidR="0012519F" w:rsidRPr="0096546E" w:rsidRDefault="00CE4844" w:rsidP="0012519F">
            <w:pPr>
              <w:spacing w:before="60" w:after="60"/>
              <w:jc w:val="center"/>
              <w:rPr>
                <w:b/>
                <w:i/>
                <w:sz w:val="20"/>
                <w:szCs w:val="20"/>
                <w:lang w:val="en-US"/>
              </w:rPr>
            </w:pPr>
            <w:r>
              <w:rPr>
                <w:sz w:val="20"/>
                <w:szCs w:val="20"/>
              </w:rPr>
              <w:t>1,981</w:t>
            </w:r>
          </w:p>
        </w:tc>
        <w:tc>
          <w:tcPr>
            <w:tcW w:w="558" w:type="pct"/>
            <w:tcBorders>
              <w:top w:val="nil"/>
              <w:bottom w:val="single" w:sz="4" w:space="0" w:color="auto"/>
            </w:tcBorders>
          </w:tcPr>
          <w:p w14:paraId="577CBB52" w14:textId="77777777" w:rsidR="0012519F" w:rsidRPr="0096546E" w:rsidRDefault="0012519F" w:rsidP="0012519F">
            <w:pPr>
              <w:spacing w:before="60" w:after="60"/>
              <w:jc w:val="center"/>
              <w:rPr>
                <w:b/>
                <w:i/>
                <w:sz w:val="20"/>
                <w:szCs w:val="20"/>
                <w:lang w:val="en-US"/>
              </w:rPr>
            </w:pPr>
          </w:p>
        </w:tc>
        <w:tc>
          <w:tcPr>
            <w:tcW w:w="553" w:type="pct"/>
            <w:tcBorders>
              <w:top w:val="nil"/>
              <w:bottom w:val="single" w:sz="4" w:space="0" w:color="auto"/>
            </w:tcBorders>
            <w:vAlign w:val="center"/>
          </w:tcPr>
          <w:p w14:paraId="672B2E6D" w14:textId="3DD2B00F" w:rsidR="0012519F" w:rsidRPr="0096546E" w:rsidRDefault="0012519F" w:rsidP="0012519F">
            <w:pPr>
              <w:spacing w:before="60" w:after="60"/>
              <w:jc w:val="center"/>
              <w:rPr>
                <w:b/>
                <w:i/>
                <w:sz w:val="20"/>
                <w:szCs w:val="20"/>
                <w:lang w:val="en-US"/>
              </w:rPr>
            </w:pPr>
            <w:r w:rsidRPr="0096546E">
              <w:rPr>
                <w:sz w:val="20"/>
                <w:szCs w:val="20"/>
                <w:lang w:val="en-US"/>
              </w:rPr>
              <w:t>0.</w:t>
            </w:r>
            <w:r w:rsidR="00326EA3">
              <w:rPr>
                <w:sz w:val="20"/>
                <w:szCs w:val="20"/>
                <w:lang w:val="en-US"/>
              </w:rPr>
              <w:t>3</w:t>
            </w:r>
          </w:p>
        </w:tc>
      </w:tr>
      <w:tr w:rsidR="0012519F" w:rsidRPr="0096546E" w14:paraId="761711E9" w14:textId="77777777" w:rsidTr="009907D9">
        <w:tc>
          <w:tcPr>
            <w:tcW w:w="1417" w:type="pct"/>
            <w:tcBorders>
              <w:top w:val="single" w:sz="4" w:space="0" w:color="auto"/>
              <w:bottom w:val="single" w:sz="4" w:space="0" w:color="auto"/>
            </w:tcBorders>
            <w:vAlign w:val="center"/>
          </w:tcPr>
          <w:p w14:paraId="7E917FB7" w14:textId="587785BB" w:rsidR="0012519F" w:rsidRPr="0096546E" w:rsidRDefault="0012519F" w:rsidP="0012519F">
            <w:pPr>
              <w:spacing w:before="60" w:after="60"/>
              <w:rPr>
                <w:b/>
                <w:i/>
                <w:sz w:val="20"/>
                <w:szCs w:val="20"/>
                <w:lang w:val="en-US"/>
              </w:rPr>
            </w:pPr>
            <w:r w:rsidRPr="0096546E">
              <w:rPr>
                <w:b/>
                <w:i/>
                <w:sz w:val="20"/>
                <w:szCs w:val="20"/>
                <w:lang w:val="en-US"/>
              </w:rPr>
              <w:t>Total Australian Cash</w:t>
            </w:r>
            <w:r w:rsidR="00AF4224">
              <w:rPr>
                <w:b/>
                <w:i/>
                <w:sz w:val="20"/>
                <w:szCs w:val="20"/>
                <w:lang w:val="en-US"/>
              </w:rPr>
              <w:t xml:space="preserve"> and Accruals</w:t>
            </w:r>
          </w:p>
        </w:tc>
        <w:tc>
          <w:tcPr>
            <w:tcW w:w="1284" w:type="pct"/>
            <w:tcBorders>
              <w:top w:val="single" w:sz="4" w:space="0" w:color="auto"/>
              <w:bottom w:val="single" w:sz="4" w:space="0" w:color="auto"/>
            </w:tcBorders>
            <w:vAlign w:val="center"/>
          </w:tcPr>
          <w:p w14:paraId="2EDD9BF9" w14:textId="77777777" w:rsidR="0012519F" w:rsidRPr="0096546E" w:rsidRDefault="0012519F" w:rsidP="0012519F">
            <w:pPr>
              <w:spacing w:before="60" w:after="60"/>
              <w:jc w:val="center"/>
              <w:rPr>
                <w:sz w:val="20"/>
                <w:szCs w:val="20"/>
                <w:lang w:val="en-US"/>
              </w:rPr>
            </w:pPr>
            <w:r w:rsidRPr="0096546E">
              <w:rPr>
                <w:sz w:val="20"/>
                <w:szCs w:val="20"/>
                <w:lang w:val="en-US"/>
              </w:rPr>
              <w:t>BetaShares Australia High Interest Cash</w:t>
            </w:r>
          </w:p>
        </w:tc>
        <w:tc>
          <w:tcPr>
            <w:tcW w:w="629" w:type="pct"/>
            <w:tcBorders>
              <w:top w:val="single" w:sz="4" w:space="0" w:color="auto"/>
              <w:bottom w:val="single" w:sz="4" w:space="0" w:color="auto"/>
            </w:tcBorders>
            <w:vAlign w:val="center"/>
          </w:tcPr>
          <w:p w14:paraId="06B5691E" w14:textId="77777777" w:rsidR="0012519F" w:rsidRPr="0096546E" w:rsidRDefault="0012519F" w:rsidP="0012519F">
            <w:pPr>
              <w:spacing w:before="60" w:after="60"/>
              <w:jc w:val="center"/>
              <w:rPr>
                <w:b/>
                <w:i/>
                <w:sz w:val="20"/>
                <w:szCs w:val="20"/>
                <w:lang w:val="en-US"/>
              </w:rPr>
            </w:pPr>
          </w:p>
        </w:tc>
        <w:tc>
          <w:tcPr>
            <w:tcW w:w="557" w:type="pct"/>
            <w:tcBorders>
              <w:top w:val="single" w:sz="4" w:space="0" w:color="auto"/>
              <w:bottom w:val="single" w:sz="4" w:space="0" w:color="auto"/>
            </w:tcBorders>
            <w:vAlign w:val="center"/>
          </w:tcPr>
          <w:p w14:paraId="788E4636" w14:textId="77777777" w:rsidR="0012519F" w:rsidRPr="0096546E" w:rsidRDefault="0012519F" w:rsidP="0012519F">
            <w:pPr>
              <w:spacing w:before="60" w:after="60"/>
              <w:jc w:val="center"/>
              <w:rPr>
                <w:b/>
                <w:i/>
                <w:sz w:val="20"/>
                <w:szCs w:val="20"/>
                <w:lang w:val="en-US"/>
              </w:rPr>
            </w:pPr>
          </w:p>
        </w:tc>
        <w:tc>
          <w:tcPr>
            <w:tcW w:w="558" w:type="pct"/>
            <w:tcBorders>
              <w:top w:val="single" w:sz="4" w:space="0" w:color="auto"/>
              <w:bottom w:val="single" w:sz="4" w:space="0" w:color="auto"/>
            </w:tcBorders>
            <w:vAlign w:val="center"/>
          </w:tcPr>
          <w:p w14:paraId="05288D2B" w14:textId="77777777" w:rsidR="0012519F" w:rsidRPr="0096546E" w:rsidRDefault="0012519F" w:rsidP="0012519F">
            <w:pPr>
              <w:spacing w:before="60" w:after="60"/>
              <w:jc w:val="center"/>
              <w:rPr>
                <w:b/>
                <w:i/>
                <w:sz w:val="20"/>
                <w:szCs w:val="20"/>
                <w:lang w:val="en-US"/>
              </w:rPr>
            </w:pPr>
            <w:r w:rsidRPr="0096546E">
              <w:rPr>
                <w:b/>
                <w:i/>
                <w:sz w:val="20"/>
                <w:szCs w:val="20"/>
                <w:lang w:val="en-US"/>
              </w:rPr>
              <w:t>5</w:t>
            </w:r>
          </w:p>
        </w:tc>
        <w:tc>
          <w:tcPr>
            <w:tcW w:w="553" w:type="pct"/>
            <w:tcBorders>
              <w:top w:val="single" w:sz="4" w:space="0" w:color="auto"/>
              <w:bottom w:val="single" w:sz="4" w:space="0" w:color="auto"/>
            </w:tcBorders>
            <w:vAlign w:val="center"/>
          </w:tcPr>
          <w:p w14:paraId="7FBC4E5C" w14:textId="55181EB1" w:rsidR="0012519F" w:rsidRPr="0096546E" w:rsidRDefault="00326EA3" w:rsidP="00326EA3">
            <w:pPr>
              <w:spacing w:before="60" w:after="60"/>
              <w:jc w:val="center"/>
              <w:rPr>
                <w:b/>
                <w:i/>
                <w:sz w:val="20"/>
                <w:szCs w:val="20"/>
                <w:lang w:val="en-US"/>
              </w:rPr>
            </w:pPr>
            <w:r>
              <w:rPr>
                <w:b/>
                <w:i/>
                <w:sz w:val="20"/>
                <w:szCs w:val="20"/>
                <w:lang w:val="en-US"/>
              </w:rPr>
              <w:t>5.</w:t>
            </w:r>
            <w:r w:rsidR="00207DD5">
              <w:rPr>
                <w:b/>
                <w:i/>
                <w:sz w:val="20"/>
                <w:szCs w:val="20"/>
                <w:lang w:val="en-US"/>
              </w:rPr>
              <w:t>5</w:t>
            </w:r>
          </w:p>
        </w:tc>
      </w:tr>
      <w:tr w:rsidR="0012519F" w:rsidRPr="0096546E" w14:paraId="436AA2E1" w14:textId="77777777" w:rsidTr="00F97CE3">
        <w:trPr>
          <w:trHeight w:val="188"/>
        </w:trPr>
        <w:tc>
          <w:tcPr>
            <w:tcW w:w="1417" w:type="pct"/>
            <w:tcBorders>
              <w:top w:val="single" w:sz="4" w:space="0" w:color="auto"/>
              <w:bottom w:val="single" w:sz="4" w:space="0" w:color="auto"/>
            </w:tcBorders>
            <w:vAlign w:val="center"/>
          </w:tcPr>
          <w:p w14:paraId="6E170676" w14:textId="77777777" w:rsidR="0012519F" w:rsidRPr="0096546E" w:rsidRDefault="0012519F" w:rsidP="0012519F">
            <w:pPr>
              <w:spacing w:before="60" w:after="60"/>
              <w:rPr>
                <w:b/>
                <w:sz w:val="20"/>
                <w:szCs w:val="20"/>
                <w:lang w:val="en-US"/>
              </w:rPr>
            </w:pPr>
            <w:r w:rsidRPr="0096546E">
              <w:rPr>
                <w:b/>
                <w:sz w:val="20"/>
                <w:szCs w:val="20"/>
                <w:lang w:val="en-US"/>
              </w:rPr>
              <w:t xml:space="preserve">Total Fixed Income &amp; Cash </w:t>
            </w:r>
          </w:p>
        </w:tc>
        <w:tc>
          <w:tcPr>
            <w:tcW w:w="1284" w:type="pct"/>
            <w:tcBorders>
              <w:top w:val="single" w:sz="4" w:space="0" w:color="auto"/>
              <w:bottom w:val="single" w:sz="4" w:space="0" w:color="auto"/>
            </w:tcBorders>
            <w:vAlign w:val="center"/>
          </w:tcPr>
          <w:p w14:paraId="045FCF96" w14:textId="77777777" w:rsidR="0012519F" w:rsidRPr="0096546E" w:rsidRDefault="0012519F" w:rsidP="0012519F">
            <w:pPr>
              <w:spacing w:before="60" w:after="60"/>
              <w:jc w:val="center"/>
              <w:rPr>
                <w:b/>
                <w:sz w:val="20"/>
                <w:szCs w:val="20"/>
                <w:lang w:val="en-US"/>
              </w:rPr>
            </w:pPr>
          </w:p>
        </w:tc>
        <w:tc>
          <w:tcPr>
            <w:tcW w:w="629" w:type="pct"/>
            <w:tcBorders>
              <w:top w:val="single" w:sz="4" w:space="0" w:color="auto"/>
              <w:bottom w:val="single" w:sz="4" w:space="0" w:color="auto"/>
            </w:tcBorders>
            <w:vAlign w:val="center"/>
          </w:tcPr>
          <w:p w14:paraId="6AAB6490" w14:textId="77777777" w:rsidR="0012519F" w:rsidRPr="0096546E" w:rsidRDefault="0012519F" w:rsidP="0012519F">
            <w:pPr>
              <w:spacing w:before="60" w:after="60"/>
              <w:jc w:val="center"/>
              <w:rPr>
                <w:b/>
                <w:sz w:val="20"/>
                <w:szCs w:val="20"/>
                <w:lang w:val="en-US"/>
              </w:rPr>
            </w:pPr>
          </w:p>
        </w:tc>
        <w:tc>
          <w:tcPr>
            <w:tcW w:w="557" w:type="pct"/>
            <w:tcBorders>
              <w:top w:val="single" w:sz="4" w:space="0" w:color="auto"/>
              <w:bottom w:val="single" w:sz="4" w:space="0" w:color="auto"/>
            </w:tcBorders>
            <w:vAlign w:val="center"/>
          </w:tcPr>
          <w:p w14:paraId="4C3DD58F" w14:textId="77777777" w:rsidR="0012519F" w:rsidRPr="0096546E" w:rsidRDefault="0012519F" w:rsidP="0012519F">
            <w:pPr>
              <w:spacing w:before="60" w:after="60"/>
              <w:jc w:val="center"/>
              <w:rPr>
                <w:b/>
                <w:sz w:val="20"/>
                <w:szCs w:val="20"/>
                <w:lang w:val="en-US"/>
              </w:rPr>
            </w:pPr>
          </w:p>
        </w:tc>
        <w:tc>
          <w:tcPr>
            <w:tcW w:w="558" w:type="pct"/>
            <w:tcBorders>
              <w:top w:val="single" w:sz="4" w:space="0" w:color="auto"/>
              <w:bottom w:val="single" w:sz="4" w:space="0" w:color="auto"/>
            </w:tcBorders>
          </w:tcPr>
          <w:p w14:paraId="7B36A257" w14:textId="77777777" w:rsidR="0012519F" w:rsidRPr="0096546E" w:rsidRDefault="0012519F" w:rsidP="0012519F">
            <w:pPr>
              <w:spacing w:before="60" w:after="60"/>
              <w:jc w:val="center"/>
              <w:rPr>
                <w:b/>
                <w:sz w:val="20"/>
                <w:szCs w:val="20"/>
                <w:lang w:val="en-US"/>
              </w:rPr>
            </w:pPr>
            <w:r w:rsidRPr="0096546E">
              <w:rPr>
                <w:b/>
                <w:sz w:val="20"/>
                <w:szCs w:val="20"/>
                <w:lang w:val="en-US"/>
              </w:rPr>
              <w:t>20</w:t>
            </w:r>
          </w:p>
        </w:tc>
        <w:tc>
          <w:tcPr>
            <w:tcW w:w="553" w:type="pct"/>
            <w:tcBorders>
              <w:top w:val="single" w:sz="4" w:space="0" w:color="auto"/>
              <w:bottom w:val="single" w:sz="4" w:space="0" w:color="auto"/>
            </w:tcBorders>
            <w:vAlign w:val="center"/>
          </w:tcPr>
          <w:p w14:paraId="79FEEA2C" w14:textId="56573405" w:rsidR="0012519F" w:rsidRPr="0096546E" w:rsidRDefault="0012519F" w:rsidP="0012519F">
            <w:pPr>
              <w:spacing w:before="60" w:after="60"/>
              <w:jc w:val="center"/>
              <w:rPr>
                <w:b/>
                <w:sz w:val="20"/>
                <w:szCs w:val="20"/>
                <w:lang w:val="en-US"/>
              </w:rPr>
            </w:pPr>
            <w:r w:rsidRPr="0096546E">
              <w:rPr>
                <w:b/>
                <w:sz w:val="20"/>
                <w:szCs w:val="20"/>
                <w:lang w:val="en-US"/>
              </w:rPr>
              <w:t>2</w:t>
            </w:r>
            <w:r w:rsidR="00D20ADF">
              <w:rPr>
                <w:b/>
                <w:sz w:val="20"/>
                <w:szCs w:val="20"/>
                <w:lang w:val="en-US"/>
              </w:rPr>
              <w:t>0</w:t>
            </w:r>
            <w:r>
              <w:rPr>
                <w:b/>
                <w:sz w:val="20"/>
                <w:szCs w:val="20"/>
                <w:lang w:val="en-US"/>
              </w:rPr>
              <w:t>.</w:t>
            </w:r>
            <w:r w:rsidR="00F97CE3">
              <w:rPr>
                <w:b/>
                <w:sz w:val="20"/>
                <w:szCs w:val="20"/>
                <w:lang w:val="en-US"/>
              </w:rPr>
              <w:t>4</w:t>
            </w:r>
          </w:p>
        </w:tc>
      </w:tr>
      <w:tr w:rsidR="0012519F" w:rsidRPr="0096546E" w14:paraId="7C480D8D" w14:textId="77777777" w:rsidTr="009907D9">
        <w:tc>
          <w:tcPr>
            <w:tcW w:w="1417" w:type="pct"/>
            <w:tcBorders>
              <w:top w:val="single" w:sz="4" w:space="0" w:color="auto"/>
              <w:bottom w:val="single" w:sz="4" w:space="0" w:color="auto"/>
            </w:tcBorders>
            <w:vAlign w:val="center"/>
          </w:tcPr>
          <w:p w14:paraId="0518F9CA" w14:textId="77777777" w:rsidR="0012519F" w:rsidRPr="0096546E" w:rsidRDefault="0012519F" w:rsidP="0012519F">
            <w:pPr>
              <w:spacing w:before="60" w:after="60"/>
              <w:rPr>
                <w:sz w:val="20"/>
                <w:szCs w:val="20"/>
                <w:lang w:val="en-US"/>
              </w:rPr>
            </w:pPr>
            <w:r w:rsidRPr="0096546E">
              <w:rPr>
                <w:b/>
                <w:sz w:val="20"/>
                <w:szCs w:val="20"/>
                <w:lang w:val="en-US"/>
              </w:rPr>
              <w:t>TOTAL PORTFOLIO</w:t>
            </w:r>
          </w:p>
        </w:tc>
        <w:tc>
          <w:tcPr>
            <w:tcW w:w="1284" w:type="pct"/>
            <w:tcBorders>
              <w:top w:val="single" w:sz="4" w:space="0" w:color="auto"/>
              <w:bottom w:val="single" w:sz="4" w:space="0" w:color="auto"/>
            </w:tcBorders>
            <w:vAlign w:val="center"/>
          </w:tcPr>
          <w:p w14:paraId="2A337B92" w14:textId="77777777" w:rsidR="0012519F" w:rsidRPr="0096546E" w:rsidRDefault="0012519F" w:rsidP="0012519F">
            <w:pPr>
              <w:spacing w:before="60" w:after="60"/>
              <w:jc w:val="center"/>
              <w:rPr>
                <w:sz w:val="20"/>
                <w:szCs w:val="20"/>
                <w:lang w:val="en-US"/>
              </w:rPr>
            </w:pPr>
          </w:p>
        </w:tc>
        <w:tc>
          <w:tcPr>
            <w:tcW w:w="629" w:type="pct"/>
            <w:tcBorders>
              <w:top w:val="single" w:sz="4" w:space="0" w:color="auto"/>
              <w:bottom w:val="single" w:sz="4" w:space="0" w:color="auto"/>
            </w:tcBorders>
            <w:vAlign w:val="center"/>
          </w:tcPr>
          <w:p w14:paraId="14186AEE" w14:textId="77777777" w:rsidR="0012519F" w:rsidRPr="0096546E" w:rsidRDefault="0012519F" w:rsidP="0012519F">
            <w:pPr>
              <w:spacing w:before="60" w:after="60"/>
              <w:jc w:val="center"/>
              <w:rPr>
                <w:sz w:val="20"/>
                <w:szCs w:val="20"/>
                <w:lang w:val="en-US"/>
              </w:rPr>
            </w:pPr>
            <w:r w:rsidRPr="0096546E">
              <w:rPr>
                <w:b/>
                <w:sz w:val="20"/>
                <w:szCs w:val="20"/>
              </w:rPr>
              <w:t>618,204</w:t>
            </w:r>
          </w:p>
        </w:tc>
        <w:tc>
          <w:tcPr>
            <w:tcW w:w="557" w:type="pct"/>
            <w:tcBorders>
              <w:top w:val="single" w:sz="4" w:space="0" w:color="auto"/>
              <w:bottom w:val="single" w:sz="4" w:space="0" w:color="auto"/>
            </w:tcBorders>
            <w:vAlign w:val="center"/>
          </w:tcPr>
          <w:p w14:paraId="07CAEC9A" w14:textId="028F26B8" w:rsidR="0012519F" w:rsidRPr="0096546E" w:rsidRDefault="0012519F" w:rsidP="0012519F">
            <w:pPr>
              <w:spacing w:before="60" w:after="60"/>
              <w:jc w:val="center"/>
              <w:rPr>
                <w:b/>
                <w:sz w:val="20"/>
                <w:szCs w:val="20"/>
              </w:rPr>
            </w:pPr>
            <w:r>
              <w:rPr>
                <w:b/>
                <w:sz w:val="20"/>
                <w:szCs w:val="20"/>
              </w:rPr>
              <w:t>651,306</w:t>
            </w:r>
          </w:p>
        </w:tc>
        <w:tc>
          <w:tcPr>
            <w:tcW w:w="558" w:type="pct"/>
            <w:tcBorders>
              <w:top w:val="single" w:sz="4" w:space="0" w:color="auto"/>
              <w:bottom w:val="single" w:sz="4" w:space="0" w:color="auto"/>
            </w:tcBorders>
          </w:tcPr>
          <w:p w14:paraId="0EE39602" w14:textId="77777777" w:rsidR="0012519F" w:rsidRPr="0096546E" w:rsidRDefault="0012519F" w:rsidP="0012519F">
            <w:pPr>
              <w:spacing w:before="60" w:after="60"/>
              <w:jc w:val="center"/>
              <w:rPr>
                <w:b/>
                <w:sz w:val="20"/>
                <w:szCs w:val="20"/>
                <w:lang w:val="en-US"/>
              </w:rPr>
            </w:pPr>
            <w:r w:rsidRPr="0096546E">
              <w:rPr>
                <w:b/>
                <w:sz w:val="20"/>
                <w:szCs w:val="20"/>
                <w:lang w:val="en-US"/>
              </w:rPr>
              <w:t>100</w:t>
            </w:r>
          </w:p>
        </w:tc>
        <w:tc>
          <w:tcPr>
            <w:tcW w:w="553" w:type="pct"/>
            <w:tcBorders>
              <w:top w:val="single" w:sz="4" w:space="0" w:color="auto"/>
              <w:bottom w:val="single" w:sz="4" w:space="0" w:color="auto"/>
            </w:tcBorders>
            <w:vAlign w:val="center"/>
          </w:tcPr>
          <w:p w14:paraId="4BFE77D5" w14:textId="77777777" w:rsidR="0012519F" w:rsidRPr="0096546E" w:rsidRDefault="0012519F" w:rsidP="0012519F">
            <w:pPr>
              <w:spacing w:before="60" w:after="60"/>
              <w:jc w:val="center"/>
              <w:rPr>
                <w:sz w:val="20"/>
                <w:szCs w:val="20"/>
                <w:lang w:val="en-US"/>
              </w:rPr>
            </w:pPr>
            <w:r w:rsidRPr="0096546E">
              <w:rPr>
                <w:b/>
                <w:sz w:val="20"/>
                <w:szCs w:val="20"/>
                <w:lang w:val="en-US"/>
              </w:rPr>
              <w:t>100</w:t>
            </w:r>
          </w:p>
        </w:tc>
      </w:tr>
      <w:tr w:rsidR="0012519F" w:rsidRPr="0096546E" w14:paraId="67169ABF" w14:textId="77777777" w:rsidTr="009907D9">
        <w:tc>
          <w:tcPr>
            <w:tcW w:w="1417" w:type="pct"/>
            <w:tcBorders>
              <w:top w:val="nil"/>
              <w:left w:val="single" w:sz="8" w:space="0" w:color="auto"/>
              <w:bottom w:val="nil"/>
            </w:tcBorders>
            <w:vAlign w:val="center"/>
          </w:tcPr>
          <w:p w14:paraId="263BB9A0" w14:textId="77777777" w:rsidR="0012519F" w:rsidRPr="0096546E" w:rsidRDefault="0012519F" w:rsidP="0012519F">
            <w:pPr>
              <w:spacing w:before="120" w:after="60"/>
              <w:rPr>
                <w:b/>
                <w:sz w:val="20"/>
                <w:szCs w:val="20"/>
                <w:u w:val="single"/>
                <w:lang w:val="en-US"/>
              </w:rPr>
            </w:pPr>
            <w:r w:rsidRPr="0096546E">
              <w:rPr>
                <w:b/>
                <w:sz w:val="20"/>
                <w:szCs w:val="20"/>
                <w:u w:val="single"/>
                <w:lang w:val="en-US"/>
              </w:rPr>
              <w:t>RETURNS</w:t>
            </w:r>
          </w:p>
        </w:tc>
        <w:tc>
          <w:tcPr>
            <w:tcW w:w="1284" w:type="pct"/>
            <w:tcBorders>
              <w:top w:val="nil"/>
              <w:bottom w:val="nil"/>
            </w:tcBorders>
            <w:vAlign w:val="center"/>
          </w:tcPr>
          <w:p w14:paraId="5C4CF4E2" w14:textId="77777777" w:rsidR="0012519F" w:rsidRPr="0096546E" w:rsidRDefault="0012519F" w:rsidP="0012519F">
            <w:pPr>
              <w:spacing w:before="120" w:after="60"/>
              <w:jc w:val="center"/>
              <w:rPr>
                <w:sz w:val="20"/>
                <w:szCs w:val="20"/>
                <w:lang w:val="en-US"/>
              </w:rPr>
            </w:pPr>
          </w:p>
        </w:tc>
        <w:tc>
          <w:tcPr>
            <w:tcW w:w="629" w:type="pct"/>
            <w:tcBorders>
              <w:top w:val="nil"/>
              <w:bottom w:val="nil"/>
            </w:tcBorders>
            <w:vAlign w:val="center"/>
          </w:tcPr>
          <w:p w14:paraId="0F5B6011" w14:textId="77777777" w:rsidR="0012519F" w:rsidRPr="0096546E" w:rsidRDefault="0012519F" w:rsidP="0012519F">
            <w:pPr>
              <w:spacing w:before="120" w:after="60"/>
              <w:jc w:val="center"/>
              <w:rPr>
                <w:b/>
                <w:sz w:val="20"/>
                <w:szCs w:val="20"/>
                <w:lang w:val="en-US"/>
              </w:rPr>
            </w:pPr>
          </w:p>
        </w:tc>
        <w:tc>
          <w:tcPr>
            <w:tcW w:w="557" w:type="pct"/>
            <w:tcBorders>
              <w:top w:val="nil"/>
              <w:bottom w:val="nil"/>
            </w:tcBorders>
            <w:vAlign w:val="center"/>
          </w:tcPr>
          <w:p w14:paraId="3F81171C" w14:textId="77777777" w:rsidR="0012519F" w:rsidRPr="0096546E" w:rsidRDefault="0012519F" w:rsidP="0012519F">
            <w:pPr>
              <w:spacing w:before="120" w:after="60"/>
              <w:jc w:val="center"/>
              <w:rPr>
                <w:b/>
                <w:sz w:val="20"/>
                <w:szCs w:val="20"/>
              </w:rPr>
            </w:pPr>
          </w:p>
        </w:tc>
        <w:tc>
          <w:tcPr>
            <w:tcW w:w="558" w:type="pct"/>
            <w:tcBorders>
              <w:top w:val="nil"/>
              <w:bottom w:val="nil"/>
            </w:tcBorders>
          </w:tcPr>
          <w:p w14:paraId="56606A15" w14:textId="77777777" w:rsidR="0012519F" w:rsidRPr="0096546E" w:rsidRDefault="0012519F" w:rsidP="0012519F">
            <w:pPr>
              <w:spacing w:before="120" w:after="60"/>
              <w:jc w:val="center"/>
              <w:rPr>
                <w:b/>
                <w:sz w:val="20"/>
                <w:szCs w:val="20"/>
                <w:lang w:val="en-US"/>
              </w:rPr>
            </w:pPr>
          </w:p>
        </w:tc>
        <w:tc>
          <w:tcPr>
            <w:tcW w:w="553" w:type="pct"/>
            <w:tcBorders>
              <w:top w:val="nil"/>
              <w:bottom w:val="nil"/>
            </w:tcBorders>
            <w:vAlign w:val="center"/>
          </w:tcPr>
          <w:p w14:paraId="4BD28A75" w14:textId="77777777" w:rsidR="0012519F" w:rsidRPr="0096546E" w:rsidRDefault="0012519F" w:rsidP="0012519F">
            <w:pPr>
              <w:spacing w:before="120" w:after="60"/>
              <w:jc w:val="center"/>
              <w:rPr>
                <w:b/>
                <w:sz w:val="20"/>
                <w:szCs w:val="20"/>
                <w:lang w:val="en-US"/>
              </w:rPr>
            </w:pPr>
          </w:p>
        </w:tc>
      </w:tr>
      <w:tr w:rsidR="0012519F" w:rsidRPr="0096546E" w14:paraId="0D7BFC6B" w14:textId="77777777" w:rsidTr="009907D9">
        <w:tc>
          <w:tcPr>
            <w:tcW w:w="1417" w:type="pct"/>
            <w:tcBorders>
              <w:top w:val="nil"/>
              <w:left w:val="single" w:sz="8" w:space="0" w:color="auto"/>
              <w:bottom w:val="nil"/>
            </w:tcBorders>
            <w:vAlign w:val="center"/>
          </w:tcPr>
          <w:p w14:paraId="693B6EF8" w14:textId="77777777" w:rsidR="0012519F" w:rsidRPr="0096546E" w:rsidRDefault="0012519F" w:rsidP="0012519F">
            <w:pPr>
              <w:spacing w:before="60" w:after="60"/>
              <w:rPr>
                <w:b/>
                <w:sz w:val="20"/>
                <w:szCs w:val="20"/>
                <w:lang w:val="en-US"/>
              </w:rPr>
            </w:pPr>
            <w:r w:rsidRPr="0096546E">
              <w:rPr>
                <w:b/>
                <w:sz w:val="20"/>
                <w:szCs w:val="20"/>
                <w:lang w:val="en-US"/>
              </w:rPr>
              <w:t>Portfolio</w:t>
            </w:r>
          </w:p>
        </w:tc>
        <w:tc>
          <w:tcPr>
            <w:tcW w:w="1284" w:type="pct"/>
            <w:tcBorders>
              <w:top w:val="nil"/>
              <w:bottom w:val="nil"/>
            </w:tcBorders>
            <w:vAlign w:val="center"/>
          </w:tcPr>
          <w:p w14:paraId="281D1B47" w14:textId="77777777" w:rsidR="0012519F" w:rsidRPr="0096546E" w:rsidRDefault="0012519F" w:rsidP="0012519F">
            <w:pPr>
              <w:spacing w:before="60" w:after="60"/>
              <w:jc w:val="center"/>
              <w:rPr>
                <w:sz w:val="20"/>
                <w:szCs w:val="20"/>
                <w:lang w:val="en-US"/>
              </w:rPr>
            </w:pPr>
          </w:p>
        </w:tc>
        <w:tc>
          <w:tcPr>
            <w:tcW w:w="629" w:type="pct"/>
            <w:tcBorders>
              <w:top w:val="nil"/>
              <w:bottom w:val="nil"/>
            </w:tcBorders>
            <w:vAlign w:val="center"/>
          </w:tcPr>
          <w:p w14:paraId="7FAC3DF1" w14:textId="77777777" w:rsidR="0012519F" w:rsidRPr="0096546E" w:rsidRDefault="0012519F" w:rsidP="0012519F">
            <w:pPr>
              <w:spacing w:before="60" w:after="60"/>
              <w:jc w:val="center"/>
              <w:rPr>
                <w:b/>
                <w:sz w:val="20"/>
                <w:szCs w:val="20"/>
                <w:lang w:val="en-US"/>
              </w:rPr>
            </w:pPr>
          </w:p>
        </w:tc>
        <w:tc>
          <w:tcPr>
            <w:tcW w:w="557" w:type="pct"/>
            <w:tcBorders>
              <w:top w:val="nil"/>
              <w:bottom w:val="nil"/>
            </w:tcBorders>
            <w:vAlign w:val="center"/>
          </w:tcPr>
          <w:p w14:paraId="0DD14DE0" w14:textId="77777777" w:rsidR="0012519F" w:rsidRPr="0096546E" w:rsidRDefault="0012519F" w:rsidP="0012519F">
            <w:pPr>
              <w:spacing w:before="60" w:after="60"/>
              <w:jc w:val="center"/>
              <w:rPr>
                <w:b/>
                <w:sz w:val="20"/>
                <w:szCs w:val="20"/>
              </w:rPr>
            </w:pPr>
          </w:p>
        </w:tc>
        <w:tc>
          <w:tcPr>
            <w:tcW w:w="558" w:type="pct"/>
            <w:tcBorders>
              <w:top w:val="nil"/>
              <w:bottom w:val="nil"/>
            </w:tcBorders>
          </w:tcPr>
          <w:p w14:paraId="31A53FA6" w14:textId="57AEAB76" w:rsidR="0012519F" w:rsidRPr="0096546E" w:rsidRDefault="0012519F" w:rsidP="0012519F">
            <w:pPr>
              <w:spacing w:before="60" w:after="60"/>
              <w:jc w:val="center"/>
              <w:rPr>
                <w:b/>
                <w:sz w:val="20"/>
                <w:szCs w:val="20"/>
                <w:lang w:val="en-US"/>
              </w:rPr>
            </w:pPr>
            <w:r>
              <w:rPr>
                <w:b/>
                <w:sz w:val="20"/>
                <w:szCs w:val="20"/>
                <w:lang w:val="en-US"/>
              </w:rPr>
              <w:t>10.13</w:t>
            </w:r>
            <w:r w:rsidRPr="0096546E">
              <w:rPr>
                <w:b/>
                <w:sz w:val="20"/>
                <w:szCs w:val="20"/>
                <w:lang w:val="en-US"/>
              </w:rPr>
              <w:t>%</w:t>
            </w:r>
          </w:p>
        </w:tc>
        <w:tc>
          <w:tcPr>
            <w:tcW w:w="553" w:type="pct"/>
            <w:tcBorders>
              <w:top w:val="nil"/>
              <w:bottom w:val="nil"/>
            </w:tcBorders>
            <w:vAlign w:val="center"/>
          </w:tcPr>
          <w:p w14:paraId="2B87A2C4" w14:textId="31D43292" w:rsidR="0012519F" w:rsidRPr="0096546E" w:rsidRDefault="0012519F" w:rsidP="0012519F">
            <w:pPr>
              <w:spacing w:before="60" w:after="60"/>
              <w:jc w:val="center"/>
              <w:rPr>
                <w:b/>
                <w:sz w:val="20"/>
                <w:szCs w:val="20"/>
                <w:lang w:val="en-US"/>
              </w:rPr>
            </w:pPr>
            <w:r>
              <w:rPr>
                <w:b/>
                <w:sz w:val="20"/>
                <w:szCs w:val="20"/>
                <w:lang w:val="en-US"/>
              </w:rPr>
              <w:t>8.83</w:t>
            </w:r>
            <w:r w:rsidRPr="0096546E">
              <w:rPr>
                <w:b/>
                <w:sz w:val="20"/>
                <w:szCs w:val="20"/>
                <w:lang w:val="en-US"/>
              </w:rPr>
              <w:t>%</w:t>
            </w:r>
          </w:p>
        </w:tc>
      </w:tr>
      <w:tr w:rsidR="004125C9" w:rsidRPr="0096546E" w14:paraId="0822F73A" w14:textId="77777777" w:rsidTr="009907D9">
        <w:tc>
          <w:tcPr>
            <w:tcW w:w="1417" w:type="pct"/>
            <w:tcBorders>
              <w:top w:val="nil"/>
              <w:left w:val="single" w:sz="8" w:space="0" w:color="auto"/>
              <w:bottom w:val="nil"/>
            </w:tcBorders>
            <w:vAlign w:val="center"/>
          </w:tcPr>
          <w:p w14:paraId="17107F7A" w14:textId="7DD3FC62" w:rsidR="004125C9" w:rsidRPr="0096546E" w:rsidRDefault="004125C9" w:rsidP="0012519F">
            <w:pPr>
              <w:spacing w:before="60" w:after="60"/>
              <w:rPr>
                <w:b/>
                <w:sz w:val="20"/>
                <w:szCs w:val="20"/>
                <w:lang w:val="en-US"/>
              </w:rPr>
            </w:pPr>
            <w:r>
              <w:rPr>
                <w:b/>
                <w:sz w:val="20"/>
                <w:szCs w:val="20"/>
                <w:lang w:val="en-US"/>
              </w:rPr>
              <w:t xml:space="preserve">Portfolio vs Target </w:t>
            </w:r>
            <w:r w:rsidR="00045D1E">
              <w:rPr>
                <w:b/>
                <w:sz w:val="20"/>
                <w:szCs w:val="20"/>
                <w:lang w:val="en-US"/>
              </w:rPr>
              <w:t>(</w:t>
            </w:r>
            <w:r>
              <w:rPr>
                <w:b/>
                <w:sz w:val="20"/>
                <w:szCs w:val="20"/>
                <w:lang w:val="en-US"/>
              </w:rPr>
              <w:t>7.0</w:t>
            </w:r>
            <w:r w:rsidR="00045D1E">
              <w:rPr>
                <w:b/>
                <w:sz w:val="20"/>
                <w:szCs w:val="20"/>
                <w:lang w:val="en-US"/>
              </w:rPr>
              <w:t>% p</w:t>
            </w:r>
            <w:r>
              <w:rPr>
                <w:b/>
                <w:sz w:val="20"/>
                <w:szCs w:val="20"/>
                <w:lang w:val="en-US"/>
              </w:rPr>
              <w:t>a</w:t>
            </w:r>
            <w:r w:rsidR="00045D1E">
              <w:rPr>
                <w:b/>
                <w:sz w:val="20"/>
                <w:szCs w:val="20"/>
                <w:lang w:val="en-US"/>
              </w:rPr>
              <w:t>)</w:t>
            </w:r>
          </w:p>
        </w:tc>
        <w:tc>
          <w:tcPr>
            <w:tcW w:w="1284" w:type="pct"/>
            <w:tcBorders>
              <w:top w:val="nil"/>
              <w:bottom w:val="nil"/>
            </w:tcBorders>
            <w:vAlign w:val="center"/>
          </w:tcPr>
          <w:p w14:paraId="6EF736B2" w14:textId="77777777" w:rsidR="004125C9" w:rsidRPr="0096546E" w:rsidRDefault="004125C9" w:rsidP="0012519F">
            <w:pPr>
              <w:spacing w:before="60" w:after="60"/>
              <w:jc w:val="center"/>
              <w:rPr>
                <w:sz w:val="20"/>
                <w:szCs w:val="20"/>
                <w:lang w:val="en-US"/>
              </w:rPr>
            </w:pPr>
          </w:p>
        </w:tc>
        <w:tc>
          <w:tcPr>
            <w:tcW w:w="629" w:type="pct"/>
            <w:tcBorders>
              <w:top w:val="nil"/>
              <w:bottom w:val="nil"/>
            </w:tcBorders>
            <w:vAlign w:val="center"/>
          </w:tcPr>
          <w:p w14:paraId="1CFA4087" w14:textId="77777777" w:rsidR="004125C9" w:rsidRPr="0096546E" w:rsidRDefault="004125C9" w:rsidP="0012519F">
            <w:pPr>
              <w:spacing w:before="60" w:after="60"/>
              <w:jc w:val="center"/>
              <w:rPr>
                <w:b/>
                <w:sz w:val="20"/>
                <w:szCs w:val="20"/>
                <w:lang w:val="en-US"/>
              </w:rPr>
            </w:pPr>
          </w:p>
        </w:tc>
        <w:tc>
          <w:tcPr>
            <w:tcW w:w="557" w:type="pct"/>
            <w:tcBorders>
              <w:top w:val="nil"/>
              <w:bottom w:val="nil"/>
            </w:tcBorders>
            <w:vAlign w:val="center"/>
          </w:tcPr>
          <w:p w14:paraId="478A4A3E" w14:textId="77777777" w:rsidR="004125C9" w:rsidRPr="0096546E" w:rsidRDefault="004125C9" w:rsidP="0012519F">
            <w:pPr>
              <w:spacing w:before="60" w:after="60"/>
              <w:jc w:val="center"/>
              <w:rPr>
                <w:b/>
                <w:sz w:val="20"/>
                <w:szCs w:val="20"/>
              </w:rPr>
            </w:pPr>
          </w:p>
        </w:tc>
        <w:tc>
          <w:tcPr>
            <w:tcW w:w="558" w:type="pct"/>
            <w:tcBorders>
              <w:top w:val="nil"/>
              <w:bottom w:val="nil"/>
            </w:tcBorders>
          </w:tcPr>
          <w:p w14:paraId="1F4F0624" w14:textId="77777777" w:rsidR="004125C9" w:rsidRPr="0096546E" w:rsidRDefault="004125C9" w:rsidP="0012519F">
            <w:pPr>
              <w:spacing w:before="60" w:after="60"/>
              <w:jc w:val="center"/>
              <w:rPr>
                <w:b/>
                <w:sz w:val="20"/>
                <w:szCs w:val="20"/>
                <w:lang w:val="en-US"/>
              </w:rPr>
            </w:pPr>
          </w:p>
        </w:tc>
        <w:tc>
          <w:tcPr>
            <w:tcW w:w="553" w:type="pct"/>
            <w:tcBorders>
              <w:top w:val="nil"/>
              <w:bottom w:val="nil"/>
            </w:tcBorders>
            <w:vAlign w:val="center"/>
          </w:tcPr>
          <w:p w14:paraId="35AB4FD9" w14:textId="2D4376C3" w:rsidR="004125C9" w:rsidRDefault="00045D1E" w:rsidP="0012519F">
            <w:pPr>
              <w:spacing w:before="60" w:after="60"/>
              <w:jc w:val="center"/>
              <w:rPr>
                <w:b/>
                <w:sz w:val="20"/>
                <w:szCs w:val="20"/>
                <w:lang w:val="en-US"/>
              </w:rPr>
            </w:pPr>
            <w:r>
              <w:rPr>
                <w:b/>
                <w:sz w:val="20"/>
                <w:szCs w:val="20"/>
                <w:lang w:val="en-US"/>
              </w:rPr>
              <w:t>+1.83%</w:t>
            </w:r>
          </w:p>
        </w:tc>
      </w:tr>
      <w:tr w:rsidR="0012519F" w:rsidRPr="0096546E" w14:paraId="7B002387" w14:textId="77777777" w:rsidTr="009907D9">
        <w:tc>
          <w:tcPr>
            <w:tcW w:w="1417" w:type="pct"/>
            <w:tcBorders>
              <w:top w:val="nil"/>
              <w:left w:val="single" w:sz="8" w:space="0" w:color="auto"/>
              <w:bottom w:val="single" w:sz="8" w:space="0" w:color="auto"/>
            </w:tcBorders>
            <w:vAlign w:val="center"/>
          </w:tcPr>
          <w:p w14:paraId="688F45B9" w14:textId="77777777" w:rsidR="0012519F" w:rsidRPr="0096546E" w:rsidRDefault="0012519F" w:rsidP="0012519F">
            <w:pPr>
              <w:spacing w:before="60" w:after="60"/>
              <w:rPr>
                <w:b/>
                <w:sz w:val="20"/>
                <w:szCs w:val="20"/>
                <w:lang w:val="en-US"/>
              </w:rPr>
            </w:pPr>
            <w:r w:rsidRPr="0096546E">
              <w:rPr>
                <w:b/>
                <w:sz w:val="20"/>
                <w:szCs w:val="20"/>
                <w:lang w:val="en-US"/>
              </w:rPr>
              <w:t>SMF vs Reference Portfolio</w:t>
            </w:r>
          </w:p>
        </w:tc>
        <w:tc>
          <w:tcPr>
            <w:tcW w:w="1284" w:type="pct"/>
            <w:tcBorders>
              <w:top w:val="nil"/>
              <w:bottom w:val="single" w:sz="8" w:space="0" w:color="auto"/>
            </w:tcBorders>
            <w:vAlign w:val="center"/>
          </w:tcPr>
          <w:p w14:paraId="5B72B487" w14:textId="77777777" w:rsidR="0012519F" w:rsidRPr="0096546E" w:rsidRDefault="0012519F" w:rsidP="0012519F">
            <w:pPr>
              <w:spacing w:before="60" w:after="60"/>
              <w:jc w:val="center"/>
              <w:rPr>
                <w:sz w:val="20"/>
                <w:szCs w:val="20"/>
                <w:lang w:val="en-US"/>
              </w:rPr>
            </w:pPr>
          </w:p>
        </w:tc>
        <w:tc>
          <w:tcPr>
            <w:tcW w:w="629" w:type="pct"/>
            <w:tcBorders>
              <w:top w:val="nil"/>
              <w:bottom w:val="single" w:sz="8" w:space="0" w:color="auto"/>
            </w:tcBorders>
            <w:vAlign w:val="center"/>
          </w:tcPr>
          <w:p w14:paraId="5A849594" w14:textId="77777777" w:rsidR="0012519F" w:rsidRPr="0096546E" w:rsidRDefault="0012519F" w:rsidP="0012519F">
            <w:pPr>
              <w:spacing w:before="60" w:after="60"/>
              <w:jc w:val="center"/>
              <w:rPr>
                <w:b/>
                <w:sz w:val="20"/>
                <w:szCs w:val="20"/>
                <w:lang w:val="en-US"/>
              </w:rPr>
            </w:pPr>
          </w:p>
        </w:tc>
        <w:tc>
          <w:tcPr>
            <w:tcW w:w="557" w:type="pct"/>
            <w:tcBorders>
              <w:top w:val="nil"/>
              <w:bottom w:val="single" w:sz="8" w:space="0" w:color="auto"/>
            </w:tcBorders>
            <w:vAlign w:val="center"/>
          </w:tcPr>
          <w:p w14:paraId="2B6B363E" w14:textId="77777777" w:rsidR="0012519F" w:rsidRPr="0096546E" w:rsidRDefault="0012519F" w:rsidP="0012519F">
            <w:pPr>
              <w:spacing w:before="60" w:after="60"/>
              <w:jc w:val="center"/>
              <w:rPr>
                <w:b/>
                <w:sz w:val="20"/>
                <w:szCs w:val="20"/>
              </w:rPr>
            </w:pPr>
          </w:p>
        </w:tc>
        <w:tc>
          <w:tcPr>
            <w:tcW w:w="558" w:type="pct"/>
            <w:tcBorders>
              <w:top w:val="nil"/>
              <w:bottom w:val="single" w:sz="8" w:space="0" w:color="auto"/>
            </w:tcBorders>
          </w:tcPr>
          <w:p w14:paraId="4B0CBC71" w14:textId="00455397" w:rsidR="0012519F" w:rsidRPr="0096546E" w:rsidRDefault="0012519F" w:rsidP="0012519F">
            <w:pPr>
              <w:spacing w:before="60" w:after="60"/>
              <w:jc w:val="center"/>
              <w:rPr>
                <w:b/>
                <w:sz w:val="20"/>
                <w:szCs w:val="20"/>
                <w:lang w:val="en-US"/>
              </w:rPr>
            </w:pPr>
          </w:p>
        </w:tc>
        <w:tc>
          <w:tcPr>
            <w:tcW w:w="553" w:type="pct"/>
            <w:tcBorders>
              <w:top w:val="nil"/>
              <w:bottom w:val="single" w:sz="8" w:space="0" w:color="auto"/>
            </w:tcBorders>
            <w:vAlign w:val="center"/>
          </w:tcPr>
          <w:p w14:paraId="42A625AD" w14:textId="1155B068" w:rsidR="0012519F" w:rsidRPr="0096546E" w:rsidRDefault="0012519F" w:rsidP="0012519F">
            <w:pPr>
              <w:spacing w:before="60" w:after="60"/>
              <w:jc w:val="center"/>
              <w:rPr>
                <w:b/>
                <w:sz w:val="20"/>
                <w:szCs w:val="20"/>
                <w:lang w:val="en-US"/>
              </w:rPr>
            </w:pPr>
            <w:r>
              <w:rPr>
                <w:b/>
                <w:sz w:val="20"/>
                <w:szCs w:val="20"/>
                <w:lang w:val="en-US"/>
              </w:rPr>
              <w:t>-1.30</w:t>
            </w:r>
            <w:r w:rsidRPr="0096546E">
              <w:rPr>
                <w:b/>
                <w:sz w:val="20"/>
                <w:szCs w:val="20"/>
                <w:lang w:val="en-US"/>
              </w:rPr>
              <w:t>%</w:t>
            </w:r>
          </w:p>
        </w:tc>
      </w:tr>
    </w:tbl>
    <w:p w14:paraId="1668C1ED" w14:textId="41F8A78D" w:rsidR="00285D30" w:rsidRPr="002C3CF3" w:rsidRDefault="00285D30" w:rsidP="00C32082">
      <w:pPr>
        <w:pStyle w:val="Heading2"/>
      </w:pPr>
      <w:bookmarkStart w:id="28" w:name="_Toc5995721"/>
      <w:r w:rsidRPr="002C3CF3">
        <w:lastRenderedPageBreak/>
        <w:t>A</w:t>
      </w:r>
      <w:r>
        <w:t>ttribution Analysis</w:t>
      </w:r>
      <w:bookmarkEnd w:id="28"/>
    </w:p>
    <w:p w14:paraId="1326AD88" w14:textId="77777777" w:rsidR="004125C9" w:rsidRDefault="004125C9" w:rsidP="00A250F3">
      <w:pPr>
        <w:jc w:val="both"/>
        <w:rPr>
          <w:color w:val="000000"/>
          <w:sz w:val="20"/>
          <w:szCs w:val="20"/>
        </w:rPr>
      </w:pPr>
    </w:p>
    <w:p w14:paraId="608BB7CF" w14:textId="047183D8" w:rsidR="0052236C" w:rsidRDefault="00A302DD" w:rsidP="00A250F3">
      <w:pPr>
        <w:jc w:val="both"/>
        <w:rPr>
          <w:color w:val="000000"/>
          <w:sz w:val="20"/>
          <w:szCs w:val="20"/>
        </w:rPr>
      </w:pPr>
      <w:r w:rsidRPr="002C3CF3">
        <w:rPr>
          <w:color w:val="000000"/>
          <w:sz w:val="20"/>
          <w:szCs w:val="20"/>
        </w:rPr>
        <w:t xml:space="preserve">Figure </w:t>
      </w:r>
      <w:r w:rsidR="002B07EA">
        <w:rPr>
          <w:color w:val="000000"/>
          <w:sz w:val="20"/>
          <w:szCs w:val="20"/>
        </w:rPr>
        <w:t>3</w:t>
      </w:r>
      <w:r w:rsidR="00FD197C">
        <w:rPr>
          <w:color w:val="000000"/>
          <w:sz w:val="20"/>
          <w:szCs w:val="20"/>
        </w:rPr>
        <w:t xml:space="preserve"> reveals</w:t>
      </w:r>
      <w:r w:rsidRPr="002C3CF3">
        <w:rPr>
          <w:color w:val="000000"/>
          <w:sz w:val="20"/>
          <w:szCs w:val="20"/>
        </w:rPr>
        <w:t xml:space="preserve"> </w:t>
      </w:r>
      <w:r w:rsidR="00FD197C">
        <w:rPr>
          <w:color w:val="000000"/>
          <w:sz w:val="20"/>
          <w:szCs w:val="20"/>
        </w:rPr>
        <w:t xml:space="preserve">that </w:t>
      </w:r>
      <w:r w:rsidRPr="002C3CF3">
        <w:rPr>
          <w:color w:val="000000"/>
          <w:sz w:val="20"/>
          <w:szCs w:val="20"/>
        </w:rPr>
        <w:t xml:space="preserve">the SMF </w:t>
      </w:r>
      <w:r w:rsidR="005620C5">
        <w:rPr>
          <w:color w:val="000000"/>
          <w:sz w:val="20"/>
          <w:szCs w:val="20"/>
        </w:rPr>
        <w:t>p</w:t>
      </w:r>
      <w:r w:rsidRPr="002C3CF3">
        <w:rPr>
          <w:color w:val="000000"/>
          <w:sz w:val="20"/>
          <w:szCs w:val="20"/>
        </w:rPr>
        <w:t xml:space="preserve">ortfolio </w:t>
      </w:r>
      <w:r w:rsidR="004125C9">
        <w:rPr>
          <w:color w:val="000000"/>
          <w:sz w:val="20"/>
          <w:szCs w:val="20"/>
        </w:rPr>
        <w:t xml:space="preserve">generated a </w:t>
      </w:r>
      <w:r w:rsidRPr="002C3CF3">
        <w:rPr>
          <w:color w:val="000000"/>
          <w:sz w:val="20"/>
          <w:szCs w:val="20"/>
        </w:rPr>
        <w:t xml:space="preserve">return of </w:t>
      </w:r>
      <w:r w:rsidR="00B82A6C">
        <w:rPr>
          <w:color w:val="000000"/>
          <w:sz w:val="20"/>
          <w:szCs w:val="20"/>
        </w:rPr>
        <w:t>8.83</w:t>
      </w:r>
      <w:r w:rsidRPr="002C3CF3">
        <w:rPr>
          <w:color w:val="000000"/>
          <w:sz w:val="20"/>
          <w:szCs w:val="20"/>
        </w:rPr>
        <w:t>%</w:t>
      </w:r>
      <w:r w:rsidR="004125C9">
        <w:rPr>
          <w:color w:val="000000"/>
          <w:sz w:val="20"/>
          <w:szCs w:val="20"/>
        </w:rPr>
        <w:t xml:space="preserve"> </w:t>
      </w:r>
      <w:r w:rsidR="004125C9" w:rsidRPr="002C3CF3">
        <w:rPr>
          <w:color w:val="000000"/>
          <w:sz w:val="20"/>
          <w:szCs w:val="20"/>
        </w:rPr>
        <w:t>since inception</w:t>
      </w:r>
      <w:r w:rsidR="004125C9">
        <w:rPr>
          <w:color w:val="000000"/>
          <w:sz w:val="20"/>
          <w:szCs w:val="20"/>
        </w:rPr>
        <w:t>. While this exceeds the target return of 7.0%</w:t>
      </w:r>
      <w:r w:rsidR="00045D1E">
        <w:rPr>
          <w:color w:val="000000"/>
          <w:sz w:val="20"/>
          <w:szCs w:val="20"/>
        </w:rPr>
        <w:t xml:space="preserve"> per annum by +1.83%</w:t>
      </w:r>
      <w:r w:rsidR="004125C9">
        <w:rPr>
          <w:color w:val="000000"/>
          <w:sz w:val="20"/>
          <w:szCs w:val="20"/>
        </w:rPr>
        <w:t xml:space="preserve">, the Fund </w:t>
      </w:r>
      <w:r w:rsidR="00B82A6C">
        <w:rPr>
          <w:color w:val="000000"/>
          <w:sz w:val="20"/>
          <w:szCs w:val="20"/>
        </w:rPr>
        <w:t>under</w:t>
      </w:r>
      <w:r w:rsidRPr="002C3CF3">
        <w:rPr>
          <w:color w:val="000000"/>
          <w:sz w:val="20"/>
          <w:szCs w:val="20"/>
        </w:rPr>
        <w:t>perform</w:t>
      </w:r>
      <w:r w:rsidR="004125C9">
        <w:rPr>
          <w:color w:val="000000"/>
          <w:sz w:val="20"/>
          <w:szCs w:val="20"/>
        </w:rPr>
        <w:t>ed</w:t>
      </w:r>
      <w:r w:rsidRPr="002C3CF3">
        <w:rPr>
          <w:color w:val="000000"/>
          <w:sz w:val="20"/>
          <w:szCs w:val="20"/>
        </w:rPr>
        <w:t xml:space="preserve"> the reference portfolio by </w:t>
      </w:r>
      <w:r w:rsidR="00B82A6C">
        <w:rPr>
          <w:color w:val="000000"/>
          <w:sz w:val="20"/>
          <w:szCs w:val="20"/>
        </w:rPr>
        <w:t>1</w:t>
      </w:r>
      <w:r w:rsidR="00D50015">
        <w:rPr>
          <w:color w:val="000000"/>
          <w:sz w:val="20"/>
          <w:szCs w:val="20"/>
        </w:rPr>
        <w:t>.3</w:t>
      </w:r>
      <w:r w:rsidR="00B82A6C">
        <w:rPr>
          <w:color w:val="000000"/>
          <w:sz w:val="20"/>
          <w:szCs w:val="20"/>
        </w:rPr>
        <w:t>0</w:t>
      </w:r>
      <w:r w:rsidRPr="002C3CF3">
        <w:rPr>
          <w:color w:val="000000"/>
          <w:sz w:val="20"/>
          <w:szCs w:val="20"/>
        </w:rPr>
        <w:t xml:space="preserve">%. In order to better understand the sources </w:t>
      </w:r>
      <w:r w:rsidR="00430097">
        <w:rPr>
          <w:color w:val="000000"/>
          <w:sz w:val="20"/>
          <w:szCs w:val="20"/>
        </w:rPr>
        <w:t xml:space="preserve">of </w:t>
      </w:r>
      <w:r w:rsidR="00B82A6C">
        <w:rPr>
          <w:color w:val="000000"/>
          <w:sz w:val="20"/>
          <w:szCs w:val="20"/>
        </w:rPr>
        <w:t>under</w:t>
      </w:r>
      <w:r w:rsidRPr="002C3CF3">
        <w:rPr>
          <w:color w:val="000000"/>
          <w:sz w:val="20"/>
          <w:szCs w:val="20"/>
        </w:rPr>
        <w:t xml:space="preserve">performance, the </w:t>
      </w:r>
      <w:r w:rsidR="00430097" w:rsidRPr="002C3CF3">
        <w:rPr>
          <w:color w:val="000000"/>
          <w:sz w:val="20"/>
          <w:szCs w:val="20"/>
        </w:rPr>
        <w:t>R</w:t>
      </w:r>
      <w:r w:rsidR="00430097">
        <w:rPr>
          <w:color w:val="000000"/>
          <w:sz w:val="20"/>
          <w:szCs w:val="20"/>
        </w:rPr>
        <w:t>&amp;</w:t>
      </w:r>
      <w:r w:rsidR="00430097" w:rsidRPr="002C3CF3">
        <w:rPr>
          <w:color w:val="000000"/>
          <w:sz w:val="20"/>
          <w:szCs w:val="20"/>
        </w:rPr>
        <w:t>C</w:t>
      </w:r>
      <w:r w:rsidRPr="002C3CF3">
        <w:rPr>
          <w:color w:val="000000"/>
          <w:sz w:val="20"/>
          <w:szCs w:val="20"/>
        </w:rPr>
        <w:t xml:space="preserve"> team has conducted a performance attribution analysis, shown in </w:t>
      </w:r>
      <w:r w:rsidR="005D7B1B">
        <w:rPr>
          <w:color w:val="000000"/>
          <w:sz w:val="20"/>
          <w:szCs w:val="20"/>
        </w:rPr>
        <w:t>F</w:t>
      </w:r>
      <w:r w:rsidRPr="002C3CF3">
        <w:rPr>
          <w:color w:val="000000"/>
          <w:sz w:val="20"/>
          <w:szCs w:val="20"/>
        </w:rPr>
        <w:t xml:space="preserve">igure </w:t>
      </w:r>
      <w:r w:rsidR="00932293">
        <w:rPr>
          <w:color w:val="000000"/>
          <w:sz w:val="20"/>
          <w:szCs w:val="20"/>
        </w:rPr>
        <w:t>4</w:t>
      </w:r>
      <w:r w:rsidRPr="002C3CF3">
        <w:rPr>
          <w:color w:val="000000"/>
          <w:sz w:val="20"/>
          <w:szCs w:val="20"/>
        </w:rPr>
        <w:t>. This analysis</w:t>
      </w:r>
      <w:r w:rsidR="00430097">
        <w:rPr>
          <w:color w:val="000000"/>
          <w:sz w:val="20"/>
          <w:szCs w:val="20"/>
        </w:rPr>
        <w:t xml:space="preserve"> </w:t>
      </w:r>
      <w:r w:rsidR="00A82B16">
        <w:rPr>
          <w:color w:val="000000"/>
          <w:sz w:val="20"/>
          <w:szCs w:val="20"/>
        </w:rPr>
        <w:t>firstl</w:t>
      </w:r>
      <w:r w:rsidR="00430097">
        <w:rPr>
          <w:color w:val="000000"/>
          <w:sz w:val="20"/>
          <w:szCs w:val="20"/>
        </w:rPr>
        <w:t xml:space="preserve">y </w:t>
      </w:r>
      <w:r w:rsidRPr="002C3CF3">
        <w:rPr>
          <w:color w:val="000000"/>
          <w:sz w:val="20"/>
          <w:szCs w:val="20"/>
        </w:rPr>
        <w:t xml:space="preserve">decomposes performance relative to the </w:t>
      </w:r>
      <w:r w:rsidR="00166A4C">
        <w:rPr>
          <w:color w:val="000000"/>
          <w:sz w:val="20"/>
          <w:szCs w:val="20"/>
        </w:rPr>
        <w:t xml:space="preserve">reference portfolio </w:t>
      </w:r>
      <w:r w:rsidRPr="002C3CF3">
        <w:rPr>
          <w:color w:val="000000"/>
          <w:sz w:val="20"/>
          <w:szCs w:val="20"/>
        </w:rPr>
        <w:t>into contributions from asset allocation</w:t>
      </w:r>
      <w:r w:rsidR="00A25F7A">
        <w:rPr>
          <w:color w:val="000000"/>
          <w:sz w:val="20"/>
          <w:szCs w:val="20"/>
        </w:rPr>
        <w:t xml:space="preserve">, </w:t>
      </w:r>
      <w:r w:rsidRPr="002C3CF3">
        <w:rPr>
          <w:color w:val="000000"/>
          <w:sz w:val="20"/>
          <w:szCs w:val="20"/>
        </w:rPr>
        <w:t xml:space="preserve">security selection </w:t>
      </w:r>
      <w:r w:rsidR="00A25F7A">
        <w:rPr>
          <w:color w:val="000000"/>
          <w:sz w:val="20"/>
          <w:szCs w:val="20"/>
        </w:rPr>
        <w:t>and other effects.</w:t>
      </w:r>
      <w:r w:rsidR="003C0810">
        <w:rPr>
          <w:color w:val="000000"/>
          <w:sz w:val="20"/>
          <w:szCs w:val="20"/>
        </w:rPr>
        <w:t xml:space="preserve"> </w:t>
      </w:r>
      <w:r w:rsidR="0052236C">
        <w:rPr>
          <w:color w:val="000000"/>
          <w:sz w:val="20"/>
          <w:szCs w:val="20"/>
        </w:rPr>
        <w:t xml:space="preserve">The second section of Figure </w:t>
      </w:r>
      <w:r w:rsidR="00932293">
        <w:rPr>
          <w:color w:val="000000"/>
          <w:sz w:val="20"/>
          <w:szCs w:val="20"/>
        </w:rPr>
        <w:t>4</w:t>
      </w:r>
      <w:r w:rsidR="0052236C">
        <w:rPr>
          <w:color w:val="000000"/>
          <w:sz w:val="20"/>
          <w:szCs w:val="20"/>
        </w:rPr>
        <w:t xml:space="preserve"> displays the contributions of each </w:t>
      </w:r>
      <w:r w:rsidR="004E18C8">
        <w:rPr>
          <w:color w:val="000000"/>
          <w:sz w:val="20"/>
          <w:szCs w:val="20"/>
        </w:rPr>
        <w:t xml:space="preserve">stock held in the AAE portfolio relative to </w:t>
      </w:r>
      <w:r w:rsidR="008D7D6B">
        <w:rPr>
          <w:color w:val="000000"/>
          <w:sz w:val="20"/>
          <w:szCs w:val="20"/>
        </w:rPr>
        <w:t xml:space="preserve">the benchmark </w:t>
      </w:r>
      <w:r w:rsidR="00045D1E">
        <w:rPr>
          <w:color w:val="000000"/>
          <w:sz w:val="20"/>
          <w:szCs w:val="20"/>
        </w:rPr>
        <w:t>S&amp;P/ASX200</w:t>
      </w:r>
      <w:r w:rsidR="00D944FC">
        <w:rPr>
          <w:color w:val="000000"/>
          <w:sz w:val="20"/>
          <w:szCs w:val="20"/>
        </w:rPr>
        <w:t xml:space="preserve"> ETF</w:t>
      </w:r>
      <w:r w:rsidR="008D7D6B">
        <w:rPr>
          <w:color w:val="000000"/>
          <w:sz w:val="20"/>
          <w:szCs w:val="20"/>
        </w:rPr>
        <w:t xml:space="preserve">. Positive </w:t>
      </w:r>
      <w:r w:rsidR="008C3BD6">
        <w:rPr>
          <w:color w:val="000000"/>
          <w:sz w:val="20"/>
          <w:szCs w:val="20"/>
        </w:rPr>
        <w:t xml:space="preserve">contributions were made </w:t>
      </w:r>
      <w:r w:rsidR="00045D1E">
        <w:rPr>
          <w:color w:val="000000"/>
          <w:sz w:val="20"/>
          <w:szCs w:val="20"/>
        </w:rPr>
        <w:t>by</w:t>
      </w:r>
      <w:r w:rsidR="008C3BD6">
        <w:rPr>
          <w:color w:val="000000"/>
          <w:sz w:val="20"/>
          <w:szCs w:val="20"/>
        </w:rPr>
        <w:t xml:space="preserve"> </w:t>
      </w:r>
      <w:r w:rsidR="003207A1">
        <w:rPr>
          <w:color w:val="000000"/>
          <w:sz w:val="20"/>
          <w:szCs w:val="20"/>
        </w:rPr>
        <w:t xml:space="preserve">Rio Tinto (+0.83%) and </w:t>
      </w:r>
      <w:r w:rsidR="00FF704E">
        <w:rPr>
          <w:color w:val="000000"/>
          <w:sz w:val="20"/>
          <w:szCs w:val="20"/>
        </w:rPr>
        <w:t>Telstra (+1.</w:t>
      </w:r>
      <w:r w:rsidR="000C3098">
        <w:rPr>
          <w:color w:val="000000"/>
          <w:sz w:val="20"/>
          <w:szCs w:val="20"/>
        </w:rPr>
        <w:t>42</w:t>
      </w:r>
      <w:r w:rsidR="00FF704E">
        <w:rPr>
          <w:color w:val="000000"/>
          <w:sz w:val="20"/>
          <w:szCs w:val="20"/>
        </w:rPr>
        <w:t>%)</w:t>
      </w:r>
      <w:r w:rsidR="00045D1E">
        <w:rPr>
          <w:color w:val="000000"/>
          <w:sz w:val="20"/>
          <w:szCs w:val="20"/>
        </w:rPr>
        <w:t>,</w:t>
      </w:r>
      <w:r w:rsidR="003C59F1">
        <w:rPr>
          <w:color w:val="000000"/>
          <w:sz w:val="20"/>
          <w:szCs w:val="20"/>
        </w:rPr>
        <w:t xml:space="preserve"> </w:t>
      </w:r>
      <w:r w:rsidR="00DC7A53">
        <w:rPr>
          <w:color w:val="000000"/>
          <w:sz w:val="20"/>
          <w:szCs w:val="20"/>
        </w:rPr>
        <w:t>while</w:t>
      </w:r>
      <w:r w:rsidR="00FD197C">
        <w:rPr>
          <w:color w:val="000000"/>
          <w:sz w:val="20"/>
          <w:szCs w:val="20"/>
        </w:rPr>
        <w:t xml:space="preserve"> </w:t>
      </w:r>
      <w:r w:rsidR="00213CE2">
        <w:rPr>
          <w:color w:val="000000"/>
          <w:sz w:val="20"/>
          <w:szCs w:val="20"/>
        </w:rPr>
        <w:t>Bingo significantly detracted from performance with a -4.4</w:t>
      </w:r>
      <w:r w:rsidR="0008054D">
        <w:rPr>
          <w:color w:val="000000"/>
          <w:sz w:val="20"/>
          <w:szCs w:val="20"/>
        </w:rPr>
        <w:t>3</w:t>
      </w:r>
      <w:r w:rsidR="00213CE2">
        <w:rPr>
          <w:color w:val="000000"/>
          <w:sz w:val="20"/>
          <w:szCs w:val="20"/>
        </w:rPr>
        <w:t xml:space="preserve">% </w:t>
      </w:r>
      <w:r w:rsidR="006C374D">
        <w:rPr>
          <w:color w:val="000000"/>
          <w:sz w:val="20"/>
          <w:szCs w:val="20"/>
        </w:rPr>
        <w:t xml:space="preserve">contribution. </w:t>
      </w:r>
      <w:r w:rsidR="00FD197C">
        <w:rPr>
          <w:color w:val="000000"/>
          <w:sz w:val="20"/>
          <w:szCs w:val="20"/>
        </w:rPr>
        <w:t>The</w:t>
      </w:r>
      <w:r w:rsidR="006C374D" w:rsidRPr="002C3CF3">
        <w:rPr>
          <w:color w:val="000000"/>
          <w:sz w:val="20"/>
          <w:szCs w:val="20"/>
        </w:rPr>
        <w:t xml:space="preserve"> calculations include any franking credits received,</w:t>
      </w:r>
      <w:r w:rsidR="00FD197C">
        <w:rPr>
          <w:color w:val="000000"/>
          <w:sz w:val="20"/>
          <w:szCs w:val="20"/>
        </w:rPr>
        <w:t xml:space="preserve"> with</w:t>
      </w:r>
      <w:r w:rsidR="006C374D" w:rsidRPr="002C3CF3">
        <w:rPr>
          <w:color w:val="000000"/>
          <w:sz w:val="20"/>
          <w:szCs w:val="20"/>
        </w:rPr>
        <w:t xml:space="preserve"> the SMF returns and AAE contributions hav</w:t>
      </w:r>
      <w:r w:rsidR="00FD197C">
        <w:rPr>
          <w:color w:val="000000"/>
          <w:sz w:val="20"/>
          <w:szCs w:val="20"/>
        </w:rPr>
        <w:t>ing</w:t>
      </w:r>
      <w:r w:rsidR="006C374D" w:rsidRPr="002C3CF3">
        <w:rPr>
          <w:color w:val="000000"/>
          <w:sz w:val="20"/>
          <w:szCs w:val="20"/>
        </w:rPr>
        <w:t xml:space="preserve"> benefitted from holding stocks that pay relatively high fully franked dividends (notably </w:t>
      </w:r>
      <w:r w:rsidR="00045D1E">
        <w:rPr>
          <w:color w:val="000000"/>
          <w:sz w:val="20"/>
          <w:szCs w:val="20"/>
        </w:rPr>
        <w:t xml:space="preserve">Rio </w:t>
      </w:r>
      <w:r w:rsidR="00F82EF9" w:rsidRPr="006D0A67">
        <w:rPr>
          <w:sz w:val="20"/>
          <w:lang w:eastAsia="zh-CN"/>
        </w:rPr>
        <w:t>Tinto</w:t>
      </w:r>
      <w:r w:rsidR="00F82EF9">
        <w:rPr>
          <w:color w:val="000000"/>
          <w:sz w:val="20"/>
          <w:szCs w:val="20"/>
        </w:rPr>
        <w:t xml:space="preserve"> </w:t>
      </w:r>
      <w:r w:rsidR="00045D1E">
        <w:rPr>
          <w:color w:val="000000"/>
          <w:sz w:val="20"/>
          <w:szCs w:val="20"/>
        </w:rPr>
        <w:t xml:space="preserve">and </w:t>
      </w:r>
      <w:r w:rsidR="006C374D" w:rsidRPr="002C3CF3">
        <w:rPr>
          <w:color w:val="000000"/>
          <w:sz w:val="20"/>
          <w:szCs w:val="20"/>
        </w:rPr>
        <w:t xml:space="preserve">Telstra). </w:t>
      </w:r>
      <w:r w:rsidR="00505665">
        <w:rPr>
          <w:color w:val="000000"/>
          <w:sz w:val="20"/>
          <w:szCs w:val="20"/>
        </w:rPr>
        <w:t xml:space="preserve">The final section of Figure </w:t>
      </w:r>
      <w:r w:rsidR="00932293">
        <w:rPr>
          <w:color w:val="000000"/>
          <w:sz w:val="20"/>
          <w:szCs w:val="20"/>
        </w:rPr>
        <w:t>4</w:t>
      </w:r>
      <w:r w:rsidR="00166A4C">
        <w:rPr>
          <w:color w:val="000000"/>
          <w:sz w:val="20"/>
          <w:szCs w:val="20"/>
        </w:rPr>
        <w:t xml:space="preserve"> </w:t>
      </w:r>
      <w:r w:rsidR="00505665">
        <w:rPr>
          <w:color w:val="000000"/>
          <w:sz w:val="20"/>
          <w:szCs w:val="20"/>
        </w:rPr>
        <w:t xml:space="preserve">shows the </w:t>
      </w:r>
      <w:r w:rsidR="00FC5DCE">
        <w:rPr>
          <w:color w:val="000000"/>
          <w:sz w:val="20"/>
          <w:szCs w:val="20"/>
        </w:rPr>
        <w:t xml:space="preserve">contributions from the cash portfolio relative to the benchmark </w:t>
      </w:r>
      <w:r w:rsidR="004F2886">
        <w:rPr>
          <w:color w:val="000000"/>
          <w:sz w:val="20"/>
          <w:szCs w:val="20"/>
        </w:rPr>
        <w:t xml:space="preserve">cash ETF. Holding cash in the </w:t>
      </w:r>
      <w:r w:rsidR="00045D1E">
        <w:rPr>
          <w:color w:val="000000"/>
          <w:sz w:val="20"/>
          <w:szCs w:val="20"/>
        </w:rPr>
        <w:t xml:space="preserve">BT </w:t>
      </w:r>
      <w:r w:rsidR="004F2886">
        <w:rPr>
          <w:color w:val="000000"/>
          <w:sz w:val="20"/>
          <w:szCs w:val="20"/>
        </w:rPr>
        <w:t xml:space="preserve">Cash Management Trust </w:t>
      </w:r>
      <w:r w:rsidR="00045D1E">
        <w:rPr>
          <w:color w:val="000000"/>
          <w:sz w:val="20"/>
          <w:szCs w:val="20"/>
        </w:rPr>
        <w:t>p</w:t>
      </w:r>
      <w:r w:rsidR="00D10577">
        <w:rPr>
          <w:color w:val="000000"/>
          <w:sz w:val="20"/>
          <w:szCs w:val="20"/>
        </w:rPr>
        <w:t>rovides for liquidity</w:t>
      </w:r>
      <w:r w:rsidR="00166A4C">
        <w:rPr>
          <w:color w:val="000000"/>
          <w:sz w:val="20"/>
          <w:szCs w:val="20"/>
        </w:rPr>
        <w:t>,</w:t>
      </w:r>
      <w:r w:rsidR="00D10577">
        <w:rPr>
          <w:color w:val="000000"/>
          <w:sz w:val="20"/>
          <w:szCs w:val="20"/>
        </w:rPr>
        <w:t xml:space="preserve"> </w:t>
      </w:r>
      <w:r w:rsidR="00D44B75">
        <w:rPr>
          <w:color w:val="000000"/>
          <w:sz w:val="20"/>
          <w:szCs w:val="20"/>
        </w:rPr>
        <w:t xml:space="preserve">with the </w:t>
      </w:r>
      <w:r w:rsidR="00FD63CF">
        <w:rPr>
          <w:color w:val="000000"/>
          <w:sz w:val="20"/>
          <w:szCs w:val="20"/>
        </w:rPr>
        <w:t>trade-off</w:t>
      </w:r>
      <w:r w:rsidR="00D44B75">
        <w:rPr>
          <w:color w:val="000000"/>
          <w:sz w:val="20"/>
          <w:szCs w:val="20"/>
        </w:rPr>
        <w:t xml:space="preserve"> being a lower return th</w:t>
      </w:r>
      <w:r w:rsidR="00FD197C">
        <w:rPr>
          <w:color w:val="000000"/>
          <w:sz w:val="20"/>
          <w:szCs w:val="20"/>
        </w:rPr>
        <w:t>a</w:t>
      </w:r>
      <w:r w:rsidR="00D44B75">
        <w:rPr>
          <w:color w:val="000000"/>
          <w:sz w:val="20"/>
          <w:szCs w:val="20"/>
        </w:rPr>
        <w:t xml:space="preserve">n that </w:t>
      </w:r>
      <w:r w:rsidR="00D44B75">
        <w:rPr>
          <w:color w:val="000000"/>
          <w:sz w:val="20"/>
          <w:szCs w:val="20"/>
        </w:rPr>
        <w:t xml:space="preserve">achieved by the benchmark </w:t>
      </w:r>
      <w:r w:rsidR="00045D1E">
        <w:rPr>
          <w:color w:val="000000"/>
          <w:sz w:val="20"/>
          <w:szCs w:val="20"/>
        </w:rPr>
        <w:t xml:space="preserve">Betashares </w:t>
      </w:r>
      <w:r w:rsidR="00D44B75">
        <w:rPr>
          <w:color w:val="000000"/>
          <w:sz w:val="20"/>
          <w:szCs w:val="20"/>
        </w:rPr>
        <w:t xml:space="preserve">ETF. </w:t>
      </w:r>
      <w:r w:rsidR="00FD63CF">
        <w:rPr>
          <w:color w:val="000000"/>
          <w:sz w:val="20"/>
          <w:szCs w:val="20"/>
        </w:rPr>
        <w:t>The sum of this effect is -0.</w:t>
      </w:r>
      <w:r w:rsidR="00D35018">
        <w:rPr>
          <w:color w:val="000000"/>
          <w:sz w:val="20"/>
          <w:szCs w:val="20"/>
        </w:rPr>
        <w:t>30</w:t>
      </w:r>
      <w:r w:rsidR="00FD63CF">
        <w:rPr>
          <w:color w:val="000000"/>
          <w:sz w:val="20"/>
          <w:szCs w:val="20"/>
        </w:rPr>
        <w:t>%</w:t>
      </w:r>
      <w:r w:rsidR="00FD197C">
        <w:rPr>
          <w:color w:val="000000"/>
          <w:sz w:val="20"/>
          <w:szCs w:val="20"/>
        </w:rPr>
        <w:t xml:space="preserve"> relative to the cash benchmark. This applies to only </w:t>
      </w:r>
      <w:r w:rsidR="00C60F7F">
        <w:rPr>
          <w:color w:val="000000"/>
          <w:sz w:val="20"/>
          <w:szCs w:val="20"/>
        </w:rPr>
        <w:t xml:space="preserve">a </w:t>
      </w:r>
      <w:r w:rsidR="00FD197C">
        <w:rPr>
          <w:color w:val="000000"/>
          <w:sz w:val="20"/>
          <w:szCs w:val="20"/>
        </w:rPr>
        <w:t xml:space="preserve">small part of the total portfolio, with the overall cash contribution amounting to </w:t>
      </w:r>
      <w:r w:rsidR="00FD197C" w:rsidRPr="00867405">
        <w:rPr>
          <w:color w:val="000000"/>
          <w:sz w:val="20"/>
          <w:szCs w:val="20"/>
        </w:rPr>
        <w:t>-0.</w:t>
      </w:r>
      <w:r w:rsidR="00CB2AAA" w:rsidRPr="00867405">
        <w:rPr>
          <w:color w:val="000000"/>
          <w:sz w:val="20"/>
          <w:szCs w:val="20"/>
        </w:rPr>
        <w:t>0</w:t>
      </w:r>
      <w:r w:rsidR="007544FE" w:rsidRPr="00867405">
        <w:rPr>
          <w:color w:val="000000"/>
          <w:sz w:val="20"/>
          <w:szCs w:val="20"/>
        </w:rPr>
        <w:t>2</w:t>
      </w:r>
      <w:r w:rsidR="00FD197C" w:rsidRPr="00867405">
        <w:rPr>
          <w:color w:val="000000"/>
          <w:sz w:val="20"/>
          <w:szCs w:val="20"/>
        </w:rPr>
        <w:t>%</w:t>
      </w:r>
      <w:r w:rsidR="00FD63CF" w:rsidRPr="00045D1E">
        <w:rPr>
          <w:color w:val="000000"/>
          <w:sz w:val="20"/>
          <w:szCs w:val="20"/>
        </w:rPr>
        <w:t>.</w:t>
      </w:r>
      <w:r w:rsidR="00FD63CF">
        <w:rPr>
          <w:color w:val="000000"/>
          <w:sz w:val="20"/>
          <w:szCs w:val="20"/>
        </w:rPr>
        <w:t xml:space="preserve"> </w:t>
      </w:r>
      <w:r w:rsidR="00FD735E">
        <w:rPr>
          <w:color w:val="000000"/>
          <w:sz w:val="20"/>
          <w:szCs w:val="20"/>
        </w:rPr>
        <w:t xml:space="preserve">As </w:t>
      </w:r>
      <w:r w:rsidR="006B1461">
        <w:rPr>
          <w:color w:val="000000"/>
          <w:sz w:val="20"/>
          <w:szCs w:val="20"/>
        </w:rPr>
        <w:t>any active a</w:t>
      </w:r>
      <w:r w:rsidR="00166A4C">
        <w:rPr>
          <w:color w:val="000000"/>
          <w:sz w:val="20"/>
          <w:szCs w:val="20"/>
        </w:rPr>
        <w:t xml:space="preserve">sset </w:t>
      </w:r>
      <w:r w:rsidR="006B1461">
        <w:rPr>
          <w:color w:val="000000"/>
          <w:sz w:val="20"/>
          <w:szCs w:val="20"/>
        </w:rPr>
        <w:t>a</w:t>
      </w:r>
      <w:r w:rsidR="00166A4C">
        <w:rPr>
          <w:color w:val="000000"/>
          <w:sz w:val="20"/>
          <w:szCs w:val="20"/>
        </w:rPr>
        <w:t xml:space="preserve">llocation </w:t>
      </w:r>
      <w:r w:rsidR="00FD735E">
        <w:rPr>
          <w:color w:val="000000"/>
          <w:sz w:val="20"/>
          <w:szCs w:val="20"/>
        </w:rPr>
        <w:t xml:space="preserve">decisions </w:t>
      </w:r>
      <w:r w:rsidR="00FD735E">
        <w:rPr>
          <w:color w:val="000000"/>
          <w:sz w:val="20"/>
          <w:szCs w:val="20"/>
        </w:rPr>
        <w:t>are yet to be made</w:t>
      </w:r>
      <w:r w:rsidR="006B1461">
        <w:rPr>
          <w:color w:val="000000"/>
          <w:sz w:val="20"/>
          <w:szCs w:val="20"/>
        </w:rPr>
        <w:t>, the</w:t>
      </w:r>
      <w:r w:rsidR="00CF6640">
        <w:rPr>
          <w:color w:val="000000"/>
          <w:sz w:val="20"/>
          <w:szCs w:val="20"/>
        </w:rPr>
        <w:t xml:space="preserve"> targeted </w:t>
      </w:r>
      <w:r w:rsidR="006B1461">
        <w:rPr>
          <w:color w:val="000000"/>
          <w:sz w:val="20"/>
          <w:szCs w:val="20"/>
        </w:rPr>
        <w:t xml:space="preserve">asset weights remain </w:t>
      </w:r>
      <w:r w:rsidR="00045D1E">
        <w:rPr>
          <w:color w:val="000000"/>
          <w:sz w:val="20"/>
          <w:szCs w:val="20"/>
        </w:rPr>
        <w:t xml:space="preserve">broadly </w:t>
      </w:r>
      <w:r w:rsidR="006B1461">
        <w:rPr>
          <w:color w:val="000000"/>
          <w:sz w:val="20"/>
          <w:szCs w:val="20"/>
        </w:rPr>
        <w:t>in line with the</w:t>
      </w:r>
      <w:r w:rsidR="005620C5">
        <w:rPr>
          <w:color w:val="000000"/>
          <w:sz w:val="20"/>
          <w:szCs w:val="20"/>
        </w:rPr>
        <w:t xml:space="preserve"> r</w:t>
      </w:r>
      <w:r w:rsidR="00CF6640">
        <w:rPr>
          <w:color w:val="000000"/>
          <w:sz w:val="20"/>
          <w:szCs w:val="20"/>
        </w:rPr>
        <w:t xml:space="preserve">eference </w:t>
      </w:r>
      <w:r w:rsidR="005620C5">
        <w:rPr>
          <w:color w:val="000000"/>
          <w:sz w:val="20"/>
          <w:szCs w:val="20"/>
        </w:rPr>
        <w:t>p</w:t>
      </w:r>
      <w:r w:rsidR="00CF6640">
        <w:rPr>
          <w:color w:val="000000"/>
          <w:sz w:val="20"/>
          <w:szCs w:val="20"/>
        </w:rPr>
        <w:t>ortfolio weights</w:t>
      </w:r>
      <w:r w:rsidR="006B1461">
        <w:rPr>
          <w:color w:val="000000"/>
          <w:sz w:val="20"/>
          <w:szCs w:val="20"/>
        </w:rPr>
        <w:t>.</w:t>
      </w:r>
      <w:r w:rsidR="00CF6640">
        <w:rPr>
          <w:color w:val="000000"/>
          <w:sz w:val="20"/>
          <w:szCs w:val="20"/>
        </w:rPr>
        <w:t xml:space="preserve"> </w:t>
      </w:r>
      <w:r w:rsidR="006B1461">
        <w:rPr>
          <w:color w:val="000000"/>
          <w:sz w:val="20"/>
          <w:szCs w:val="20"/>
        </w:rPr>
        <w:t xml:space="preserve">Specific asset </w:t>
      </w:r>
      <w:r w:rsidR="00CF6640">
        <w:rPr>
          <w:color w:val="000000"/>
          <w:sz w:val="20"/>
          <w:szCs w:val="20"/>
        </w:rPr>
        <w:t xml:space="preserve">contributions have been excluded from analysis as they represent </w:t>
      </w:r>
      <w:r w:rsidR="006B1461">
        <w:rPr>
          <w:color w:val="000000"/>
          <w:sz w:val="20"/>
          <w:szCs w:val="20"/>
        </w:rPr>
        <w:t xml:space="preserve">the effect of </w:t>
      </w:r>
      <w:r w:rsidR="00CF6640">
        <w:rPr>
          <w:color w:val="000000"/>
          <w:sz w:val="20"/>
          <w:szCs w:val="20"/>
        </w:rPr>
        <w:t xml:space="preserve">market movements </w:t>
      </w:r>
      <w:r w:rsidR="006B1461">
        <w:rPr>
          <w:color w:val="000000"/>
          <w:sz w:val="20"/>
          <w:szCs w:val="20"/>
        </w:rPr>
        <w:t xml:space="preserve">and the impact of the fund distribution in early-2019, </w:t>
      </w:r>
      <w:r w:rsidR="00CF6640">
        <w:rPr>
          <w:color w:val="000000"/>
          <w:sz w:val="20"/>
          <w:szCs w:val="20"/>
        </w:rPr>
        <w:t xml:space="preserve">rather </w:t>
      </w:r>
      <w:r w:rsidR="00166A4C">
        <w:rPr>
          <w:color w:val="000000"/>
          <w:sz w:val="20"/>
          <w:szCs w:val="20"/>
        </w:rPr>
        <w:t xml:space="preserve">than </w:t>
      </w:r>
      <w:r w:rsidR="00F01DC2">
        <w:rPr>
          <w:color w:val="000000"/>
          <w:sz w:val="20"/>
          <w:szCs w:val="20"/>
        </w:rPr>
        <w:t xml:space="preserve">strategic decisions made by the Fund. </w:t>
      </w:r>
    </w:p>
    <w:p w14:paraId="7C0D77A5" w14:textId="1945AEC4" w:rsidR="00F01DC2" w:rsidRPr="00AC697D" w:rsidRDefault="00F01DC2" w:rsidP="00AC697D">
      <w:pPr>
        <w:spacing w:before="180" w:after="60"/>
        <w:jc w:val="both"/>
        <w:rPr>
          <w:b/>
          <w:sz w:val="22"/>
          <w:szCs w:val="22"/>
          <w:lang w:val="en-US"/>
        </w:rPr>
      </w:pPr>
      <w:r w:rsidRPr="00AC697D">
        <w:rPr>
          <w:b/>
          <w:sz w:val="22"/>
          <w:szCs w:val="22"/>
          <w:lang w:val="en-US"/>
        </w:rPr>
        <w:t xml:space="preserve">Figure </w:t>
      </w:r>
      <w:r w:rsidR="002B07EA">
        <w:rPr>
          <w:b/>
          <w:sz w:val="22"/>
          <w:szCs w:val="22"/>
          <w:lang w:val="en-US"/>
        </w:rPr>
        <w:t>4</w:t>
      </w:r>
      <w:r w:rsidRPr="00AC697D">
        <w:rPr>
          <w:b/>
          <w:sz w:val="22"/>
          <w:szCs w:val="22"/>
          <w:lang w:val="en-US"/>
        </w:rPr>
        <w:t xml:space="preserve">: Attribution Analysis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92"/>
        <w:gridCol w:w="936"/>
        <w:gridCol w:w="1032"/>
        <w:gridCol w:w="995"/>
        <w:gridCol w:w="1161"/>
        <w:gridCol w:w="833"/>
        <w:gridCol w:w="1233"/>
      </w:tblGrid>
      <w:tr w:rsidR="00826426" w:rsidRPr="00591EE3" w14:paraId="6B857D84" w14:textId="77777777" w:rsidTr="00826426">
        <w:trPr>
          <w:trHeight w:val="312"/>
        </w:trPr>
        <w:tc>
          <w:tcPr>
            <w:tcW w:w="8349" w:type="dxa"/>
            <w:gridSpan w:val="6"/>
            <w:tcBorders>
              <w:top w:val="single" w:sz="8" w:space="0" w:color="auto"/>
              <w:left w:val="single" w:sz="8" w:space="0" w:color="auto"/>
              <w:bottom w:val="single" w:sz="4" w:space="0" w:color="auto"/>
            </w:tcBorders>
            <w:shd w:val="clear" w:color="auto" w:fill="DEEAF6"/>
            <w:noWrap/>
            <w:vAlign w:val="center"/>
            <w:hideMark/>
          </w:tcPr>
          <w:p w14:paraId="58BA6174" w14:textId="5701807C" w:rsidR="00826426" w:rsidRPr="00591EE3" w:rsidRDefault="00826426" w:rsidP="00E031B9">
            <w:pPr>
              <w:spacing w:before="60" w:after="60"/>
              <w:jc w:val="center"/>
              <w:rPr>
                <w:b/>
                <w:bCs/>
                <w:color w:val="000000"/>
                <w:sz w:val="20"/>
                <w:szCs w:val="20"/>
                <w:u w:val="single"/>
              </w:rPr>
            </w:pPr>
            <w:r w:rsidRPr="00591EE3">
              <w:rPr>
                <w:b/>
                <w:bCs/>
                <w:color w:val="000000"/>
                <w:sz w:val="20"/>
                <w:szCs w:val="20"/>
              </w:rPr>
              <w:t>Contributions to Performance vs. Reference Portfolio by Sub-Period</w:t>
            </w:r>
          </w:p>
        </w:tc>
        <w:tc>
          <w:tcPr>
            <w:tcW w:w="1233" w:type="dxa"/>
            <w:tcBorders>
              <w:top w:val="single" w:sz="8" w:space="0" w:color="auto"/>
              <w:bottom w:val="single" w:sz="4" w:space="0" w:color="auto"/>
              <w:right w:val="single" w:sz="8" w:space="0" w:color="auto"/>
            </w:tcBorders>
            <w:shd w:val="clear" w:color="auto" w:fill="DEEAF6"/>
            <w:noWrap/>
            <w:vAlign w:val="center"/>
            <w:hideMark/>
          </w:tcPr>
          <w:p w14:paraId="2FAF1A02" w14:textId="2260055C" w:rsidR="00826426" w:rsidRPr="00591EE3" w:rsidRDefault="00826426" w:rsidP="00E031B9">
            <w:pPr>
              <w:spacing w:before="60" w:after="60"/>
              <w:jc w:val="center"/>
              <w:rPr>
                <w:b/>
                <w:bCs/>
                <w:color w:val="000000"/>
                <w:sz w:val="20"/>
                <w:szCs w:val="20"/>
                <w:u w:val="single"/>
              </w:rPr>
            </w:pPr>
            <w:r w:rsidRPr="00591EE3">
              <w:rPr>
                <w:b/>
                <w:bCs/>
                <w:color w:val="000000"/>
                <w:sz w:val="20"/>
                <w:szCs w:val="20"/>
                <w:u w:val="single"/>
              </w:rPr>
              <w:t>Cumulative Return</w:t>
            </w:r>
          </w:p>
        </w:tc>
      </w:tr>
      <w:tr w:rsidR="00546FAB" w:rsidRPr="00591EE3" w14:paraId="5D66B156" w14:textId="77777777" w:rsidTr="00826426">
        <w:trPr>
          <w:trHeight w:val="312"/>
        </w:trPr>
        <w:tc>
          <w:tcPr>
            <w:tcW w:w="3392" w:type="dxa"/>
            <w:tcBorders>
              <w:top w:val="single" w:sz="4" w:space="0" w:color="auto"/>
              <w:left w:val="single" w:sz="8" w:space="0" w:color="auto"/>
            </w:tcBorders>
            <w:noWrap/>
            <w:hideMark/>
          </w:tcPr>
          <w:p w14:paraId="7B2D1308" w14:textId="77777777" w:rsidR="00711CCA" w:rsidRPr="00591EE3" w:rsidRDefault="00711CCA" w:rsidP="00711CCA">
            <w:pPr>
              <w:spacing w:before="40" w:after="20"/>
              <w:jc w:val="both"/>
              <w:rPr>
                <w:b/>
                <w:bCs/>
                <w:i/>
                <w:iCs/>
                <w:color w:val="000000"/>
                <w:sz w:val="20"/>
                <w:szCs w:val="20"/>
              </w:rPr>
            </w:pPr>
            <w:r w:rsidRPr="00591EE3">
              <w:rPr>
                <w:b/>
                <w:bCs/>
                <w:i/>
                <w:iCs/>
                <w:color w:val="000000"/>
                <w:sz w:val="20"/>
                <w:szCs w:val="20"/>
              </w:rPr>
              <w:t>Period Start</w:t>
            </w:r>
          </w:p>
        </w:tc>
        <w:tc>
          <w:tcPr>
            <w:tcW w:w="936" w:type="dxa"/>
            <w:tcBorders>
              <w:top w:val="single" w:sz="4" w:space="0" w:color="auto"/>
            </w:tcBorders>
            <w:noWrap/>
            <w:hideMark/>
          </w:tcPr>
          <w:p w14:paraId="0B401145" w14:textId="1CAF822D" w:rsidR="00711CCA" w:rsidRPr="00591EE3" w:rsidRDefault="00711CCA" w:rsidP="00711CCA">
            <w:pPr>
              <w:spacing w:before="40" w:after="20"/>
              <w:jc w:val="center"/>
              <w:rPr>
                <w:color w:val="000000"/>
                <w:sz w:val="20"/>
                <w:szCs w:val="20"/>
              </w:rPr>
            </w:pPr>
            <w:r w:rsidRPr="00591EE3">
              <w:rPr>
                <w:color w:val="000000"/>
                <w:sz w:val="20"/>
                <w:szCs w:val="20"/>
              </w:rPr>
              <w:t>10</w:t>
            </w:r>
            <w:r w:rsidR="00464EDD">
              <w:rPr>
                <w:color w:val="000000"/>
                <w:sz w:val="20"/>
                <w:szCs w:val="20"/>
              </w:rPr>
              <w:t>/4/</w:t>
            </w:r>
            <w:r w:rsidRPr="00591EE3">
              <w:rPr>
                <w:color w:val="000000"/>
                <w:sz w:val="20"/>
                <w:szCs w:val="20"/>
              </w:rPr>
              <w:t>18</w:t>
            </w:r>
          </w:p>
        </w:tc>
        <w:tc>
          <w:tcPr>
            <w:tcW w:w="1032" w:type="dxa"/>
            <w:tcBorders>
              <w:top w:val="single" w:sz="4" w:space="0" w:color="auto"/>
            </w:tcBorders>
            <w:noWrap/>
            <w:hideMark/>
          </w:tcPr>
          <w:p w14:paraId="33E3452E" w14:textId="54FE259E" w:rsidR="00711CCA" w:rsidRPr="00591EE3" w:rsidRDefault="00546FAB" w:rsidP="00711CCA">
            <w:pPr>
              <w:spacing w:before="40" w:after="20"/>
              <w:jc w:val="center"/>
              <w:rPr>
                <w:color w:val="000000"/>
                <w:sz w:val="20"/>
                <w:szCs w:val="20"/>
              </w:rPr>
            </w:pPr>
            <w:r w:rsidRPr="00591EE3">
              <w:rPr>
                <w:color w:val="000000"/>
                <w:sz w:val="20"/>
                <w:szCs w:val="20"/>
              </w:rPr>
              <w:t>22</w:t>
            </w:r>
            <w:r>
              <w:rPr>
                <w:color w:val="000000"/>
                <w:sz w:val="20"/>
                <w:szCs w:val="20"/>
              </w:rPr>
              <w:t>/5/18</w:t>
            </w:r>
          </w:p>
        </w:tc>
        <w:tc>
          <w:tcPr>
            <w:tcW w:w="995" w:type="dxa"/>
            <w:tcBorders>
              <w:top w:val="single" w:sz="4" w:space="0" w:color="auto"/>
            </w:tcBorders>
            <w:noWrap/>
            <w:hideMark/>
          </w:tcPr>
          <w:p w14:paraId="30E1C9A2" w14:textId="7336DEB3" w:rsidR="00711CCA" w:rsidRPr="00591EE3" w:rsidRDefault="00546FAB" w:rsidP="00711CCA">
            <w:pPr>
              <w:spacing w:before="40" w:after="20"/>
              <w:jc w:val="center"/>
              <w:rPr>
                <w:color w:val="000000"/>
                <w:sz w:val="20"/>
                <w:szCs w:val="20"/>
              </w:rPr>
            </w:pPr>
            <w:r>
              <w:rPr>
                <w:color w:val="000000"/>
                <w:sz w:val="20"/>
                <w:szCs w:val="20"/>
              </w:rPr>
              <w:t>8/10/18</w:t>
            </w:r>
          </w:p>
        </w:tc>
        <w:tc>
          <w:tcPr>
            <w:tcW w:w="1161" w:type="dxa"/>
            <w:tcBorders>
              <w:top w:val="single" w:sz="4" w:space="0" w:color="auto"/>
            </w:tcBorders>
            <w:noWrap/>
            <w:hideMark/>
          </w:tcPr>
          <w:p w14:paraId="6101101C" w14:textId="7DD0F24D" w:rsidR="00711CCA" w:rsidRPr="00591EE3" w:rsidRDefault="00546FAB" w:rsidP="00711CCA">
            <w:pPr>
              <w:spacing w:before="40" w:after="20"/>
              <w:jc w:val="center"/>
              <w:rPr>
                <w:color w:val="000000"/>
                <w:sz w:val="20"/>
                <w:szCs w:val="20"/>
              </w:rPr>
            </w:pPr>
            <w:r w:rsidRPr="00591EE3">
              <w:rPr>
                <w:color w:val="000000"/>
                <w:sz w:val="20"/>
                <w:szCs w:val="20"/>
              </w:rPr>
              <w:t>31</w:t>
            </w:r>
            <w:r>
              <w:rPr>
                <w:color w:val="000000"/>
                <w:sz w:val="20"/>
                <w:szCs w:val="20"/>
              </w:rPr>
              <w:t>/12/1</w:t>
            </w:r>
            <w:r w:rsidRPr="00591EE3">
              <w:rPr>
                <w:color w:val="000000"/>
                <w:sz w:val="20"/>
                <w:szCs w:val="20"/>
              </w:rPr>
              <w:t>8</w:t>
            </w:r>
          </w:p>
        </w:tc>
        <w:tc>
          <w:tcPr>
            <w:tcW w:w="833" w:type="dxa"/>
            <w:tcBorders>
              <w:top w:val="single" w:sz="4" w:space="0" w:color="auto"/>
            </w:tcBorders>
          </w:tcPr>
          <w:p w14:paraId="3A9BCE96" w14:textId="5A7A223B" w:rsidR="00711CCA" w:rsidRPr="00591EE3" w:rsidRDefault="00C967E1" w:rsidP="00711CCA">
            <w:pPr>
              <w:spacing w:before="40" w:after="20"/>
              <w:jc w:val="center"/>
              <w:rPr>
                <w:color w:val="000000"/>
                <w:sz w:val="20"/>
                <w:szCs w:val="20"/>
              </w:rPr>
            </w:pPr>
            <w:r>
              <w:rPr>
                <w:color w:val="000000"/>
                <w:sz w:val="20"/>
                <w:szCs w:val="20"/>
              </w:rPr>
              <w:t>14/1/</w:t>
            </w:r>
            <w:r w:rsidRPr="00591EE3">
              <w:rPr>
                <w:color w:val="000000"/>
                <w:sz w:val="20"/>
                <w:szCs w:val="20"/>
              </w:rPr>
              <w:t>19</w:t>
            </w:r>
          </w:p>
        </w:tc>
        <w:tc>
          <w:tcPr>
            <w:tcW w:w="1233" w:type="dxa"/>
            <w:tcBorders>
              <w:top w:val="single" w:sz="4" w:space="0" w:color="auto"/>
              <w:right w:val="single" w:sz="8" w:space="0" w:color="auto"/>
            </w:tcBorders>
            <w:noWrap/>
            <w:hideMark/>
          </w:tcPr>
          <w:p w14:paraId="00D3EE39" w14:textId="0C3E8AED" w:rsidR="00711CCA" w:rsidRPr="00591EE3" w:rsidRDefault="00C967E1" w:rsidP="00711CCA">
            <w:pPr>
              <w:spacing w:before="40" w:after="20"/>
              <w:jc w:val="center"/>
              <w:rPr>
                <w:color w:val="000000"/>
                <w:sz w:val="20"/>
                <w:szCs w:val="20"/>
              </w:rPr>
            </w:pPr>
            <w:r w:rsidRPr="00591EE3">
              <w:rPr>
                <w:color w:val="000000"/>
                <w:sz w:val="20"/>
                <w:szCs w:val="20"/>
              </w:rPr>
              <w:t>10</w:t>
            </w:r>
            <w:r>
              <w:rPr>
                <w:color w:val="000000"/>
                <w:sz w:val="20"/>
                <w:szCs w:val="20"/>
              </w:rPr>
              <w:t>/4/</w:t>
            </w:r>
            <w:r w:rsidRPr="00591EE3">
              <w:rPr>
                <w:color w:val="000000"/>
                <w:sz w:val="20"/>
                <w:szCs w:val="20"/>
              </w:rPr>
              <w:t>18</w:t>
            </w:r>
          </w:p>
        </w:tc>
      </w:tr>
      <w:tr w:rsidR="00546FAB" w:rsidRPr="00591EE3" w14:paraId="778E1812" w14:textId="77777777" w:rsidTr="00826426">
        <w:trPr>
          <w:trHeight w:val="312"/>
        </w:trPr>
        <w:tc>
          <w:tcPr>
            <w:tcW w:w="3392" w:type="dxa"/>
            <w:tcBorders>
              <w:left w:val="single" w:sz="8" w:space="0" w:color="auto"/>
            </w:tcBorders>
            <w:noWrap/>
            <w:hideMark/>
          </w:tcPr>
          <w:p w14:paraId="47AE05A9" w14:textId="22565028" w:rsidR="00711CCA" w:rsidRPr="00591EE3" w:rsidRDefault="00711CCA" w:rsidP="00711CCA">
            <w:pPr>
              <w:spacing w:before="40" w:after="20"/>
              <w:jc w:val="both"/>
              <w:rPr>
                <w:b/>
                <w:bCs/>
                <w:i/>
                <w:iCs/>
                <w:color w:val="000000"/>
                <w:sz w:val="20"/>
                <w:szCs w:val="20"/>
              </w:rPr>
            </w:pPr>
            <w:r w:rsidRPr="00591EE3">
              <w:rPr>
                <w:b/>
                <w:bCs/>
                <w:i/>
                <w:iCs/>
                <w:color w:val="000000"/>
                <w:sz w:val="20"/>
                <w:szCs w:val="20"/>
              </w:rPr>
              <w:t>Per</w:t>
            </w:r>
            <w:r>
              <w:rPr>
                <w:b/>
                <w:bCs/>
                <w:i/>
                <w:iCs/>
                <w:color w:val="000000"/>
                <w:sz w:val="20"/>
                <w:szCs w:val="20"/>
              </w:rPr>
              <w:t>i</w:t>
            </w:r>
            <w:r w:rsidRPr="00591EE3">
              <w:rPr>
                <w:b/>
                <w:bCs/>
                <w:i/>
                <w:iCs/>
                <w:color w:val="000000"/>
                <w:sz w:val="20"/>
                <w:szCs w:val="20"/>
              </w:rPr>
              <w:t>od End</w:t>
            </w:r>
          </w:p>
        </w:tc>
        <w:tc>
          <w:tcPr>
            <w:tcW w:w="936" w:type="dxa"/>
            <w:noWrap/>
            <w:hideMark/>
          </w:tcPr>
          <w:p w14:paraId="7A1C0C64" w14:textId="6F8684E0" w:rsidR="00711CCA" w:rsidRPr="00591EE3" w:rsidRDefault="00711CCA" w:rsidP="00711CCA">
            <w:pPr>
              <w:spacing w:before="40" w:after="20"/>
              <w:jc w:val="center"/>
              <w:rPr>
                <w:color w:val="000000"/>
                <w:sz w:val="20"/>
                <w:szCs w:val="20"/>
              </w:rPr>
            </w:pPr>
            <w:r w:rsidRPr="00591EE3">
              <w:rPr>
                <w:color w:val="000000"/>
                <w:sz w:val="20"/>
                <w:szCs w:val="20"/>
              </w:rPr>
              <w:t>22</w:t>
            </w:r>
            <w:r w:rsidR="00464EDD">
              <w:rPr>
                <w:color w:val="000000"/>
                <w:sz w:val="20"/>
                <w:szCs w:val="20"/>
              </w:rPr>
              <w:t>/</w:t>
            </w:r>
            <w:r w:rsidR="00F47F89">
              <w:rPr>
                <w:color w:val="000000"/>
                <w:sz w:val="20"/>
                <w:szCs w:val="20"/>
              </w:rPr>
              <w:t>5/18</w:t>
            </w:r>
          </w:p>
        </w:tc>
        <w:tc>
          <w:tcPr>
            <w:tcW w:w="1032" w:type="dxa"/>
            <w:noWrap/>
            <w:hideMark/>
          </w:tcPr>
          <w:p w14:paraId="21145D07" w14:textId="0F5E23D4" w:rsidR="00711CCA" w:rsidRPr="00591EE3" w:rsidRDefault="00546FAB" w:rsidP="00711CCA">
            <w:pPr>
              <w:spacing w:before="40" w:after="20"/>
              <w:jc w:val="center"/>
              <w:rPr>
                <w:color w:val="000000"/>
                <w:sz w:val="20"/>
                <w:szCs w:val="20"/>
              </w:rPr>
            </w:pPr>
            <w:r>
              <w:rPr>
                <w:color w:val="000000"/>
                <w:sz w:val="20"/>
                <w:szCs w:val="20"/>
              </w:rPr>
              <w:t>8/10/18</w:t>
            </w:r>
          </w:p>
        </w:tc>
        <w:tc>
          <w:tcPr>
            <w:tcW w:w="995" w:type="dxa"/>
            <w:noWrap/>
            <w:hideMark/>
          </w:tcPr>
          <w:p w14:paraId="2541A365" w14:textId="38FF7984" w:rsidR="00711CCA" w:rsidRPr="00591EE3" w:rsidRDefault="00711CCA" w:rsidP="00711CCA">
            <w:pPr>
              <w:spacing w:before="40" w:after="20"/>
              <w:jc w:val="center"/>
              <w:rPr>
                <w:color w:val="000000"/>
                <w:sz w:val="20"/>
                <w:szCs w:val="20"/>
              </w:rPr>
            </w:pPr>
            <w:r w:rsidRPr="00591EE3">
              <w:rPr>
                <w:color w:val="000000"/>
                <w:sz w:val="20"/>
                <w:szCs w:val="20"/>
              </w:rPr>
              <w:t>31</w:t>
            </w:r>
            <w:r w:rsidR="00546FAB">
              <w:rPr>
                <w:color w:val="000000"/>
                <w:sz w:val="20"/>
                <w:szCs w:val="20"/>
              </w:rPr>
              <w:t>/12/1</w:t>
            </w:r>
            <w:r w:rsidRPr="00591EE3">
              <w:rPr>
                <w:color w:val="000000"/>
                <w:sz w:val="20"/>
                <w:szCs w:val="20"/>
              </w:rPr>
              <w:t>8</w:t>
            </w:r>
          </w:p>
        </w:tc>
        <w:tc>
          <w:tcPr>
            <w:tcW w:w="1161" w:type="dxa"/>
            <w:noWrap/>
            <w:hideMark/>
          </w:tcPr>
          <w:p w14:paraId="622628F7" w14:textId="211ED332" w:rsidR="00711CCA" w:rsidRPr="00591EE3" w:rsidRDefault="00711CCA" w:rsidP="00711CCA">
            <w:pPr>
              <w:spacing w:before="40" w:after="20"/>
              <w:jc w:val="center"/>
              <w:rPr>
                <w:color w:val="000000"/>
                <w:sz w:val="20"/>
                <w:szCs w:val="20"/>
              </w:rPr>
            </w:pPr>
            <w:r>
              <w:rPr>
                <w:color w:val="000000"/>
                <w:sz w:val="20"/>
                <w:szCs w:val="20"/>
              </w:rPr>
              <w:t>14</w:t>
            </w:r>
            <w:r w:rsidR="00C967E1">
              <w:rPr>
                <w:color w:val="000000"/>
                <w:sz w:val="20"/>
                <w:szCs w:val="20"/>
              </w:rPr>
              <w:t>/1/</w:t>
            </w:r>
            <w:r w:rsidRPr="00591EE3">
              <w:rPr>
                <w:color w:val="000000"/>
                <w:sz w:val="20"/>
                <w:szCs w:val="20"/>
              </w:rPr>
              <w:t>19</w:t>
            </w:r>
          </w:p>
        </w:tc>
        <w:tc>
          <w:tcPr>
            <w:tcW w:w="833" w:type="dxa"/>
          </w:tcPr>
          <w:p w14:paraId="6120092D" w14:textId="1A1B3915" w:rsidR="00711CCA" w:rsidRPr="00591EE3" w:rsidRDefault="00E21F80" w:rsidP="00711CCA">
            <w:pPr>
              <w:spacing w:before="40" w:after="20"/>
              <w:jc w:val="center"/>
              <w:rPr>
                <w:color w:val="000000"/>
                <w:sz w:val="20"/>
                <w:szCs w:val="20"/>
              </w:rPr>
            </w:pPr>
            <w:r w:rsidRPr="00591EE3">
              <w:rPr>
                <w:color w:val="000000"/>
                <w:sz w:val="20"/>
                <w:szCs w:val="20"/>
              </w:rPr>
              <w:t>8</w:t>
            </w:r>
            <w:r w:rsidR="00C967E1">
              <w:rPr>
                <w:color w:val="000000"/>
                <w:sz w:val="20"/>
                <w:szCs w:val="20"/>
              </w:rPr>
              <w:t>/4/</w:t>
            </w:r>
            <w:r w:rsidRPr="00591EE3">
              <w:rPr>
                <w:color w:val="000000"/>
                <w:sz w:val="20"/>
                <w:szCs w:val="20"/>
              </w:rPr>
              <w:t>19</w:t>
            </w:r>
          </w:p>
        </w:tc>
        <w:tc>
          <w:tcPr>
            <w:tcW w:w="1233" w:type="dxa"/>
            <w:tcBorders>
              <w:right w:val="single" w:sz="8" w:space="0" w:color="auto"/>
            </w:tcBorders>
            <w:noWrap/>
            <w:hideMark/>
          </w:tcPr>
          <w:p w14:paraId="6CFE6C50" w14:textId="3FB12450" w:rsidR="00711CCA" w:rsidRPr="00591EE3" w:rsidRDefault="00C967E1" w:rsidP="00711CCA">
            <w:pPr>
              <w:spacing w:before="40" w:after="20"/>
              <w:jc w:val="center"/>
              <w:rPr>
                <w:color w:val="000000"/>
                <w:sz w:val="20"/>
                <w:szCs w:val="20"/>
              </w:rPr>
            </w:pPr>
            <w:r w:rsidRPr="00591EE3">
              <w:rPr>
                <w:color w:val="000000"/>
                <w:sz w:val="20"/>
                <w:szCs w:val="20"/>
              </w:rPr>
              <w:t>8</w:t>
            </w:r>
            <w:r>
              <w:rPr>
                <w:color w:val="000000"/>
                <w:sz w:val="20"/>
                <w:szCs w:val="20"/>
              </w:rPr>
              <w:t>/4/</w:t>
            </w:r>
            <w:r w:rsidRPr="00591EE3">
              <w:rPr>
                <w:color w:val="000000"/>
                <w:sz w:val="20"/>
                <w:szCs w:val="20"/>
              </w:rPr>
              <w:t>19</w:t>
            </w:r>
          </w:p>
        </w:tc>
      </w:tr>
      <w:tr w:rsidR="00546FAB" w:rsidRPr="00591EE3" w14:paraId="6B6BEC40" w14:textId="77777777" w:rsidTr="00826426">
        <w:trPr>
          <w:trHeight w:val="50"/>
        </w:trPr>
        <w:tc>
          <w:tcPr>
            <w:tcW w:w="3392" w:type="dxa"/>
            <w:tcBorders>
              <w:left w:val="single" w:sz="8" w:space="0" w:color="auto"/>
            </w:tcBorders>
            <w:noWrap/>
            <w:hideMark/>
          </w:tcPr>
          <w:p w14:paraId="213E50AB" w14:textId="77777777" w:rsidR="00711CCA" w:rsidRPr="00E031B9" w:rsidRDefault="00711CCA" w:rsidP="00711CCA">
            <w:pPr>
              <w:jc w:val="both"/>
              <w:rPr>
                <w:color w:val="000000"/>
                <w:sz w:val="12"/>
                <w:szCs w:val="12"/>
              </w:rPr>
            </w:pPr>
            <w:r w:rsidRPr="00E031B9">
              <w:rPr>
                <w:color w:val="000000"/>
                <w:sz w:val="12"/>
                <w:szCs w:val="12"/>
              </w:rPr>
              <w:t> </w:t>
            </w:r>
          </w:p>
        </w:tc>
        <w:tc>
          <w:tcPr>
            <w:tcW w:w="936" w:type="dxa"/>
            <w:noWrap/>
            <w:hideMark/>
          </w:tcPr>
          <w:p w14:paraId="6EA979C6" w14:textId="61B2F7BF" w:rsidR="00711CCA" w:rsidRPr="00E031B9" w:rsidRDefault="00711CCA" w:rsidP="00711CCA">
            <w:pPr>
              <w:jc w:val="center"/>
              <w:rPr>
                <w:color w:val="000000"/>
                <w:sz w:val="12"/>
                <w:szCs w:val="12"/>
              </w:rPr>
            </w:pPr>
          </w:p>
        </w:tc>
        <w:tc>
          <w:tcPr>
            <w:tcW w:w="1032" w:type="dxa"/>
            <w:noWrap/>
            <w:hideMark/>
          </w:tcPr>
          <w:p w14:paraId="76B18FF8" w14:textId="29D732A7" w:rsidR="00711CCA" w:rsidRPr="00E031B9" w:rsidRDefault="00711CCA" w:rsidP="00711CCA">
            <w:pPr>
              <w:jc w:val="center"/>
              <w:rPr>
                <w:color w:val="000000"/>
                <w:sz w:val="12"/>
                <w:szCs w:val="12"/>
              </w:rPr>
            </w:pPr>
          </w:p>
        </w:tc>
        <w:tc>
          <w:tcPr>
            <w:tcW w:w="995" w:type="dxa"/>
            <w:noWrap/>
            <w:hideMark/>
          </w:tcPr>
          <w:p w14:paraId="14ED24CB" w14:textId="3FBF0975" w:rsidR="00711CCA" w:rsidRPr="00E031B9" w:rsidRDefault="00711CCA" w:rsidP="00711CCA">
            <w:pPr>
              <w:jc w:val="center"/>
              <w:rPr>
                <w:color w:val="000000"/>
                <w:sz w:val="12"/>
                <w:szCs w:val="12"/>
              </w:rPr>
            </w:pPr>
          </w:p>
        </w:tc>
        <w:tc>
          <w:tcPr>
            <w:tcW w:w="1161" w:type="dxa"/>
            <w:noWrap/>
            <w:hideMark/>
          </w:tcPr>
          <w:p w14:paraId="68A9316C" w14:textId="1EDAB0B6" w:rsidR="00711CCA" w:rsidRPr="00E031B9" w:rsidRDefault="00711CCA" w:rsidP="00711CCA">
            <w:pPr>
              <w:jc w:val="center"/>
              <w:rPr>
                <w:color w:val="000000"/>
                <w:sz w:val="12"/>
                <w:szCs w:val="12"/>
              </w:rPr>
            </w:pPr>
          </w:p>
        </w:tc>
        <w:tc>
          <w:tcPr>
            <w:tcW w:w="833" w:type="dxa"/>
          </w:tcPr>
          <w:p w14:paraId="062D2A22" w14:textId="77777777" w:rsidR="00711CCA" w:rsidRPr="00E031B9" w:rsidRDefault="00711CCA" w:rsidP="00711CCA">
            <w:pPr>
              <w:jc w:val="center"/>
              <w:rPr>
                <w:color w:val="000000"/>
                <w:sz w:val="12"/>
                <w:szCs w:val="12"/>
              </w:rPr>
            </w:pPr>
          </w:p>
        </w:tc>
        <w:tc>
          <w:tcPr>
            <w:tcW w:w="1233" w:type="dxa"/>
            <w:tcBorders>
              <w:right w:val="single" w:sz="8" w:space="0" w:color="auto"/>
            </w:tcBorders>
            <w:noWrap/>
            <w:hideMark/>
          </w:tcPr>
          <w:p w14:paraId="3DD9E67C" w14:textId="48BC9857" w:rsidR="00711CCA" w:rsidRPr="00E031B9" w:rsidRDefault="00711CCA" w:rsidP="00711CCA">
            <w:pPr>
              <w:jc w:val="center"/>
              <w:rPr>
                <w:color w:val="000000"/>
                <w:sz w:val="12"/>
                <w:szCs w:val="12"/>
              </w:rPr>
            </w:pPr>
          </w:p>
        </w:tc>
      </w:tr>
      <w:tr w:rsidR="00546FAB" w:rsidRPr="00591EE3" w14:paraId="31BE0419" w14:textId="77777777" w:rsidTr="00826426">
        <w:trPr>
          <w:trHeight w:val="312"/>
        </w:trPr>
        <w:tc>
          <w:tcPr>
            <w:tcW w:w="3392" w:type="dxa"/>
            <w:tcBorders>
              <w:left w:val="single" w:sz="8" w:space="0" w:color="auto"/>
            </w:tcBorders>
            <w:noWrap/>
            <w:hideMark/>
          </w:tcPr>
          <w:p w14:paraId="26533ED9" w14:textId="77777777" w:rsidR="00711CCA" w:rsidRPr="00591EE3" w:rsidRDefault="00711CCA" w:rsidP="00711CCA">
            <w:pPr>
              <w:spacing w:before="40" w:after="20"/>
              <w:jc w:val="both"/>
              <w:rPr>
                <w:b/>
                <w:bCs/>
                <w:color w:val="000000"/>
                <w:sz w:val="20"/>
                <w:szCs w:val="20"/>
              </w:rPr>
            </w:pPr>
            <w:r w:rsidRPr="00591EE3">
              <w:rPr>
                <w:b/>
                <w:bCs/>
                <w:color w:val="000000"/>
                <w:sz w:val="20"/>
                <w:szCs w:val="20"/>
              </w:rPr>
              <w:t>SMF Portfolio vs. Reference Portfolio</w:t>
            </w:r>
          </w:p>
        </w:tc>
        <w:tc>
          <w:tcPr>
            <w:tcW w:w="936" w:type="dxa"/>
            <w:noWrap/>
            <w:hideMark/>
          </w:tcPr>
          <w:p w14:paraId="629EDE60" w14:textId="68179D4C" w:rsidR="00711CCA" w:rsidRPr="00591EE3" w:rsidRDefault="00711CCA" w:rsidP="00711CCA">
            <w:pPr>
              <w:spacing w:before="40" w:after="20"/>
              <w:jc w:val="center"/>
              <w:rPr>
                <w:color w:val="000000"/>
                <w:sz w:val="20"/>
                <w:szCs w:val="20"/>
              </w:rPr>
            </w:pPr>
          </w:p>
        </w:tc>
        <w:tc>
          <w:tcPr>
            <w:tcW w:w="1032" w:type="dxa"/>
            <w:noWrap/>
            <w:hideMark/>
          </w:tcPr>
          <w:p w14:paraId="03C5F706" w14:textId="6CFA69AA" w:rsidR="00711CCA" w:rsidRPr="00591EE3" w:rsidRDefault="00711CCA" w:rsidP="00711CCA">
            <w:pPr>
              <w:spacing w:before="40" w:after="20"/>
              <w:jc w:val="center"/>
              <w:rPr>
                <w:color w:val="000000"/>
                <w:sz w:val="20"/>
                <w:szCs w:val="20"/>
              </w:rPr>
            </w:pPr>
          </w:p>
        </w:tc>
        <w:tc>
          <w:tcPr>
            <w:tcW w:w="995" w:type="dxa"/>
            <w:noWrap/>
            <w:hideMark/>
          </w:tcPr>
          <w:p w14:paraId="5CA2551B" w14:textId="5DB47EAA" w:rsidR="00711CCA" w:rsidRPr="00591EE3" w:rsidRDefault="00711CCA" w:rsidP="00711CCA">
            <w:pPr>
              <w:spacing w:before="40" w:after="20"/>
              <w:jc w:val="center"/>
              <w:rPr>
                <w:color w:val="000000"/>
                <w:sz w:val="20"/>
                <w:szCs w:val="20"/>
              </w:rPr>
            </w:pPr>
          </w:p>
        </w:tc>
        <w:tc>
          <w:tcPr>
            <w:tcW w:w="1161" w:type="dxa"/>
            <w:noWrap/>
            <w:hideMark/>
          </w:tcPr>
          <w:p w14:paraId="5AA7C1ED" w14:textId="706C2CC7" w:rsidR="00711CCA" w:rsidRPr="00591EE3" w:rsidRDefault="00711CCA" w:rsidP="00711CCA">
            <w:pPr>
              <w:spacing w:before="40" w:after="20"/>
              <w:jc w:val="center"/>
              <w:rPr>
                <w:color w:val="000000"/>
                <w:sz w:val="20"/>
                <w:szCs w:val="20"/>
              </w:rPr>
            </w:pPr>
          </w:p>
        </w:tc>
        <w:tc>
          <w:tcPr>
            <w:tcW w:w="833" w:type="dxa"/>
          </w:tcPr>
          <w:p w14:paraId="3B977918" w14:textId="77777777" w:rsidR="00711CCA" w:rsidRPr="00591EE3" w:rsidRDefault="00711CCA" w:rsidP="00711CCA">
            <w:pPr>
              <w:spacing w:before="40" w:after="20"/>
              <w:jc w:val="center"/>
              <w:rPr>
                <w:color w:val="000000"/>
                <w:sz w:val="20"/>
                <w:szCs w:val="20"/>
              </w:rPr>
            </w:pPr>
          </w:p>
        </w:tc>
        <w:tc>
          <w:tcPr>
            <w:tcW w:w="1233" w:type="dxa"/>
            <w:tcBorders>
              <w:right w:val="single" w:sz="8" w:space="0" w:color="auto"/>
            </w:tcBorders>
            <w:noWrap/>
            <w:hideMark/>
          </w:tcPr>
          <w:p w14:paraId="70C7881F" w14:textId="2FE33C92" w:rsidR="00711CCA" w:rsidRPr="00591EE3" w:rsidRDefault="00711CCA" w:rsidP="00711CCA">
            <w:pPr>
              <w:spacing w:before="40" w:after="20"/>
              <w:jc w:val="center"/>
              <w:rPr>
                <w:color w:val="000000"/>
                <w:sz w:val="20"/>
                <w:szCs w:val="20"/>
              </w:rPr>
            </w:pPr>
          </w:p>
        </w:tc>
      </w:tr>
      <w:tr w:rsidR="00546FAB" w:rsidRPr="00591EE3" w14:paraId="2EB11217" w14:textId="77777777" w:rsidTr="00826426">
        <w:trPr>
          <w:trHeight w:val="312"/>
        </w:trPr>
        <w:tc>
          <w:tcPr>
            <w:tcW w:w="3392" w:type="dxa"/>
            <w:tcBorders>
              <w:left w:val="single" w:sz="8" w:space="0" w:color="auto"/>
            </w:tcBorders>
            <w:noWrap/>
            <w:hideMark/>
          </w:tcPr>
          <w:p w14:paraId="61B01037" w14:textId="77777777" w:rsidR="00BA5CB2" w:rsidRPr="00591EE3" w:rsidRDefault="00BA5CB2" w:rsidP="00BA5CB2">
            <w:pPr>
              <w:spacing w:before="40" w:after="20"/>
              <w:jc w:val="both"/>
              <w:rPr>
                <w:color w:val="000000"/>
                <w:sz w:val="20"/>
                <w:szCs w:val="20"/>
              </w:rPr>
            </w:pPr>
            <w:r w:rsidRPr="00591EE3">
              <w:rPr>
                <w:color w:val="000000"/>
                <w:sz w:val="20"/>
                <w:szCs w:val="20"/>
              </w:rPr>
              <w:t>Asset Allocation</w:t>
            </w:r>
          </w:p>
        </w:tc>
        <w:tc>
          <w:tcPr>
            <w:tcW w:w="936" w:type="dxa"/>
            <w:noWrap/>
            <w:hideMark/>
          </w:tcPr>
          <w:p w14:paraId="3A6B05B7" w14:textId="77777777" w:rsidR="00BA5CB2" w:rsidRPr="00591EE3" w:rsidRDefault="00BA5CB2" w:rsidP="00BA5CB2">
            <w:pPr>
              <w:spacing w:before="40" w:after="20"/>
              <w:jc w:val="center"/>
              <w:rPr>
                <w:color w:val="000000"/>
                <w:sz w:val="20"/>
                <w:szCs w:val="20"/>
              </w:rPr>
            </w:pPr>
            <w:r w:rsidRPr="00591EE3">
              <w:rPr>
                <w:color w:val="000000"/>
                <w:sz w:val="20"/>
                <w:szCs w:val="20"/>
              </w:rPr>
              <w:t>0.01%</w:t>
            </w:r>
          </w:p>
        </w:tc>
        <w:tc>
          <w:tcPr>
            <w:tcW w:w="1032" w:type="dxa"/>
            <w:noWrap/>
            <w:hideMark/>
          </w:tcPr>
          <w:p w14:paraId="36C7215C" w14:textId="77777777" w:rsidR="00BA5CB2" w:rsidRPr="00591EE3" w:rsidRDefault="00BA5CB2" w:rsidP="00BA5CB2">
            <w:pPr>
              <w:spacing w:before="40" w:after="20"/>
              <w:jc w:val="center"/>
              <w:rPr>
                <w:color w:val="000000"/>
                <w:sz w:val="20"/>
                <w:szCs w:val="20"/>
              </w:rPr>
            </w:pPr>
            <w:r w:rsidRPr="00591EE3">
              <w:rPr>
                <w:color w:val="000000"/>
                <w:sz w:val="20"/>
                <w:szCs w:val="20"/>
              </w:rPr>
              <w:t>0.02%</w:t>
            </w:r>
          </w:p>
        </w:tc>
        <w:tc>
          <w:tcPr>
            <w:tcW w:w="995" w:type="dxa"/>
            <w:noWrap/>
            <w:hideMark/>
          </w:tcPr>
          <w:p w14:paraId="1057A522" w14:textId="77777777" w:rsidR="00BA5CB2" w:rsidRPr="00591EE3" w:rsidRDefault="00BA5CB2" w:rsidP="00BA5CB2">
            <w:pPr>
              <w:spacing w:before="40" w:after="20"/>
              <w:jc w:val="center"/>
              <w:rPr>
                <w:color w:val="000000"/>
                <w:sz w:val="20"/>
                <w:szCs w:val="20"/>
              </w:rPr>
            </w:pPr>
            <w:r w:rsidRPr="00591EE3">
              <w:rPr>
                <w:color w:val="000000"/>
                <w:sz w:val="20"/>
                <w:szCs w:val="20"/>
              </w:rPr>
              <w:t>-0.02%</w:t>
            </w:r>
          </w:p>
        </w:tc>
        <w:tc>
          <w:tcPr>
            <w:tcW w:w="1161" w:type="dxa"/>
            <w:noWrap/>
            <w:hideMark/>
          </w:tcPr>
          <w:p w14:paraId="0D66D39C" w14:textId="4F8A1B4C" w:rsidR="00BA5CB2" w:rsidRPr="00591EE3" w:rsidRDefault="00BA5CB2" w:rsidP="00BA5CB2">
            <w:pPr>
              <w:spacing w:before="40" w:after="20"/>
              <w:jc w:val="center"/>
              <w:rPr>
                <w:color w:val="000000"/>
                <w:sz w:val="20"/>
                <w:szCs w:val="20"/>
              </w:rPr>
            </w:pPr>
            <w:r w:rsidRPr="00591EE3">
              <w:rPr>
                <w:color w:val="000000"/>
                <w:sz w:val="20"/>
                <w:szCs w:val="20"/>
              </w:rPr>
              <w:t>-0.</w:t>
            </w:r>
            <w:r w:rsidR="000E548B">
              <w:rPr>
                <w:color w:val="000000"/>
                <w:sz w:val="20"/>
                <w:szCs w:val="20"/>
              </w:rPr>
              <w:t>05</w:t>
            </w:r>
            <w:r w:rsidRPr="00591EE3">
              <w:rPr>
                <w:color w:val="000000"/>
                <w:sz w:val="20"/>
                <w:szCs w:val="20"/>
              </w:rPr>
              <w:t>%</w:t>
            </w:r>
          </w:p>
        </w:tc>
        <w:tc>
          <w:tcPr>
            <w:tcW w:w="833" w:type="dxa"/>
          </w:tcPr>
          <w:p w14:paraId="5F53277E" w14:textId="730A8EE2" w:rsidR="00BA5CB2" w:rsidRPr="00591EE3" w:rsidRDefault="00BA5CB2" w:rsidP="00BA5CB2">
            <w:pPr>
              <w:spacing w:before="40" w:after="20"/>
              <w:jc w:val="center"/>
              <w:rPr>
                <w:color w:val="000000"/>
                <w:sz w:val="20"/>
                <w:szCs w:val="20"/>
              </w:rPr>
            </w:pPr>
            <w:r w:rsidRPr="00591EE3">
              <w:rPr>
                <w:color w:val="000000"/>
                <w:sz w:val="20"/>
                <w:szCs w:val="20"/>
              </w:rPr>
              <w:t>-0.</w:t>
            </w:r>
            <w:r w:rsidR="008848C1">
              <w:rPr>
                <w:color w:val="000000"/>
                <w:sz w:val="20"/>
                <w:szCs w:val="20"/>
              </w:rPr>
              <w:t>04</w:t>
            </w:r>
            <w:r w:rsidRPr="00591EE3">
              <w:rPr>
                <w:color w:val="000000"/>
                <w:sz w:val="20"/>
                <w:szCs w:val="20"/>
              </w:rPr>
              <w:t>%</w:t>
            </w:r>
          </w:p>
        </w:tc>
        <w:tc>
          <w:tcPr>
            <w:tcW w:w="1233" w:type="dxa"/>
            <w:tcBorders>
              <w:right w:val="single" w:sz="8" w:space="0" w:color="auto"/>
            </w:tcBorders>
            <w:noWrap/>
            <w:hideMark/>
          </w:tcPr>
          <w:p w14:paraId="3CD0BB5F" w14:textId="5DF34D8D" w:rsidR="00BA5CB2" w:rsidRPr="00A63456" w:rsidRDefault="00BA5CB2" w:rsidP="00BA5CB2">
            <w:pPr>
              <w:spacing w:before="40" w:after="20"/>
              <w:jc w:val="center"/>
              <w:rPr>
                <w:color w:val="000000"/>
                <w:sz w:val="20"/>
                <w:szCs w:val="20"/>
              </w:rPr>
            </w:pPr>
            <w:r w:rsidRPr="00A63456">
              <w:rPr>
                <w:color w:val="000000"/>
                <w:sz w:val="20"/>
                <w:szCs w:val="20"/>
              </w:rPr>
              <w:t>-0.</w:t>
            </w:r>
            <w:r w:rsidR="00C36DA7" w:rsidRPr="00A63456">
              <w:rPr>
                <w:color w:val="000000"/>
                <w:sz w:val="20"/>
                <w:szCs w:val="20"/>
              </w:rPr>
              <w:t>08</w:t>
            </w:r>
            <w:r w:rsidRPr="00A63456">
              <w:rPr>
                <w:color w:val="000000"/>
                <w:sz w:val="20"/>
                <w:szCs w:val="20"/>
              </w:rPr>
              <w:t>%</w:t>
            </w:r>
          </w:p>
        </w:tc>
      </w:tr>
      <w:tr w:rsidR="00546FAB" w:rsidRPr="00591EE3" w14:paraId="3E8538B7" w14:textId="77777777" w:rsidTr="00826426">
        <w:trPr>
          <w:trHeight w:val="312"/>
        </w:trPr>
        <w:tc>
          <w:tcPr>
            <w:tcW w:w="3392" w:type="dxa"/>
            <w:tcBorders>
              <w:left w:val="single" w:sz="8" w:space="0" w:color="auto"/>
            </w:tcBorders>
            <w:noWrap/>
            <w:hideMark/>
          </w:tcPr>
          <w:p w14:paraId="5A0FC961" w14:textId="6C4CFA64" w:rsidR="00BA5CB2" w:rsidRPr="00591EE3" w:rsidRDefault="00BA5CB2" w:rsidP="00BA5CB2">
            <w:pPr>
              <w:spacing w:before="40" w:after="20"/>
              <w:jc w:val="both"/>
              <w:rPr>
                <w:color w:val="000000"/>
                <w:sz w:val="20"/>
                <w:szCs w:val="20"/>
              </w:rPr>
            </w:pPr>
            <w:r w:rsidRPr="00591EE3">
              <w:rPr>
                <w:color w:val="000000"/>
                <w:sz w:val="20"/>
                <w:szCs w:val="20"/>
              </w:rPr>
              <w:t xml:space="preserve">Security Selection - </w:t>
            </w:r>
            <w:r w:rsidR="00C36DA7" w:rsidRPr="00591EE3">
              <w:rPr>
                <w:color w:val="000000"/>
                <w:sz w:val="20"/>
                <w:szCs w:val="20"/>
              </w:rPr>
              <w:t xml:space="preserve">AAE Portfolio </w:t>
            </w:r>
          </w:p>
        </w:tc>
        <w:tc>
          <w:tcPr>
            <w:tcW w:w="936" w:type="dxa"/>
            <w:noWrap/>
            <w:hideMark/>
          </w:tcPr>
          <w:p w14:paraId="2AAD83F4" w14:textId="77777777" w:rsidR="00BA5CB2" w:rsidRPr="00591EE3" w:rsidRDefault="00BA5CB2" w:rsidP="00BA5CB2">
            <w:pPr>
              <w:spacing w:before="40" w:after="20"/>
              <w:jc w:val="center"/>
              <w:rPr>
                <w:color w:val="000000"/>
                <w:sz w:val="20"/>
                <w:szCs w:val="20"/>
              </w:rPr>
            </w:pPr>
            <w:r w:rsidRPr="00591EE3">
              <w:rPr>
                <w:color w:val="000000"/>
                <w:sz w:val="20"/>
                <w:szCs w:val="20"/>
              </w:rPr>
              <w:t>0.00%</w:t>
            </w:r>
          </w:p>
        </w:tc>
        <w:tc>
          <w:tcPr>
            <w:tcW w:w="1032" w:type="dxa"/>
            <w:noWrap/>
            <w:hideMark/>
          </w:tcPr>
          <w:p w14:paraId="5DABE8D4" w14:textId="77777777" w:rsidR="00BA5CB2" w:rsidRPr="00591EE3" w:rsidRDefault="00BA5CB2" w:rsidP="00BA5CB2">
            <w:pPr>
              <w:spacing w:before="40" w:after="20"/>
              <w:jc w:val="center"/>
              <w:rPr>
                <w:color w:val="000000"/>
                <w:sz w:val="20"/>
                <w:szCs w:val="20"/>
              </w:rPr>
            </w:pPr>
            <w:r w:rsidRPr="00591EE3">
              <w:rPr>
                <w:color w:val="000000"/>
                <w:sz w:val="20"/>
                <w:szCs w:val="20"/>
              </w:rPr>
              <w:t>0.48%</w:t>
            </w:r>
          </w:p>
        </w:tc>
        <w:tc>
          <w:tcPr>
            <w:tcW w:w="995" w:type="dxa"/>
            <w:noWrap/>
            <w:hideMark/>
          </w:tcPr>
          <w:p w14:paraId="270FE7E8" w14:textId="77777777" w:rsidR="00BA5CB2" w:rsidRPr="00591EE3" w:rsidRDefault="00BA5CB2" w:rsidP="00BA5CB2">
            <w:pPr>
              <w:spacing w:before="40" w:after="20"/>
              <w:jc w:val="center"/>
              <w:rPr>
                <w:color w:val="000000"/>
                <w:sz w:val="20"/>
                <w:szCs w:val="20"/>
              </w:rPr>
            </w:pPr>
            <w:r w:rsidRPr="00591EE3">
              <w:rPr>
                <w:color w:val="000000"/>
                <w:sz w:val="20"/>
                <w:szCs w:val="20"/>
              </w:rPr>
              <w:t>-1.47%</w:t>
            </w:r>
          </w:p>
        </w:tc>
        <w:tc>
          <w:tcPr>
            <w:tcW w:w="1161" w:type="dxa"/>
            <w:noWrap/>
            <w:hideMark/>
          </w:tcPr>
          <w:p w14:paraId="28406F6C" w14:textId="3D053BCE" w:rsidR="00BA5CB2" w:rsidRPr="00591EE3" w:rsidRDefault="00BA5CB2" w:rsidP="00BA5CB2">
            <w:pPr>
              <w:spacing w:before="40" w:after="20"/>
              <w:jc w:val="center"/>
              <w:rPr>
                <w:color w:val="000000"/>
                <w:sz w:val="20"/>
                <w:szCs w:val="20"/>
              </w:rPr>
            </w:pPr>
            <w:r w:rsidRPr="00591EE3">
              <w:rPr>
                <w:color w:val="000000"/>
                <w:sz w:val="20"/>
                <w:szCs w:val="20"/>
              </w:rPr>
              <w:t>0.</w:t>
            </w:r>
            <w:r w:rsidR="000E548B">
              <w:rPr>
                <w:color w:val="000000"/>
                <w:sz w:val="20"/>
                <w:szCs w:val="20"/>
              </w:rPr>
              <w:t>22</w:t>
            </w:r>
            <w:r w:rsidRPr="00591EE3">
              <w:rPr>
                <w:color w:val="000000"/>
                <w:sz w:val="20"/>
                <w:szCs w:val="20"/>
              </w:rPr>
              <w:t>%</w:t>
            </w:r>
          </w:p>
        </w:tc>
        <w:tc>
          <w:tcPr>
            <w:tcW w:w="833" w:type="dxa"/>
          </w:tcPr>
          <w:p w14:paraId="62984521" w14:textId="6DC9C21C" w:rsidR="00BA5CB2" w:rsidRPr="003E264B" w:rsidRDefault="00BA5CB2" w:rsidP="00BA5CB2">
            <w:pPr>
              <w:spacing w:before="40" w:after="20"/>
              <w:jc w:val="center"/>
              <w:rPr>
                <w:color w:val="000000"/>
                <w:sz w:val="20"/>
                <w:szCs w:val="20"/>
                <w:highlight w:val="yellow"/>
              </w:rPr>
            </w:pPr>
            <w:r w:rsidRPr="00591EE3">
              <w:rPr>
                <w:color w:val="000000"/>
                <w:sz w:val="20"/>
                <w:szCs w:val="20"/>
              </w:rPr>
              <w:t>-0.</w:t>
            </w:r>
            <w:r w:rsidR="008848C1">
              <w:rPr>
                <w:color w:val="000000"/>
                <w:sz w:val="20"/>
                <w:szCs w:val="20"/>
              </w:rPr>
              <w:t>31</w:t>
            </w:r>
            <w:r w:rsidRPr="00591EE3">
              <w:rPr>
                <w:color w:val="000000"/>
                <w:sz w:val="20"/>
                <w:szCs w:val="20"/>
              </w:rPr>
              <w:t>%</w:t>
            </w:r>
          </w:p>
        </w:tc>
        <w:tc>
          <w:tcPr>
            <w:tcW w:w="1233" w:type="dxa"/>
            <w:tcBorders>
              <w:right w:val="single" w:sz="8" w:space="0" w:color="auto"/>
            </w:tcBorders>
            <w:noWrap/>
            <w:hideMark/>
          </w:tcPr>
          <w:p w14:paraId="4AFF484B" w14:textId="56C35972" w:rsidR="00BA5CB2" w:rsidRPr="00A63456" w:rsidRDefault="00BA5CB2" w:rsidP="00BA5CB2">
            <w:pPr>
              <w:spacing w:before="40" w:after="20"/>
              <w:jc w:val="center"/>
              <w:rPr>
                <w:color w:val="000000"/>
                <w:sz w:val="20"/>
                <w:szCs w:val="20"/>
              </w:rPr>
            </w:pPr>
            <w:r w:rsidRPr="00A63456">
              <w:rPr>
                <w:color w:val="000000"/>
                <w:sz w:val="20"/>
                <w:szCs w:val="20"/>
              </w:rPr>
              <w:t>-1.</w:t>
            </w:r>
            <w:r w:rsidR="00C36DA7" w:rsidRPr="00A63456">
              <w:rPr>
                <w:color w:val="000000"/>
                <w:sz w:val="20"/>
                <w:szCs w:val="20"/>
              </w:rPr>
              <w:t>09</w:t>
            </w:r>
            <w:r w:rsidRPr="00A63456">
              <w:rPr>
                <w:color w:val="000000"/>
                <w:sz w:val="20"/>
                <w:szCs w:val="20"/>
              </w:rPr>
              <w:t>%</w:t>
            </w:r>
          </w:p>
        </w:tc>
      </w:tr>
      <w:tr w:rsidR="00546FAB" w:rsidRPr="00591EE3" w14:paraId="3E21B9BF" w14:textId="77777777" w:rsidTr="00826426">
        <w:trPr>
          <w:trHeight w:val="312"/>
        </w:trPr>
        <w:tc>
          <w:tcPr>
            <w:tcW w:w="3392" w:type="dxa"/>
            <w:tcBorders>
              <w:left w:val="single" w:sz="8" w:space="0" w:color="auto"/>
              <w:bottom w:val="single" w:sz="4" w:space="0" w:color="auto"/>
            </w:tcBorders>
            <w:noWrap/>
            <w:hideMark/>
          </w:tcPr>
          <w:p w14:paraId="17DDABA9" w14:textId="602EBEA5" w:rsidR="00BA5CB2" w:rsidRPr="00591EE3" w:rsidRDefault="00BA5CB2" w:rsidP="00BA5CB2">
            <w:pPr>
              <w:spacing w:before="40" w:after="20"/>
              <w:jc w:val="both"/>
              <w:rPr>
                <w:color w:val="000000"/>
                <w:sz w:val="20"/>
                <w:szCs w:val="20"/>
              </w:rPr>
            </w:pPr>
            <w:r w:rsidRPr="00591EE3">
              <w:rPr>
                <w:color w:val="000000"/>
                <w:sz w:val="20"/>
                <w:szCs w:val="20"/>
              </w:rPr>
              <w:t xml:space="preserve">Security Selection - </w:t>
            </w:r>
            <w:r w:rsidR="00C36DA7" w:rsidRPr="00591EE3">
              <w:rPr>
                <w:color w:val="000000"/>
                <w:sz w:val="20"/>
                <w:szCs w:val="20"/>
              </w:rPr>
              <w:t>Cash Portfolio</w:t>
            </w:r>
          </w:p>
        </w:tc>
        <w:tc>
          <w:tcPr>
            <w:tcW w:w="936" w:type="dxa"/>
            <w:tcBorders>
              <w:bottom w:val="single" w:sz="4" w:space="0" w:color="auto"/>
            </w:tcBorders>
            <w:noWrap/>
            <w:hideMark/>
          </w:tcPr>
          <w:p w14:paraId="2E0F2A71" w14:textId="77777777" w:rsidR="00BA5CB2" w:rsidRPr="00591EE3" w:rsidRDefault="00BA5CB2" w:rsidP="00BA5CB2">
            <w:pPr>
              <w:spacing w:before="40" w:after="20"/>
              <w:jc w:val="center"/>
              <w:rPr>
                <w:color w:val="000000"/>
                <w:sz w:val="20"/>
                <w:szCs w:val="20"/>
              </w:rPr>
            </w:pPr>
            <w:r w:rsidRPr="00591EE3">
              <w:rPr>
                <w:color w:val="000000"/>
                <w:sz w:val="20"/>
                <w:szCs w:val="20"/>
              </w:rPr>
              <w:t>0.01%</w:t>
            </w:r>
          </w:p>
        </w:tc>
        <w:tc>
          <w:tcPr>
            <w:tcW w:w="1032" w:type="dxa"/>
            <w:tcBorders>
              <w:bottom w:val="single" w:sz="4" w:space="0" w:color="auto"/>
            </w:tcBorders>
            <w:noWrap/>
            <w:hideMark/>
          </w:tcPr>
          <w:p w14:paraId="16DC05CC" w14:textId="77777777" w:rsidR="00BA5CB2" w:rsidRPr="00591EE3" w:rsidRDefault="00BA5CB2" w:rsidP="00BA5CB2">
            <w:pPr>
              <w:spacing w:before="40" w:after="20"/>
              <w:jc w:val="center"/>
              <w:rPr>
                <w:color w:val="000000"/>
                <w:sz w:val="20"/>
                <w:szCs w:val="20"/>
              </w:rPr>
            </w:pPr>
            <w:r w:rsidRPr="00591EE3">
              <w:rPr>
                <w:color w:val="000000"/>
                <w:sz w:val="20"/>
                <w:szCs w:val="20"/>
              </w:rPr>
              <w:t>-0.01%</w:t>
            </w:r>
          </w:p>
        </w:tc>
        <w:tc>
          <w:tcPr>
            <w:tcW w:w="995" w:type="dxa"/>
            <w:tcBorders>
              <w:bottom w:val="single" w:sz="4" w:space="0" w:color="auto"/>
            </w:tcBorders>
            <w:noWrap/>
            <w:hideMark/>
          </w:tcPr>
          <w:p w14:paraId="11D7274C" w14:textId="77777777" w:rsidR="00BA5CB2" w:rsidRPr="00591EE3" w:rsidRDefault="00BA5CB2" w:rsidP="00BA5CB2">
            <w:pPr>
              <w:spacing w:before="40" w:after="20"/>
              <w:jc w:val="center"/>
              <w:rPr>
                <w:color w:val="000000"/>
                <w:sz w:val="20"/>
                <w:szCs w:val="20"/>
              </w:rPr>
            </w:pPr>
            <w:r w:rsidRPr="00591EE3">
              <w:rPr>
                <w:color w:val="000000"/>
                <w:sz w:val="20"/>
                <w:szCs w:val="20"/>
              </w:rPr>
              <w:t>-0.01%</w:t>
            </w:r>
          </w:p>
        </w:tc>
        <w:tc>
          <w:tcPr>
            <w:tcW w:w="1161" w:type="dxa"/>
            <w:tcBorders>
              <w:bottom w:val="single" w:sz="4" w:space="0" w:color="auto"/>
            </w:tcBorders>
            <w:noWrap/>
            <w:hideMark/>
          </w:tcPr>
          <w:p w14:paraId="060B4D54" w14:textId="169E1FED" w:rsidR="00BA5CB2" w:rsidRPr="00591EE3" w:rsidRDefault="00BA5CB2" w:rsidP="00BA5CB2">
            <w:pPr>
              <w:spacing w:before="40" w:after="20"/>
              <w:jc w:val="center"/>
              <w:rPr>
                <w:color w:val="000000"/>
                <w:sz w:val="20"/>
                <w:szCs w:val="20"/>
              </w:rPr>
            </w:pPr>
            <w:r w:rsidRPr="00591EE3">
              <w:rPr>
                <w:color w:val="000000"/>
                <w:sz w:val="20"/>
                <w:szCs w:val="20"/>
              </w:rPr>
              <w:t>0.0</w:t>
            </w:r>
            <w:r w:rsidR="000E548B">
              <w:rPr>
                <w:color w:val="000000"/>
                <w:sz w:val="20"/>
                <w:szCs w:val="20"/>
              </w:rPr>
              <w:t>0</w:t>
            </w:r>
            <w:r w:rsidRPr="00591EE3">
              <w:rPr>
                <w:color w:val="000000"/>
                <w:sz w:val="20"/>
                <w:szCs w:val="20"/>
              </w:rPr>
              <w:t>%</w:t>
            </w:r>
          </w:p>
        </w:tc>
        <w:tc>
          <w:tcPr>
            <w:tcW w:w="833" w:type="dxa"/>
            <w:tcBorders>
              <w:bottom w:val="single" w:sz="4" w:space="0" w:color="auto"/>
            </w:tcBorders>
          </w:tcPr>
          <w:p w14:paraId="0B86386D" w14:textId="5948A228" w:rsidR="00BA5CB2" w:rsidRPr="003E264B" w:rsidRDefault="00BA5CB2" w:rsidP="00BA5CB2">
            <w:pPr>
              <w:spacing w:before="40" w:after="20"/>
              <w:jc w:val="center"/>
              <w:rPr>
                <w:color w:val="000000"/>
                <w:sz w:val="20"/>
                <w:szCs w:val="20"/>
                <w:highlight w:val="yellow"/>
              </w:rPr>
            </w:pPr>
            <w:r w:rsidRPr="00591EE3">
              <w:rPr>
                <w:color w:val="000000"/>
                <w:sz w:val="20"/>
                <w:szCs w:val="20"/>
              </w:rPr>
              <w:t>0.0</w:t>
            </w:r>
            <w:r w:rsidR="008848C1">
              <w:rPr>
                <w:color w:val="000000"/>
                <w:sz w:val="20"/>
                <w:szCs w:val="20"/>
              </w:rPr>
              <w:t>0</w:t>
            </w:r>
            <w:r w:rsidRPr="00591EE3">
              <w:rPr>
                <w:color w:val="000000"/>
                <w:sz w:val="20"/>
                <w:szCs w:val="20"/>
              </w:rPr>
              <w:t>%</w:t>
            </w:r>
          </w:p>
        </w:tc>
        <w:tc>
          <w:tcPr>
            <w:tcW w:w="1233" w:type="dxa"/>
            <w:tcBorders>
              <w:bottom w:val="single" w:sz="4" w:space="0" w:color="auto"/>
              <w:right w:val="single" w:sz="8" w:space="0" w:color="auto"/>
            </w:tcBorders>
            <w:noWrap/>
            <w:hideMark/>
          </w:tcPr>
          <w:p w14:paraId="7AA24443" w14:textId="751C1363" w:rsidR="00BA5CB2" w:rsidRPr="00A63456" w:rsidRDefault="00BA5CB2" w:rsidP="00BA5CB2">
            <w:pPr>
              <w:spacing w:before="40" w:after="20"/>
              <w:jc w:val="center"/>
              <w:rPr>
                <w:color w:val="000000"/>
                <w:sz w:val="20"/>
                <w:szCs w:val="20"/>
              </w:rPr>
            </w:pPr>
            <w:r w:rsidRPr="00A63456">
              <w:rPr>
                <w:color w:val="000000"/>
                <w:sz w:val="20"/>
                <w:szCs w:val="20"/>
              </w:rPr>
              <w:t>-0.0</w:t>
            </w:r>
            <w:r w:rsidR="00462E50" w:rsidRPr="00A63456">
              <w:rPr>
                <w:color w:val="000000"/>
                <w:sz w:val="20"/>
                <w:szCs w:val="20"/>
              </w:rPr>
              <w:t>2</w:t>
            </w:r>
            <w:r w:rsidRPr="00A63456">
              <w:rPr>
                <w:color w:val="000000"/>
                <w:sz w:val="20"/>
                <w:szCs w:val="20"/>
              </w:rPr>
              <w:t>%</w:t>
            </w:r>
          </w:p>
        </w:tc>
      </w:tr>
      <w:tr w:rsidR="00546FAB" w:rsidRPr="00591EE3" w14:paraId="1C2B38E3" w14:textId="77777777" w:rsidTr="00826426">
        <w:trPr>
          <w:trHeight w:val="312"/>
        </w:trPr>
        <w:tc>
          <w:tcPr>
            <w:tcW w:w="3392" w:type="dxa"/>
            <w:tcBorders>
              <w:top w:val="single" w:sz="4" w:space="0" w:color="auto"/>
              <w:left w:val="single" w:sz="8" w:space="0" w:color="auto"/>
              <w:bottom w:val="single" w:sz="4" w:space="0" w:color="auto"/>
            </w:tcBorders>
            <w:noWrap/>
            <w:hideMark/>
          </w:tcPr>
          <w:p w14:paraId="2EDFB485" w14:textId="77777777" w:rsidR="00BA5CB2" w:rsidRPr="00591EE3" w:rsidRDefault="00BA5CB2" w:rsidP="00BA5CB2">
            <w:pPr>
              <w:spacing w:before="40" w:after="20"/>
              <w:jc w:val="both"/>
              <w:rPr>
                <w:color w:val="000000"/>
                <w:sz w:val="20"/>
                <w:szCs w:val="20"/>
              </w:rPr>
            </w:pPr>
            <w:r w:rsidRPr="00591EE3">
              <w:rPr>
                <w:color w:val="000000"/>
                <w:sz w:val="20"/>
                <w:szCs w:val="20"/>
              </w:rPr>
              <w:t>Contribution from Positions Held</w:t>
            </w:r>
          </w:p>
        </w:tc>
        <w:tc>
          <w:tcPr>
            <w:tcW w:w="936" w:type="dxa"/>
            <w:tcBorders>
              <w:top w:val="single" w:sz="4" w:space="0" w:color="auto"/>
              <w:bottom w:val="single" w:sz="4" w:space="0" w:color="auto"/>
            </w:tcBorders>
            <w:noWrap/>
            <w:hideMark/>
          </w:tcPr>
          <w:p w14:paraId="571D2DE1" w14:textId="77777777" w:rsidR="00BA5CB2" w:rsidRPr="00591EE3" w:rsidRDefault="00BA5CB2" w:rsidP="00BA5CB2">
            <w:pPr>
              <w:spacing w:before="40" w:after="20"/>
              <w:jc w:val="center"/>
              <w:rPr>
                <w:color w:val="000000"/>
                <w:sz w:val="20"/>
                <w:szCs w:val="20"/>
              </w:rPr>
            </w:pPr>
            <w:r w:rsidRPr="00591EE3">
              <w:rPr>
                <w:color w:val="000000"/>
                <w:sz w:val="20"/>
                <w:szCs w:val="20"/>
              </w:rPr>
              <w:t>0.02%</w:t>
            </w:r>
          </w:p>
        </w:tc>
        <w:tc>
          <w:tcPr>
            <w:tcW w:w="1032" w:type="dxa"/>
            <w:tcBorders>
              <w:top w:val="single" w:sz="4" w:space="0" w:color="auto"/>
              <w:bottom w:val="single" w:sz="4" w:space="0" w:color="auto"/>
            </w:tcBorders>
            <w:noWrap/>
            <w:hideMark/>
          </w:tcPr>
          <w:p w14:paraId="1575E93B" w14:textId="77777777" w:rsidR="00BA5CB2" w:rsidRPr="00591EE3" w:rsidRDefault="00BA5CB2" w:rsidP="00BA5CB2">
            <w:pPr>
              <w:spacing w:before="40" w:after="20"/>
              <w:jc w:val="center"/>
              <w:rPr>
                <w:color w:val="000000"/>
                <w:sz w:val="20"/>
                <w:szCs w:val="20"/>
              </w:rPr>
            </w:pPr>
            <w:r w:rsidRPr="00591EE3">
              <w:rPr>
                <w:color w:val="000000"/>
                <w:sz w:val="20"/>
                <w:szCs w:val="20"/>
              </w:rPr>
              <w:t>0.49%</w:t>
            </w:r>
          </w:p>
        </w:tc>
        <w:tc>
          <w:tcPr>
            <w:tcW w:w="995" w:type="dxa"/>
            <w:tcBorders>
              <w:top w:val="single" w:sz="4" w:space="0" w:color="auto"/>
              <w:bottom w:val="single" w:sz="4" w:space="0" w:color="auto"/>
            </w:tcBorders>
            <w:noWrap/>
            <w:hideMark/>
          </w:tcPr>
          <w:p w14:paraId="678143C3" w14:textId="77777777" w:rsidR="00BA5CB2" w:rsidRPr="00591EE3" w:rsidRDefault="00BA5CB2" w:rsidP="00BA5CB2">
            <w:pPr>
              <w:spacing w:before="40" w:after="20"/>
              <w:jc w:val="center"/>
              <w:rPr>
                <w:color w:val="000000"/>
                <w:sz w:val="20"/>
                <w:szCs w:val="20"/>
              </w:rPr>
            </w:pPr>
            <w:r w:rsidRPr="00591EE3">
              <w:rPr>
                <w:color w:val="000000"/>
                <w:sz w:val="20"/>
                <w:szCs w:val="20"/>
              </w:rPr>
              <w:t>-1.50%</w:t>
            </w:r>
          </w:p>
        </w:tc>
        <w:tc>
          <w:tcPr>
            <w:tcW w:w="1161" w:type="dxa"/>
            <w:tcBorders>
              <w:top w:val="single" w:sz="4" w:space="0" w:color="auto"/>
              <w:bottom w:val="single" w:sz="4" w:space="0" w:color="auto"/>
            </w:tcBorders>
            <w:noWrap/>
            <w:hideMark/>
          </w:tcPr>
          <w:p w14:paraId="65118D0B" w14:textId="110B3CAD" w:rsidR="00BA5CB2" w:rsidRPr="00591EE3" w:rsidRDefault="00BA5CB2" w:rsidP="00BA5CB2">
            <w:pPr>
              <w:spacing w:before="40" w:after="20"/>
              <w:jc w:val="center"/>
              <w:rPr>
                <w:color w:val="000000"/>
                <w:sz w:val="20"/>
                <w:szCs w:val="20"/>
              </w:rPr>
            </w:pPr>
            <w:r w:rsidRPr="00591EE3">
              <w:rPr>
                <w:color w:val="000000"/>
                <w:sz w:val="20"/>
                <w:szCs w:val="20"/>
              </w:rPr>
              <w:t>0.</w:t>
            </w:r>
            <w:r w:rsidR="000E548B">
              <w:rPr>
                <w:color w:val="000000"/>
                <w:sz w:val="20"/>
                <w:szCs w:val="20"/>
              </w:rPr>
              <w:t>16</w:t>
            </w:r>
            <w:r w:rsidRPr="00591EE3">
              <w:rPr>
                <w:color w:val="000000"/>
                <w:sz w:val="20"/>
                <w:szCs w:val="20"/>
              </w:rPr>
              <w:t>%</w:t>
            </w:r>
          </w:p>
        </w:tc>
        <w:tc>
          <w:tcPr>
            <w:tcW w:w="833" w:type="dxa"/>
            <w:tcBorders>
              <w:top w:val="single" w:sz="4" w:space="0" w:color="auto"/>
              <w:bottom w:val="single" w:sz="4" w:space="0" w:color="auto"/>
            </w:tcBorders>
          </w:tcPr>
          <w:p w14:paraId="7AED4B96" w14:textId="17429388" w:rsidR="00BA5CB2" w:rsidRPr="00591EE3" w:rsidRDefault="00BA5CB2" w:rsidP="00BA5CB2">
            <w:pPr>
              <w:spacing w:before="40" w:after="20"/>
              <w:jc w:val="center"/>
              <w:rPr>
                <w:color w:val="000000"/>
                <w:sz w:val="20"/>
                <w:szCs w:val="20"/>
              </w:rPr>
            </w:pPr>
            <w:r w:rsidRPr="00591EE3">
              <w:rPr>
                <w:color w:val="000000"/>
                <w:sz w:val="20"/>
                <w:szCs w:val="20"/>
              </w:rPr>
              <w:t>-0.</w:t>
            </w:r>
            <w:r w:rsidR="008848C1">
              <w:rPr>
                <w:color w:val="000000"/>
                <w:sz w:val="20"/>
                <w:szCs w:val="20"/>
              </w:rPr>
              <w:t>35</w:t>
            </w:r>
            <w:r w:rsidRPr="00591EE3">
              <w:rPr>
                <w:color w:val="000000"/>
                <w:sz w:val="20"/>
                <w:szCs w:val="20"/>
              </w:rPr>
              <w:t>%</w:t>
            </w:r>
          </w:p>
        </w:tc>
        <w:tc>
          <w:tcPr>
            <w:tcW w:w="1233" w:type="dxa"/>
            <w:tcBorders>
              <w:top w:val="single" w:sz="4" w:space="0" w:color="auto"/>
              <w:bottom w:val="single" w:sz="4" w:space="0" w:color="auto"/>
              <w:right w:val="single" w:sz="8" w:space="0" w:color="auto"/>
            </w:tcBorders>
            <w:noWrap/>
            <w:hideMark/>
          </w:tcPr>
          <w:p w14:paraId="6D5CCCD7" w14:textId="6170853A" w:rsidR="00BA5CB2" w:rsidRPr="00A63456" w:rsidRDefault="00BA5CB2" w:rsidP="00BA5CB2">
            <w:pPr>
              <w:spacing w:before="40" w:after="20"/>
              <w:jc w:val="center"/>
              <w:rPr>
                <w:color w:val="000000"/>
                <w:sz w:val="20"/>
                <w:szCs w:val="20"/>
              </w:rPr>
            </w:pPr>
            <w:r w:rsidRPr="00A63456">
              <w:rPr>
                <w:color w:val="000000"/>
                <w:sz w:val="20"/>
                <w:szCs w:val="20"/>
              </w:rPr>
              <w:t>-1.</w:t>
            </w:r>
            <w:r w:rsidR="00462E50" w:rsidRPr="00A63456">
              <w:rPr>
                <w:color w:val="000000"/>
                <w:sz w:val="20"/>
                <w:szCs w:val="20"/>
              </w:rPr>
              <w:t>19</w:t>
            </w:r>
            <w:r w:rsidRPr="00A63456">
              <w:rPr>
                <w:color w:val="000000"/>
                <w:sz w:val="20"/>
                <w:szCs w:val="20"/>
              </w:rPr>
              <w:t>%</w:t>
            </w:r>
          </w:p>
        </w:tc>
      </w:tr>
      <w:tr w:rsidR="00546FAB" w:rsidRPr="00591EE3" w14:paraId="01ADFF30" w14:textId="77777777" w:rsidTr="00826426">
        <w:trPr>
          <w:trHeight w:val="312"/>
        </w:trPr>
        <w:tc>
          <w:tcPr>
            <w:tcW w:w="3392" w:type="dxa"/>
            <w:tcBorders>
              <w:top w:val="single" w:sz="4" w:space="0" w:color="auto"/>
              <w:left w:val="single" w:sz="8" w:space="0" w:color="auto"/>
              <w:bottom w:val="single" w:sz="4" w:space="0" w:color="auto"/>
            </w:tcBorders>
            <w:noWrap/>
            <w:hideMark/>
          </w:tcPr>
          <w:p w14:paraId="41321BC8" w14:textId="4B548C23" w:rsidR="00BA5CB2" w:rsidRPr="00591EE3" w:rsidRDefault="00BA5CB2" w:rsidP="00BA5CB2">
            <w:pPr>
              <w:spacing w:before="40" w:after="20"/>
              <w:jc w:val="both"/>
              <w:rPr>
                <w:color w:val="000000"/>
                <w:sz w:val="20"/>
                <w:szCs w:val="20"/>
              </w:rPr>
            </w:pPr>
            <w:r w:rsidRPr="00591EE3">
              <w:rPr>
                <w:color w:val="000000"/>
                <w:sz w:val="20"/>
                <w:szCs w:val="20"/>
              </w:rPr>
              <w:t>Interaction, aggregation, trading effects</w:t>
            </w:r>
          </w:p>
        </w:tc>
        <w:tc>
          <w:tcPr>
            <w:tcW w:w="936" w:type="dxa"/>
            <w:tcBorders>
              <w:top w:val="single" w:sz="4" w:space="0" w:color="auto"/>
              <w:bottom w:val="single" w:sz="4" w:space="0" w:color="auto"/>
            </w:tcBorders>
            <w:noWrap/>
            <w:hideMark/>
          </w:tcPr>
          <w:p w14:paraId="3A608DCA" w14:textId="77777777" w:rsidR="00BA5CB2" w:rsidRPr="00591EE3" w:rsidRDefault="00BA5CB2" w:rsidP="00BA5CB2">
            <w:pPr>
              <w:spacing w:before="40" w:after="20"/>
              <w:jc w:val="center"/>
              <w:rPr>
                <w:color w:val="000000"/>
                <w:sz w:val="20"/>
                <w:szCs w:val="20"/>
              </w:rPr>
            </w:pPr>
            <w:r w:rsidRPr="00591EE3">
              <w:rPr>
                <w:color w:val="000000"/>
                <w:sz w:val="20"/>
                <w:szCs w:val="20"/>
              </w:rPr>
              <w:t>0.00%</w:t>
            </w:r>
          </w:p>
        </w:tc>
        <w:tc>
          <w:tcPr>
            <w:tcW w:w="1032" w:type="dxa"/>
            <w:tcBorders>
              <w:top w:val="single" w:sz="4" w:space="0" w:color="auto"/>
              <w:bottom w:val="single" w:sz="4" w:space="0" w:color="auto"/>
            </w:tcBorders>
            <w:noWrap/>
            <w:hideMark/>
          </w:tcPr>
          <w:p w14:paraId="252C58D3" w14:textId="77777777" w:rsidR="00BA5CB2" w:rsidRPr="00591EE3" w:rsidRDefault="00BA5CB2" w:rsidP="00BA5CB2">
            <w:pPr>
              <w:spacing w:before="40" w:after="20"/>
              <w:jc w:val="center"/>
              <w:rPr>
                <w:color w:val="000000"/>
                <w:sz w:val="20"/>
                <w:szCs w:val="20"/>
              </w:rPr>
            </w:pPr>
            <w:r w:rsidRPr="00591EE3">
              <w:rPr>
                <w:color w:val="000000"/>
                <w:sz w:val="20"/>
                <w:szCs w:val="20"/>
              </w:rPr>
              <w:t>-0.01%</w:t>
            </w:r>
          </w:p>
        </w:tc>
        <w:tc>
          <w:tcPr>
            <w:tcW w:w="995" w:type="dxa"/>
            <w:tcBorders>
              <w:top w:val="single" w:sz="4" w:space="0" w:color="auto"/>
              <w:bottom w:val="single" w:sz="4" w:space="0" w:color="auto"/>
            </w:tcBorders>
            <w:noWrap/>
            <w:hideMark/>
          </w:tcPr>
          <w:p w14:paraId="31585358" w14:textId="77777777" w:rsidR="00BA5CB2" w:rsidRPr="00591EE3" w:rsidRDefault="00BA5CB2" w:rsidP="00BA5CB2">
            <w:pPr>
              <w:spacing w:before="40" w:after="20"/>
              <w:jc w:val="center"/>
              <w:rPr>
                <w:color w:val="000000"/>
                <w:sz w:val="20"/>
                <w:szCs w:val="20"/>
              </w:rPr>
            </w:pPr>
            <w:r w:rsidRPr="00591EE3">
              <w:rPr>
                <w:color w:val="000000"/>
                <w:sz w:val="20"/>
                <w:szCs w:val="20"/>
              </w:rPr>
              <w:t>0.00%</w:t>
            </w:r>
          </w:p>
        </w:tc>
        <w:tc>
          <w:tcPr>
            <w:tcW w:w="1161" w:type="dxa"/>
            <w:tcBorders>
              <w:top w:val="single" w:sz="4" w:space="0" w:color="auto"/>
              <w:bottom w:val="single" w:sz="4" w:space="0" w:color="auto"/>
            </w:tcBorders>
            <w:noWrap/>
            <w:hideMark/>
          </w:tcPr>
          <w:p w14:paraId="248235C1" w14:textId="1EB4BCF5" w:rsidR="00BA5CB2" w:rsidRPr="00591EE3" w:rsidRDefault="009A05B8" w:rsidP="00BA5CB2">
            <w:pPr>
              <w:spacing w:before="40" w:after="20"/>
              <w:jc w:val="center"/>
              <w:rPr>
                <w:color w:val="000000"/>
                <w:sz w:val="20"/>
                <w:szCs w:val="20"/>
              </w:rPr>
            </w:pPr>
            <w:r>
              <w:rPr>
                <w:color w:val="000000"/>
                <w:sz w:val="20"/>
                <w:szCs w:val="20"/>
              </w:rPr>
              <w:t>0</w:t>
            </w:r>
            <w:r w:rsidRPr="00591EE3">
              <w:rPr>
                <w:color w:val="000000"/>
                <w:sz w:val="20"/>
                <w:szCs w:val="20"/>
              </w:rPr>
              <w:t>.00</w:t>
            </w:r>
            <w:r w:rsidR="00BA5CB2" w:rsidRPr="00591EE3">
              <w:rPr>
                <w:color w:val="000000"/>
                <w:sz w:val="20"/>
                <w:szCs w:val="20"/>
              </w:rPr>
              <w:t>%</w:t>
            </w:r>
          </w:p>
        </w:tc>
        <w:tc>
          <w:tcPr>
            <w:tcW w:w="833" w:type="dxa"/>
            <w:tcBorders>
              <w:top w:val="single" w:sz="4" w:space="0" w:color="auto"/>
              <w:bottom w:val="single" w:sz="4" w:space="0" w:color="auto"/>
            </w:tcBorders>
          </w:tcPr>
          <w:p w14:paraId="78B14857" w14:textId="62EE2429" w:rsidR="00BA5CB2" w:rsidRPr="007B6843" w:rsidRDefault="009A05B8" w:rsidP="00BA5CB2">
            <w:pPr>
              <w:spacing w:before="40" w:after="20"/>
              <w:jc w:val="center"/>
              <w:rPr>
                <w:color w:val="000000"/>
                <w:sz w:val="20"/>
                <w:szCs w:val="20"/>
                <w:highlight w:val="yellow"/>
              </w:rPr>
            </w:pPr>
            <w:r>
              <w:rPr>
                <w:color w:val="000000"/>
                <w:sz w:val="20"/>
                <w:szCs w:val="20"/>
              </w:rPr>
              <w:t>0.04</w:t>
            </w:r>
            <w:r w:rsidR="00BA5CB2" w:rsidRPr="00591EE3">
              <w:rPr>
                <w:color w:val="000000"/>
                <w:sz w:val="20"/>
                <w:szCs w:val="20"/>
              </w:rPr>
              <w:t>%</w:t>
            </w:r>
          </w:p>
        </w:tc>
        <w:tc>
          <w:tcPr>
            <w:tcW w:w="1233" w:type="dxa"/>
            <w:tcBorders>
              <w:top w:val="single" w:sz="4" w:space="0" w:color="auto"/>
              <w:bottom w:val="single" w:sz="4" w:space="0" w:color="auto"/>
              <w:right w:val="single" w:sz="8" w:space="0" w:color="auto"/>
            </w:tcBorders>
            <w:noWrap/>
            <w:hideMark/>
          </w:tcPr>
          <w:p w14:paraId="3254FE56" w14:textId="5FF78C83" w:rsidR="00BA5CB2" w:rsidRPr="00A63456" w:rsidRDefault="00462E50" w:rsidP="00BA5CB2">
            <w:pPr>
              <w:spacing w:before="40" w:after="20"/>
              <w:jc w:val="center"/>
              <w:rPr>
                <w:color w:val="000000"/>
                <w:sz w:val="20"/>
                <w:szCs w:val="20"/>
              </w:rPr>
            </w:pPr>
            <w:r w:rsidRPr="00A63456">
              <w:rPr>
                <w:color w:val="000000"/>
                <w:sz w:val="20"/>
                <w:szCs w:val="20"/>
              </w:rPr>
              <w:t>0.02</w:t>
            </w:r>
            <w:r w:rsidR="00BA5CB2" w:rsidRPr="00A63456">
              <w:rPr>
                <w:color w:val="000000"/>
                <w:sz w:val="20"/>
                <w:szCs w:val="20"/>
              </w:rPr>
              <w:t>%</w:t>
            </w:r>
          </w:p>
        </w:tc>
      </w:tr>
      <w:tr w:rsidR="00546FAB" w:rsidRPr="00591EE3" w14:paraId="7C98A69C" w14:textId="77777777" w:rsidTr="00826426">
        <w:trPr>
          <w:trHeight w:val="312"/>
        </w:trPr>
        <w:tc>
          <w:tcPr>
            <w:tcW w:w="3392" w:type="dxa"/>
            <w:tcBorders>
              <w:top w:val="single" w:sz="4" w:space="0" w:color="auto"/>
              <w:left w:val="single" w:sz="8" w:space="0" w:color="auto"/>
              <w:bottom w:val="single" w:sz="4" w:space="0" w:color="auto"/>
            </w:tcBorders>
            <w:noWrap/>
            <w:hideMark/>
          </w:tcPr>
          <w:p w14:paraId="0B239507" w14:textId="77777777" w:rsidR="00BA5CB2" w:rsidRPr="00591EE3" w:rsidRDefault="00BA5CB2" w:rsidP="00BA5CB2">
            <w:pPr>
              <w:spacing w:before="40" w:after="20"/>
              <w:jc w:val="both"/>
              <w:rPr>
                <w:b/>
                <w:bCs/>
                <w:color w:val="000000"/>
                <w:sz w:val="20"/>
                <w:szCs w:val="20"/>
              </w:rPr>
            </w:pPr>
            <w:r w:rsidRPr="00591EE3">
              <w:rPr>
                <w:b/>
                <w:bCs/>
                <w:color w:val="000000"/>
                <w:sz w:val="20"/>
                <w:szCs w:val="20"/>
              </w:rPr>
              <w:t>Total Relative Performance</w:t>
            </w:r>
          </w:p>
        </w:tc>
        <w:tc>
          <w:tcPr>
            <w:tcW w:w="936" w:type="dxa"/>
            <w:tcBorders>
              <w:top w:val="single" w:sz="4" w:space="0" w:color="auto"/>
              <w:bottom w:val="single" w:sz="4" w:space="0" w:color="auto"/>
            </w:tcBorders>
            <w:noWrap/>
            <w:hideMark/>
          </w:tcPr>
          <w:p w14:paraId="6F18F70C" w14:textId="77777777" w:rsidR="00BA5CB2" w:rsidRPr="00591EE3" w:rsidRDefault="00BA5CB2" w:rsidP="00BA5CB2">
            <w:pPr>
              <w:spacing w:before="40" w:after="20"/>
              <w:jc w:val="center"/>
              <w:rPr>
                <w:color w:val="000000"/>
                <w:sz w:val="20"/>
                <w:szCs w:val="20"/>
              </w:rPr>
            </w:pPr>
            <w:r w:rsidRPr="00591EE3">
              <w:rPr>
                <w:color w:val="000000"/>
                <w:sz w:val="20"/>
                <w:szCs w:val="20"/>
              </w:rPr>
              <w:t>-0.02%</w:t>
            </w:r>
          </w:p>
        </w:tc>
        <w:tc>
          <w:tcPr>
            <w:tcW w:w="1032" w:type="dxa"/>
            <w:tcBorders>
              <w:top w:val="single" w:sz="4" w:space="0" w:color="auto"/>
              <w:bottom w:val="single" w:sz="4" w:space="0" w:color="auto"/>
            </w:tcBorders>
            <w:noWrap/>
            <w:hideMark/>
          </w:tcPr>
          <w:p w14:paraId="2BCA7F76" w14:textId="77777777" w:rsidR="00BA5CB2" w:rsidRPr="00591EE3" w:rsidRDefault="00BA5CB2" w:rsidP="00BA5CB2">
            <w:pPr>
              <w:spacing w:before="40" w:after="20"/>
              <w:jc w:val="center"/>
              <w:rPr>
                <w:color w:val="000000"/>
                <w:sz w:val="20"/>
                <w:szCs w:val="20"/>
              </w:rPr>
            </w:pPr>
            <w:r w:rsidRPr="00591EE3">
              <w:rPr>
                <w:color w:val="000000"/>
                <w:sz w:val="20"/>
                <w:szCs w:val="20"/>
              </w:rPr>
              <w:t>0.39%</w:t>
            </w:r>
          </w:p>
        </w:tc>
        <w:tc>
          <w:tcPr>
            <w:tcW w:w="995" w:type="dxa"/>
            <w:tcBorders>
              <w:top w:val="single" w:sz="4" w:space="0" w:color="auto"/>
              <w:bottom w:val="single" w:sz="4" w:space="0" w:color="auto"/>
            </w:tcBorders>
            <w:noWrap/>
            <w:hideMark/>
          </w:tcPr>
          <w:p w14:paraId="1288A305" w14:textId="77777777" w:rsidR="00BA5CB2" w:rsidRPr="00591EE3" w:rsidRDefault="00BA5CB2" w:rsidP="00BA5CB2">
            <w:pPr>
              <w:spacing w:before="40" w:after="20"/>
              <w:jc w:val="center"/>
              <w:rPr>
                <w:color w:val="000000"/>
                <w:sz w:val="20"/>
                <w:szCs w:val="20"/>
              </w:rPr>
            </w:pPr>
            <w:r w:rsidRPr="00591EE3">
              <w:rPr>
                <w:color w:val="000000"/>
                <w:sz w:val="20"/>
                <w:szCs w:val="20"/>
              </w:rPr>
              <w:t>-1.51%</w:t>
            </w:r>
          </w:p>
        </w:tc>
        <w:tc>
          <w:tcPr>
            <w:tcW w:w="1161" w:type="dxa"/>
            <w:tcBorders>
              <w:top w:val="single" w:sz="4" w:space="0" w:color="auto"/>
              <w:bottom w:val="single" w:sz="4" w:space="0" w:color="auto"/>
            </w:tcBorders>
            <w:noWrap/>
            <w:hideMark/>
          </w:tcPr>
          <w:p w14:paraId="1EE29F6E" w14:textId="051C6802" w:rsidR="00BA5CB2" w:rsidRPr="00591EE3" w:rsidRDefault="00BA5CB2" w:rsidP="00BA5CB2">
            <w:pPr>
              <w:spacing w:before="40" w:after="20"/>
              <w:jc w:val="center"/>
              <w:rPr>
                <w:color w:val="000000"/>
                <w:sz w:val="20"/>
                <w:szCs w:val="20"/>
              </w:rPr>
            </w:pPr>
            <w:r w:rsidRPr="00591EE3">
              <w:rPr>
                <w:color w:val="000000"/>
                <w:sz w:val="20"/>
                <w:szCs w:val="20"/>
              </w:rPr>
              <w:t>0.</w:t>
            </w:r>
            <w:r w:rsidR="008B4A0A">
              <w:rPr>
                <w:color w:val="000000"/>
                <w:sz w:val="20"/>
                <w:szCs w:val="20"/>
              </w:rPr>
              <w:t>16</w:t>
            </w:r>
            <w:r w:rsidRPr="00591EE3">
              <w:rPr>
                <w:color w:val="000000"/>
                <w:sz w:val="20"/>
                <w:szCs w:val="20"/>
              </w:rPr>
              <w:t>%</w:t>
            </w:r>
          </w:p>
        </w:tc>
        <w:tc>
          <w:tcPr>
            <w:tcW w:w="833" w:type="dxa"/>
            <w:tcBorders>
              <w:top w:val="single" w:sz="4" w:space="0" w:color="auto"/>
              <w:bottom w:val="single" w:sz="4" w:space="0" w:color="auto"/>
            </w:tcBorders>
          </w:tcPr>
          <w:p w14:paraId="781CB95F" w14:textId="1D27952B" w:rsidR="00BA5CB2" w:rsidRPr="00591EE3" w:rsidRDefault="008B4A0A" w:rsidP="00BA5CB2">
            <w:pPr>
              <w:spacing w:before="40" w:after="20"/>
              <w:jc w:val="center"/>
              <w:rPr>
                <w:color w:val="000000"/>
                <w:sz w:val="20"/>
                <w:szCs w:val="20"/>
              </w:rPr>
            </w:pPr>
            <w:r>
              <w:rPr>
                <w:color w:val="000000"/>
                <w:sz w:val="20"/>
                <w:szCs w:val="20"/>
              </w:rPr>
              <w:t>-</w:t>
            </w:r>
            <w:r w:rsidR="009A05B8">
              <w:rPr>
                <w:color w:val="000000"/>
                <w:sz w:val="20"/>
                <w:szCs w:val="20"/>
              </w:rPr>
              <w:t>0.31</w:t>
            </w:r>
            <w:r w:rsidR="00BA5CB2" w:rsidRPr="00591EE3">
              <w:rPr>
                <w:color w:val="000000"/>
                <w:sz w:val="20"/>
                <w:szCs w:val="20"/>
              </w:rPr>
              <w:t>%</w:t>
            </w:r>
          </w:p>
        </w:tc>
        <w:tc>
          <w:tcPr>
            <w:tcW w:w="1233" w:type="dxa"/>
            <w:tcBorders>
              <w:top w:val="single" w:sz="4" w:space="0" w:color="auto"/>
              <w:bottom w:val="single" w:sz="4" w:space="0" w:color="auto"/>
              <w:right w:val="single" w:sz="8" w:space="0" w:color="auto"/>
            </w:tcBorders>
            <w:noWrap/>
            <w:hideMark/>
          </w:tcPr>
          <w:p w14:paraId="770B03AB" w14:textId="43987886" w:rsidR="00BA5CB2" w:rsidRPr="00A63456" w:rsidRDefault="009A05B8" w:rsidP="00BA5CB2">
            <w:pPr>
              <w:spacing w:before="40" w:after="20"/>
              <w:jc w:val="center"/>
              <w:rPr>
                <w:color w:val="000000"/>
                <w:sz w:val="20"/>
                <w:szCs w:val="20"/>
              </w:rPr>
            </w:pPr>
            <w:r w:rsidRPr="00A63456">
              <w:rPr>
                <w:color w:val="000000"/>
                <w:sz w:val="20"/>
                <w:szCs w:val="20"/>
              </w:rPr>
              <w:t>-1.30</w:t>
            </w:r>
            <w:r w:rsidR="00BA5CB2" w:rsidRPr="00A63456">
              <w:rPr>
                <w:color w:val="000000"/>
                <w:sz w:val="20"/>
                <w:szCs w:val="20"/>
              </w:rPr>
              <w:t>%</w:t>
            </w:r>
          </w:p>
        </w:tc>
      </w:tr>
      <w:tr w:rsidR="00546FAB" w:rsidRPr="00591EE3" w14:paraId="0D487559" w14:textId="77777777" w:rsidTr="00826426">
        <w:trPr>
          <w:trHeight w:val="134"/>
        </w:trPr>
        <w:tc>
          <w:tcPr>
            <w:tcW w:w="3392" w:type="dxa"/>
            <w:tcBorders>
              <w:top w:val="single" w:sz="4" w:space="0" w:color="auto"/>
              <w:left w:val="single" w:sz="8" w:space="0" w:color="auto"/>
            </w:tcBorders>
            <w:noWrap/>
            <w:hideMark/>
          </w:tcPr>
          <w:p w14:paraId="073CB9AB" w14:textId="77777777" w:rsidR="00BA5CB2" w:rsidRPr="00E031B9" w:rsidRDefault="00BA5CB2" w:rsidP="00BA5CB2">
            <w:pPr>
              <w:jc w:val="both"/>
              <w:rPr>
                <w:color w:val="000000"/>
                <w:sz w:val="12"/>
                <w:szCs w:val="12"/>
              </w:rPr>
            </w:pPr>
            <w:r w:rsidRPr="00E031B9">
              <w:rPr>
                <w:color w:val="000000"/>
                <w:sz w:val="12"/>
                <w:szCs w:val="12"/>
              </w:rPr>
              <w:t> </w:t>
            </w:r>
          </w:p>
        </w:tc>
        <w:tc>
          <w:tcPr>
            <w:tcW w:w="936" w:type="dxa"/>
            <w:tcBorders>
              <w:top w:val="single" w:sz="4" w:space="0" w:color="auto"/>
            </w:tcBorders>
            <w:noWrap/>
            <w:hideMark/>
          </w:tcPr>
          <w:p w14:paraId="3FAB8680" w14:textId="462B7F2A" w:rsidR="00BA5CB2" w:rsidRPr="00E031B9" w:rsidRDefault="00BA5CB2" w:rsidP="00BA5CB2">
            <w:pPr>
              <w:jc w:val="center"/>
              <w:rPr>
                <w:color w:val="000000"/>
                <w:sz w:val="12"/>
                <w:szCs w:val="12"/>
              </w:rPr>
            </w:pPr>
          </w:p>
        </w:tc>
        <w:tc>
          <w:tcPr>
            <w:tcW w:w="1032" w:type="dxa"/>
            <w:tcBorders>
              <w:top w:val="single" w:sz="4" w:space="0" w:color="auto"/>
            </w:tcBorders>
            <w:noWrap/>
            <w:hideMark/>
          </w:tcPr>
          <w:p w14:paraId="3253AAE0" w14:textId="0DBA373E" w:rsidR="00BA5CB2" w:rsidRPr="00E031B9" w:rsidRDefault="00BA5CB2" w:rsidP="00BA5CB2">
            <w:pPr>
              <w:jc w:val="center"/>
              <w:rPr>
                <w:color w:val="000000"/>
                <w:sz w:val="12"/>
                <w:szCs w:val="12"/>
              </w:rPr>
            </w:pPr>
          </w:p>
        </w:tc>
        <w:tc>
          <w:tcPr>
            <w:tcW w:w="995" w:type="dxa"/>
            <w:tcBorders>
              <w:top w:val="single" w:sz="4" w:space="0" w:color="auto"/>
            </w:tcBorders>
            <w:noWrap/>
            <w:hideMark/>
          </w:tcPr>
          <w:p w14:paraId="4ECF2D10" w14:textId="3BE60151" w:rsidR="00BA5CB2" w:rsidRPr="00E031B9" w:rsidRDefault="00BA5CB2" w:rsidP="00BA5CB2">
            <w:pPr>
              <w:jc w:val="center"/>
              <w:rPr>
                <w:color w:val="000000"/>
                <w:sz w:val="12"/>
                <w:szCs w:val="12"/>
              </w:rPr>
            </w:pPr>
          </w:p>
        </w:tc>
        <w:tc>
          <w:tcPr>
            <w:tcW w:w="1161" w:type="dxa"/>
            <w:tcBorders>
              <w:top w:val="single" w:sz="4" w:space="0" w:color="auto"/>
            </w:tcBorders>
            <w:noWrap/>
            <w:hideMark/>
          </w:tcPr>
          <w:p w14:paraId="7D00A8E8" w14:textId="01CD5852" w:rsidR="00BA5CB2" w:rsidRPr="00E031B9" w:rsidRDefault="00BA5CB2" w:rsidP="00BA5CB2">
            <w:pPr>
              <w:jc w:val="center"/>
              <w:rPr>
                <w:color w:val="000000"/>
                <w:sz w:val="12"/>
                <w:szCs w:val="12"/>
              </w:rPr>
            </w:pPr>
          </w:p>
        </w:tc>
        <w:tc>
          <w:tcPr>
            <w:tcW w:w="833" w:type="dxa"/>
            <w:tcBorders>
              <w:top w:val="single" w:sz="4" w:space="0" w:color="auto"/>
            </w:tcBorders>
          </w:tcPr>
          <w:p w14:paraId="365B1F0E" w14:textId="77777777" w:rsidR="00BA5CB2" w:rsidRPr="00E031B9" w:rsidRDefault="00BA5CB2" w:rsidP="00BA5CB2">
            <w:pPr>
              <w:jc w:val="center"/>
              <w:rPr>
                <w:color w:val="000000"/>
                <w:sz w:val="12"/>
                <w:szCs w:val="12"/>
              </w:rPr>
            </w:pPr>
          </w:p>
        </w:tc>
        <w:tc>
          <w:tcPr>
            <w:tcW w:w="1233" w:type="dxa"/>
            <w:tcBorders>
              <w:top w:val="single" w:sz="4" w:space="0" w:color="auto"/>
              <w:right w:val="single" w:sz="8" w:space="0" w:color="auto"/>
            </w:tcBorders>
            <w:noWrap/>
            <w:hideMark/>
          </w:tcPr>
          <w:p w14:paraId="1D5CD447" w14:textId="1376244B" w:rsidR="00BA5CB2" w:rsidRPr="00A63456" w:rsidRDefault="00BA5CB2" w:rsidP="00BA5CB2">
            <w:pPr>
              <w:jc w:val="center"/>
              <w:rPr>
                <w:color w:val="000000"/>
                <w:sz w:val="12"/>
                <w:szCs w:val="12"/>
              </w:rPr>
            </w:pPr>
          </w:p>
        </w:tc>
      </w:tr>
      <w:tr w:rsidR="00546FAB" w:rsidRPr="00591EE3" w14:paraId="7DD9064D" w14:textId="77777777" w:rsidTr="00826426">
        <w:trPr>
          <w:trHeight w:val="312"/>
        </w:trPr>
        <w:tc>
          <w:tcPr>
            <w:tcW w:w="3392" w:type="dxa"/>
            <w:tcBorders>
              <w:left w:val="single" w:sz="8" w:space="0" w:color="auto"/>
            </w:tcBorders>
            <w:noWrap/>
            <w:hideMark/>
          </w:tcPr>
          <w:p w14:paraId="2FCA8ABC" w14:textId="77777777" w:rsidR="00BA5CB2" w:rsidRPr="00591EE3" w:rsidRDefault="00BA5CB2" w:rsidP="00BA5CB2">
            <w:pPr>
              <w:spacing w:before="40" w:after="20"/>
              <w:jc w:val="both"/>
              <w:rPr>
                <w:b/>
                <w:bCs/>
                <w:color w:val="000000"/>
                <w:sz w:val="20"/>
                <w:szCs w:val="20"/>
              </w:rPr>
            </w:pPr>
            <w:r w:rsidRPr="00591EE3">
              <w:rPr>
                <w:b/>
                <w:bCs/>
                <w:color w:val="000000"/>
                <w:sz w:val="20"/>
                <w:szCs w:val="20"/>
              </w:rPr>
              <w:t>AAE Portfolio vs. S&amp;P/ASX200 ETF</w:t>
            </w:r>
          </w:p>
        </w:tc>
        <w:tc>
          <w:tcPr>
            <w:tcW w:w="936" w:type="dxa"/>
            <w:noWrap/>
            <w:hideMark/>
          </w:tcPr>
          <w:p w14:paraId="08391901" w14:textId="5549DF1C" w:rsidR="00BA5CB2" w:rsidRPr="00591EE3" w:rsidRDefault="00BA5CB2" w:rsidP="00BA5CB2">
            <w:pPr>
              <w:spacing w:before="40" w:after="20"/>
              <w:jc w:val="center"/>
              <w:rPr>
                <w:color w:val="000000"/>
                <w:sz w:val="20"/>
                <w:szCs w:val="20"/>
              </w:rPr>
            </w:pPr>
          </w:p>
        </w:tc>
        <w:tc>
          <w:tcPr>
            <w:tcW w:w="1032" w:type="dxa"/>
            <w:noWrap/>
            <w:hideMark/>
          </w:tcPr>
          <w:p w14:paraId="1180F283" w14:textId="0E0110AA" w:rsidR="00BA5CB2" w:rsidRPr="00591EE3" w:rsidRDefault="00BA5CB2" w:rsidP="00BA5CB2">
            <w:pPr>
              <w:spacing w:before="40" w:after="20"/>
              <w:jc w:val="center"/>
              <w:rPr>
                <w:color w:val="000000"/>
                <w:sz w:val="20"/>
                <w:szCs w:val="20"/>
              </w:rPr>
            </w:pPr>
          </w:p>
        </w:tc>
        <w:tc>
          <w:tcPr>
            <w:tcW w:w="995" w:type="dxa"/>
            <w:noWrap/>
            <w:hideMark/>
          </w:tcPr>
          <w:p w14:paraId="1AE45971" w14:textId="59E8F4EA" w:rsidR="00BA5CB2" w:rsidRPr="00591EE3" w:rsidRDefault="00BA5CB2" w:rsidP="00BA5CB2">
            <w:pPr>
              <w:spacing w:before="40" w:after="20"/>
              <w:jc w:val="center"/>
              <w:rPr>
                <w:color w:val="000000"/>
                <w:sz w:val="20"/>
                <w:szCs w:val="20"/>
              </w:rPr>
            </w:pPr>
          </w:p>
        </w:tc>
        <w:tc>
          <w:tcPr>
            <w:tcW w:w="1161" w:type="dxa"/>
            <w:noWrap/>
            <w:hideMark/>
          </w:tcPr>
          <w:p w14:paraId="45481353" w14:textId="5908A6D3" w:rsidR="00BA5CB2" w:rsidRPr="00591EE3" w:rsidRDefault="00BA5CB2" w:rsidP="00BA5CB2">
            <w:pPr>
              <w:spacing w:before="40" w:after="20"/>
              <w:jc w:val="center"/>
              <w:rPr>
                <w:color w:val="000000"/>
                <w:sz w:val="20"/>
                <w:szCs w:val="20"/>
              </w:rPr>
            </w:pPr>
          </w:p>
        </w:tc>
        <w:tc>
          <w:tcPr>
            <w:tcW w:w="833" w:type="dxa"/>
          </w:tcPr>
          <w:p w14:paraId="585DA0F5" w14:textId="77777777" w:rsidR="00BA5CB2" w:rsidRPr="00591EE3" w:rsidRDefault="00BA5CB2" w:rsidP="00BA5CB2">
            <w:pPr>
              <w:spacing w:before="40" w:after="20"/>
              <w:jc w:val="center"/>
              <w:rPr>
                <w:color w:val="000000"/>
                <w:sz w:val="20"/>
                <w:szCs w:val="20"/>
              </w:rPr>
            </w:pPr>
          </w:p>
        </w:tc>
        <w:tc>
          <w:tcPr>
            <w:tcW w:w="1233" w:type="dxa"/>
            <w:tcBorders>
              <w:right w:val="single" w:sz="8" w:space="0" w:color="auto"/>
            </w:tcBorders>
            <w:noWrap/>
            <w:hideMark/>
          </w:tcPr>
          <w:p w14:paraId="791A37BB" w14:textId="7818540E" w:rsidR="00BA5CB2" w:rsidRPr="00591EE3" w:rsidRDefault="00BA5CB2" w:rsidP="00BA5CB2">
            <w:pPr>
              <w:spacing w:before="40" w:after="20"/>
              <w:jc w:val="center"/>
              <w:rPr>
                <w:color w:val="000000"/>
                <w:sz w:val="20"/>
                <w:szCs w:val="20"/>
              </w:rPr>
            </w:pPr>
          </w:p>
        </w:tc>
      </w:tr>
      <w:tr w:rsidR="00546FAB" w:rsidRPr="00591EE3" w14:paraId="5436F0F4" w14:textId="77777777" w:rsidTr="00826426">
        <w:trPr>
          <w:trHeight w:val="312"/>
        </w:trPr>
        <w:tc>
          <w:tcPr>
            <w:tcW w:w="3392" w:type="dxa"/>
            <w:tcBorders>
              <w:left w:val="single" w:sz="8" w:space="0" w:color="auto"/>
            </w:tcBorders>
            <w:noWrap/>
            <w:hideMark/>
          </w:tcPr>
          <w:p w14:paraId="09D3C478" w14:textId="77777777" w:rsidR="00BA5CB2" w:rsidRPr="00591EE3" w:rsidRDefault="00BA5CB2" w:rsidP="00BA5CB2">
            <w:pPr>
              <w:spacing w:before="40" w:after="20"/>
              <w:jc w:val="both"/>
              <w:rPr>
                <w:color w:val="000000"/>
                <w:sz w:val="20"/>
                <w:szCs w:val="20"/>
              </w:rPr>
            </w:pPr>
            <w:r w:rsidRPr="00591EE3">
              <w:rPr>
                <w:color w:val="000000"/>
                <w:sz w:val="20"/>
                <w:szCs w:val="20"/>
              </w:rPr>
              <w:t xml:space="preserve"> iShares Core S&amp;P/ASX 200 ETF </w:t>
            </w:r>
          </w:p>
        </w:tc>
        <w:tc>
          <w:tcPr>
            <w:tcW w:w="936" w:type="dxa"/>
            <w:noWrap/>
            <w:hideMark/>
          </w:tcPr>
          <w:p w14:paraId="1C24D2E3" w14:textId="77777777" w:rsidR="00BA5CB2" w:rsidRPr="00591EE3" w:rsidRDefault="00BA5CB2" w:rsidP="00BA5CB2">
            <w:pPr>
              <w:spacing w:before="40" w:after="20"/>
              <w:jc w:val="center"/>
              <w:rPr>
                <w:color w:val="000000"/>
                <w:sz w:val="20"/>
                <w:szCs w:val="20"/>
              </w:rPr>
            </w:pPr>
            <w:r w:rsidRPr="00591EE3">
              <w:rPr>
                <w:color w:val="000000"/>
                <w:sz w:val="20"/>
                <w:szCs w:val="20"/>
              </w:rPr>
              <w:t>0.00%</w:t>
            </w:r>
          </w:p>
        </w:tc>
        <w:tc>
          <w:tcPr>
            <w:tcW w:w="1032" w:type="dxa"/>
            <w:noWrap/>
            <w:hideMark/>
          </w:tcPr>
          <w:p w14:paraId="4BBB1725" w14:textId="77777777" w:rsidR="00BA5CB2" w:rsidRPr="00591EE3" w:rsidRDefault="00BA5CB2" w:rsidP="00BA5CB2">
            <w:pPr>
              <w:spacing w:before="40" w:after="20"/>
              <w:jc w:val="center"/>
              <w:rPr>
                <w:color w:val="000000"/>
                <w:sz w:val="20"/>
                <w:szCs w:val="20"/>
              </w:rPr>
            </w:pPr>
            <w:r w:rsidRPr="00591EE3">
              <w:rPr>
                <w:color w:val="000000"/>
                <w:sz w:val="20"/>
                <w:szCs w:val="20"/>
              </w:rPr>
              <w:t>0.00%</w:t>
            </w:r>
          </w:p>
        </w:tc>
        <w:tc>
          <w:tcPr>
            <w:tcW w:w="995" w:type="dxa"/>
            <w:noWrap/>
            <w:hideMark/>
          </w:tcPr>
          <w:p w14:paraId="6373C79F" w14:textId="77777777" w:rsidR="00BA5CB2" w:rsidRPr="00591EE3" w:rsidRDefault="00BA5CB2" w:rsidP="00BA5CB2">
            <w:pPr>
              <w:spacing w:before="40" w:after="20"/>
              <w:jc w:val="center"/>
              <w:rPr>
                <w:color w:val="000000"/>
                <w:sz w:val="20"/>
                <w:szCs w:val="20"/>
              </w:rPr>
            </w:pPr>
            <w:r w:rsidRPr="00591EE3">
              <w:rPr>
                <w:color w:val="000000"/>
                <w:sz w:val="20"/>
                <w:szCs w:val="20"/>
              </w:rPr>
              <w:t>0.00%</w:t>
            </w:r>
          </w:p>
        </w:tc>
        <w:tc>
          <w:tcPr>
            <w:tcW w:w="1161" w:type="dxa"/>
            <w:noWrap/>
            <w:hideMark/>
          </w:tcPr>
          <w:p w14:paraId="6BBE0F27" w14:textId="77777777" w:rsidR="00BA5CB2" w:rsidRPr="00591EE3" w:rsidRDefault="00BA5CB2" w:rsidP="00BA5CB2">
            <w:pPr>
              <w:spacing w:before="40" w:after="20"/>
              <w:jc w:val="center"/>
              <w:rPr>
                <w:color w:val="000000"/>
                <w:sz w:val="20"/>
                <w:szCs w:val="20"/>
              </w:rPr>
            </w:pPr>
            <w:r w:rsidRPr="00591EE3">
              <w:rPr>
                <w:color w:val="000000"/>
                <w:sz w:val="20"/>
                <w:szCs w:val="20"/>
              </w:rPr>
              <w:t>0.00%</w:t>
            </w:r>
          </w:p>
        </w:tc>
        <w:tc>
          <w:tcPr>
            <w:tcW w:w="833" w:type="dxa"/>
          </w:tcPr>
          <w:p w14:paraId="7213B731" w14:textId="23C37871" w:rsidR="00BA5CB2" w:rsidRPr="00591EE3" w:rsidRDefault="00BA5CB2" w:rsidP="00BA5CB2">
            <w:pPr>
              <w:spacing w:before="40" w:after="20"/>
              <w:jc w:val="center"/>
              <w:rPr>
                <w:color w:val="000000"/>
                <w:sz w:val="20"/>
                <w:szCs w:val="20"/>
              </w:rPr>
            </w:pPr>
            <w:r w:rsidRPr="00591EE3">
              <w:rPr>
                <w:color w:val="000000"/>
                <w:sz w:val="20"/>
                <w:szCs w:val="20"/>
              </w:rPr>
              <w:t>0.00%</w:t>
            </w:r>
          </w:p>
        </w:tc>
        <w:tc>
          <w:tcPr>
            <w:tcW w:w="1233" w:type="dxa"/>
            <w:tcBorders>
              <w:right w:val="single" w:sz="8" w:space="0" w:color="auto"/>
            </w:tcBorders>
            <w:noWrap/>
            <w:hideMark/>
          </w:tcPr>
          <w:p w14:paraId="755836B0" w14:textId="707C77FA" w:rsidR="00BA5CB2" w:rsidRPr="00591EE3" w:rsidRDefault="00BA5CB2" w:rsidP="00BA5CB2">
            <w:pPr>
              <w:spacing w:before="40" w:after="20"/>
              <w:jc w:val="center"/>
              <w:rPr>
                <w:color w:val="000000"/>
                <w:sz w:val="20"/>
                <w:szCs w:val="20"/>
              </w:rPr>
            </w:pPr>
            <w:r w:rsidRPr="00591EE3">
              <w:rPr>
                <w:color w:val="000000"/>
                <w:sz w:val="20"/>
                <w:szCs w:val="20"/>
              </w:rPr>
              <w:t>0.00%</w:t>
            </w:r>
          </w:p>
        </w:tc>
      </w:tr>
      <w:tr w:rsidR="00F82EF9" w:rsidRPr="00591EE3" w14:paraId="193C62AE" w14:textId="77777777" w:rsidTr="00826426">
        <w:trPr>
          <w:trHeight w:val="312"/>
        </w:trPr>
        <w:tc>
          <w:tcPr>
            <w:tcW w:w="3392" w:type="dxa"/>
            <w:tcBorders>
              <w:left w:val="single" w:sz="8" w:space="0" w:color="auto"/>
            </w:tcBorders>
            <w:noWrap/>
          </w:tcPr>
          <w:p w14:paraId="10E36619" w14:textId="376B34B9" w:rsidR="00F82EF9" w:rsidRPr="00591EE3" w:rsidRDefault="00F82EF9" w:rsidP="00F82EF9">
            <w:pPr>
              <w:spacing w:before="40" w:after="20"/>
              <w:jc w:val="both"/>
              <w:rPr>
                <w:color w:val="000000"/>
                <w:sz w:val="20"/>
                <w:szCs w:val="20"/>
              </w:rPr>
            </w:pPr>
            <w:r w:rsidRPr="00591EE3">
              <w:rPr>
                <w:color w:val="000000"/>
                <w:sz w:val="20"/>
                <w:szCs w:val="20"/>
              </w:rPr>
              <w:t xml:space="preserve"> Bingo Industries Limited </w:t>
            </w:r>
          </w:p>
        </w:tc>
        <w:tc>
          <w:tcPr>
            <w:tcW w:w="936" w:type="dxa"/>
            <w:noWrap/>
          </w:tcPr>
          <w:p w14:paraId="7ED08307" w14:textId="77777777" w:rsidR="00F82EF9" w:rsidRPr="00591EE3" w:rsidRDefault="00F82EF9" w:rsidP="00F82EF9">
            <w:pPr>
              <w:spacing w:before="40" w:after="20"/>
              <w:jc w:val="center"/>
              <w:rPr>
                <w:color w:val="000000"/>
                <w:sz w:val="20"/>
                <w:szCs w:val="20"/>
              </w:rPr>
            </w:pPr>
          </w:p>
        </w:tc>
        <w:tc>
          <w:tcPr>
            <w:tcW w:w="1032" w:type="dxa"/>
            <w:noWrap/>
          </w:tcPr>
          <w:p w14:paraId="203F9B5B" w14:textId="77777777" w:rsidR="00F82EF9" w:rsidRPr="00591EE3" w:rsidRDefault="00F82EF9" w:rsidP="00F82EF9">
            <w:pPr>
              <w:spacing w:before="40" w:after="20"/>
              <w:jc w:val="center"/>
              <w:rPr>
                <w:color w:val="000000"/>
                <w:sz w:val="20"/>
                <w:szCs w:val="20"/>
              </w:rPr>
            </w:pPr>
          </w:p>
        </w:tc>
        <w:tc>
          <w:tcPr>
            <w:tcW w:w="995" w:type="dxa"/>
            <w:noWrap/>
          </w:tcPr>
          <w:p w14:paraId="4337B69E" w14:textId="26D2643E" w:rsidR="00F82EF9" w:rsidRPr="00591EE3" w:rsidRDefault="00F82EF9" w:rsidP="00F82EF9">
            <w:pPr>
              <w:spacing w:before="40" w:after="20"/>
              <w:jc w:val="center"/>
              <w:rPr>
                <w:color w:val="000000"/>
                <w:sz w:val="20"/>
                <w:szCs w:val="20"/>
              </w:rPr>
            </w:pPr>
            <w:r w:rsidRPr="00591EE3">
              <w:rPr>
                <w:color w:val="000000"/>
                <w:sz w:val="20"/>
                <w:szCs w:val="20"/>
              </w:rPr>
              <w:t>-2.81%</w:t>
            </w:r>
          </w:p>
        </w:tc>
        <w:tc>
          <w:tcPr>
            <w:tcW w:w="1161" w:type="dxa"/>
            <w:noWrap/>
          </w:tcPr>
          <w:p w14:paraId="4B65ACF4" w14:textId="705C597D" w:rsidR="00F82EF9" w:rsidRPr="00591EE3" w:rsidRDefault="00F82EF9" w:rsidP="00F82EF9">
            <w:pPr>
              <w:spacing w:before="40" w:after="20"/>
              <w:jc w:val="center"/>
              <w:rPr>
                <w:color w:val="000000"/>
                <w:sz w:val="20"/>
                <w:szCs w:val="20"/>
              </w:rPr>
            </w:pPr>
            <w:r>
              <w:rPr>
                <w:color w:val="000000"/>
                <w:sz w:val="20"/>
                <w:szCs w:val="20"/>
              </w:rPr>
              <w:t>0.45</w:t>
            </w:r>
            <w:r w:rsidRPr="00591EE3">
              <w:rPr>
                <w:color w:val="000000"/>
                <w:sz w:val="20"/>
                <w:szCs w:val="20"/>
              </w:rPr>
              <w:t>%</w:t>
            </w:r>
          </w:p>
        </w:tc>
        <w:tc>
          <w:tcPr>
            <w:tcW w:w="833" w:type="dxa"/>
          </w:tcPr>
          <w:p w14:paraId="16A8F984" w14:textId="21E20EBE" w:rsidR="00F82EF9" w:rsidRPr="00591EE3" w:rsidRDefault="00F82EF9" w:rsidP="00F82EF9">
            <w:pPr>
              <w:spacing w:before="40" w:after="20"/>
              <w:jc w:val="center"/>
              <w:rPr>
                <w:color w:val="000000"/>
                <w:sz w:val="20"/>
                <w:szCs w:val="20"/>
              </w:rPr>
            </w:pPr>
            <w:r w:rsidRPr="00591EE3">
              <w:rPr>
                <w:color w:val="000000"/>
                <w:sz w:val="20"/>
                <w:szCs w:val="20"/>
              </w:rPr>
              <w:t>-</w:t>
            </w:r>
            <w:r>
              <w:rPr>
                <w:color w:val="000000"/>
                <w:sz w:val="20"/>
                <w:szCs w:val="20"/>
              </w:rPr>
              <w:t>2</w:t>
            </w:r>
            <w:r w:rsidRPr="00591EE3">
              <w:rPr>
                <w:color w:val="000000"/>
                <w:sz w:val="20"/>
                <w:szCs w:val="20"/>
              </w:rPr>
              <w:t>.</w:t>
            </w:r>
            <w:r>
              <w:rPr>
                <w:color w:val="000000"/>
                <w:sz w:val="20"/>
                <w:szCs w:val="20"/>
              </w:rPr>
              <w:t>10</w:t>
            </w:r>
            <w:r w:rsidRPr="00591EE3">
              <w:rPr>
                <w:color w:val="000000"/>
                <w:sz w:val="20"/>
                <w:szCs w:val="20"/>
              </w:rPr>
              <w:t>%</w:t>
            </w:r>
          </w:p>
        </w:tc>
        <w:tc>
          <w:tcPr>
            <w:tcW w:w="1233" w:type="dxa"/>
            <w:tcBorders>
              <w:right w:val="single" w:sz="8" w:space="0" w:color="auto"/>
            </w:tcBorders>
            <w:noWrap/>
          </w:tcPr>
          <w:p w14:paraId="6B78ED81" w14:textId="785C4C16" w:rsidR="00F82EF9" w:rsidRPr="00591EE3" w:rsidRDefault="00F82EF9" w:rsidP="00F82EF9">
            <w:pPr>
              <w:spacing w:before="40" w:after="20"/>
              <w:jc w:val="center"/>
              <w:rPr>
                <w:color w:val="000000"/>
                <w:sz w:val="20"/>
                <w:szCs w:val="20"/>
              </w:rPr>
            </w:pPr>
            <w:r w:rsidRPr="00591EE3">
              <w:rPr>
                <w:color w:val="000000"/>
                <w:sz w:val="20"/>
                <w:szCs w:val="20"/>
              </w:rPr>
              <w:t>-4.4</w:t>
            </w:r>
            <w:r>
              <w:rPr>
                <w:color w:val="000000"/>
                <w:sz w:val="20"/>
                <w:szCs w:val="20"/>
              </w:rPr>
              <w:t>3</w:t>
            </w:r>
            <w:r w:rsidRPr="00591EE3">
              <w:rPr>
                <w:color w:val="000000"/>
                <w:sz w:val="20"/>
                <w:szCs w:val="20"/>
              </w:rPr>
              <w:t>%</w:t>
            </w:r>
          </w:p>
        </w:tc>
      </w:tr>
      <w:tr w:rsidR="00F82EF9" w:rsidRPr="00591EE3" w14:paraId="712E000B" w14:textId="77777777" w:rsidTr="00826426">
        <w:trPr>
          <w:trHeight w:val="312"/>
        </w:trPr>
        <w:tc>
          <w:tcPr>
            <w:tcW w:w="3392" w:type="dxa"/>
            <w:tcBorders>
              <w:left w:val="single" w:sz="8" w:space="0" w:color="auto"/>
            </w:tcBorders>
            <w:noWrap/>
            <w:hideMark/>
          </w:tcPr>
          <w:p w14:paraId="5AC69396" w14:textId="77777777" w:rsidR="00F82EF9" w:rsidRPr="00591EE3" w:rsidRDefault="00F82EF9" w:rsidP="00F82EF9">
            <w:pPr>
              <w:spacing w:before="40" w:after="20"/>
              <w:jc w:val="both"/>
              <w:rPr>
                <w:color w:val="000000"/>
                <w:sz w:val="20"/>
                <w:szCs w:val="20"/>
              </w:rPr>
            </w:pPr>
            <w:r w:rsidRPr="00591EE3">
              <w:rPr>
                <w:color w:val="000000"/>
                <w:sz w:val="20"/>
                <w:szCs w:val="20"/>
              </w:rPr>
              <w:t xml:space="preserve"> Rio Tinto Limited </w:t>
            </w:r>
          </w:p>
        </w:tc>
        <w:tc>
          <w:tcPr>
            <w:tcW w:w="936" w:type="dxa"/>
            <w:noWrap/>
            <w:hideMark/>
          </w:tcPr>
          <w:p w14:paraId="0F18BE42" w14:textId="37EE4744" w:rsidR="00F82EF9" w:rsidRPr="00591EE3" w:rsidRDefault="00F82EF9" w:rsidP="00F82EF9">
            <w:pPr>
              <w:spacing w:before="40" w:after="20"/>
              <w:jc w:val="center"/>
              <w:rPr>
                <w:color w:val="000000"/>
                <w:sz w:val="20"/>
                <w:szCs w:val="20"/>
              </w:rPr>
            </w:pPr>
          </w:p>
        </w:tc>
        <w:tc>
          <w:tcPr>
            <w:tcW w:w="1032" w:type="dxa"/>
            <w:noWrap/>
            <w:hideMark/>
          </w:tcPr>
          <w:p w14:paraId="43479882" w14:textId="77777777" w:rsidR="00F82EF9" w:rsidRPr="00591EE3" w:rsidRDefault="00F82EF9" w:rsidP="00F82EF9">
            <w:pPr>
              <w:spacing w:before="40" w:after="20"/>
              <w:jc w:val="center"/>
              <w:rPr>
                <w:color w:val="000000"/>
                <w:sz w:val="20"/>
                <w:szCs w:val="20"/>
              </w:rPr>
            </w:pPr>
            <w:r w:rsidRPr="00591EE3">
              <w:rPr>
                <w:color w:val="000000"/>
                <w:sz w:val="20"/>
                <w:szCs w:val="20"/>
              </w:rPr>
              <w:t>-0.20%</w:t>
            </w:r>
          </w:p>
        </w:tc>
        <w:tc>
          <w:tcPr>
            <w:tcW w:w="995" w:type="dxa"/>
            <w:noWrap/>
            <w:hideMark/>
          </w:tcPr>
          <w:p w14:paraId="2CB28559" w14:textId="77777777" w:rsidR="00F82EF9" w:rsidRPr="00591EE3" w:rsidRDefault="00F82EF9" w:rsidP="00F82EF9">
            <w:pPr>
              <w:spacing w:before="40" w:after="20"/>
              <w:jc w:val="center"/>
              <w:rPr>
                <w:color w:val="000000"/>
                <w:sz w:val="20"/>
                <w:szCs w:val="20"/>
              </w:rPr>
            </w:pPr>
            <w:r w:rsidRPr="00591EE3">
              <w:rPr>
                <w:color w:val="000000"/>
                <w:sz w:val="20"/>
                <w:szCs w:val="20"/>
              </w:rPr>
              <w:t>0.17%</w:t>
            </w:r>
          </w:p>
        </w:tc>
        <w:tc>
          <w:tcPr>
            <w:tcW w:w="1161" w:type="dxa"/>
            <w:noWrap/>
            <w:hideMark/>
          </w:tcPr>
          <w:p w14:paraId="57B2842B" w14:textId="0BDF1D04" w:rsidR="00F82EF9" w:rsidRPr="00591EE3" w:rsidRDefault="00F82EF9" w:rsidP="00F82EF9">
            <w:pPr>
              <w:spacing w:before="40" w:after="20"/>
              <w:jc w:val="center"/>
              <w:rPr>
                <w:color w:val="000000"/>
                <w:sz w:val="20"/>
                <w:szCs w:val="20"/>
              </w:rPr>
            </w:pPr>
            <w:r>
              <w:rPr>
                <w:color w:val="000000"/>
                <w:sz w:val="20"/>
                <w:szCs w:val="20"/>
              </w:rPr>
              <w:t>-0.03</w:t>
            </w:r>
            <w:r w:rsidRPr="00591EE3">
              <w:rPr>
                <w:color w:val="000000"/>
                <w:sz w:val="20"/>
                <w:szCs w:val="20"/>
              </w:rPr>
              <w:t>%</w:t>
            </w:r>
          </w:p>
        </w:tc>
        <w:tc>
          <w:tcPr>
            <w:tcW w:w="833" w:type="dxa"/>
          </w:tcPr>
          <w:p w14:paraId="3A6C65D2" w14:textId="7DD01A18" w:rsidR="00F82EF9" w:rsidRPr="00591EE3" w:rsidRDefault="00F82EF9" w:rsidP="00F82EF9">
            <w:pPr>
              <w:spacing w:before="40" w:after="20"/>
              <w:jc w:val="center"/>
              <w:rPr>
                <w:color w:val="000000"/>
                <w:sz w:val="20"/>
                <w:szCs w:val="20"/>
              </w:rPr>
            </w:pPr>
            <w:r w:rsidRPr="00591EE3">
              <w:rPr>
                <w:color w:val="000000"/>
                <w:sz w:val="20"/>
                <w:szCs w:val="20"/>
              </w:rPr>
              <w:t>0.</w:t>
            </w:r>
            <w:r>
              <w:rPr>
                <w:color w:val="000000"/>
                <w:sz w:val="20"/>
                <w:szCs w:val="20"/>
              </w:rPr>
              <w:t>89</w:t>
            </w:r>
            <w:r w:rsidRPr="00591EE3">
              <w:rPr>
                <w:color w:val="000000"/>
                <w:sz w:val="20"/>
                <w:szCs w:val="20"/>
              </w:rPr>
              <w:t>%</w:t>
            </w:r>
          </w:p>
        </w:tc>
        <w:tc>
          <w:tcPr>
            <w:tcW w:w="1233" w:type="dxa"/>
            <w:tcBorders>
              <w:right w:val="single" w:sz="8" w:space="0" w:color="auto"/>
            </w:tcBorders>
            <w:noWrap/>
            <w:hideMark/>
          </w:tcPr>
          <w:p w14:paraId="7685417B" w14:textId="202761D1" w:rsidR="00F82EF9" w:rsidRPr="00591EE3" w:rsidRDefault="00F82EF9" w:rsidP="00F82EF9">
            <w:pPr>
              <w:spacing w:before="40" w:after="20"/>
              <w:jc w:val="center"/>
              <w:rPr>
                <w:color w:val="000000"/>
                <w:sz w:val="20"/>
                <w:szCs w:val="20"/>
              </w:rPr>
            </w:pPr>
            <w:r w:rsidRPr="00591EE3">
              <w:rPr>
                <w:color w:val="000000"/>
                <w:sz w:val="20"/>
                <w:szCs w:val="20"/>
              </w:rPr>
              <w:t>0.</w:t>
            </w:r>
            <w:r>
              <w:rPr>
                <w:color w:val="000000"/>
                <w:sz w:val="20"/>
                <w:szCs w:val="20"/>
              </w:rPr>
              <w:t>83</w:t>
            </w:r>
            <w:r w:rsidRPr="00591EE3">
              <w:rPr>
                <w:color w:val="000000"/>
                <w:sz w:val="20"/>
                <w:szCs w:val="20"/>
              </w:rPr>
              <w:t>%</w:t>
            </w:r>
          </w:p>
        </w:tc>
      </w:tr>
      <w:tr w:rsidR="00F82EF9" w:rsidRPr="00591EE3" w14:paraId="14B07D3E" w14:textId="77777777" w:rsidTr="00826426">
        <w:trPr>
          <w:trHeight w:val="312"/>
        </w:trPr>
        <w:tc>
          <w:tcPr>
            <w:tcW w:w="3392" w:type="dxa"/>
            <w:tcBorders>
              <w:left w:val="single" w:sz="8" w:space="0" w:color="auto"/>
            </w:tcBorders>
            <w:noWrap/>
            <w:hideMark/>
          </w:tcPr>
          <w:p w14:paraId="0CC4A9A6" w14:textId="77777777" w:rsidR="00F82EF9" w:rsidRPr="00591EE3" w:rsidRDefault="00F82EF9" w:rsidP="00F82EF9">
            <w:pPr>
              <w:spacing w:before="40" w:after="20"/>
              <w:jc w:val="both"/>
              <w:rPr>
                <w:color w:val="000000"/>
                <w:sz w:val="20"/>
                <w:szCs w:val="20"/>
              </w:rPr>
            </w:pPr>
            <w:r w:rsidRPr="00591EE3">
              <w:rPr>
                <w:color w:val="000000"/>
                <w:sz w:val="20"/>
                <w:szCs w:val="20"/>
              </w:rPr>
              <w:t xml:space="preserve"> Telstra Corporation Limited </w:t>
            </w:r>
          </w:p>
        </w:tc>
        <w:tc>
          <w:tcPr>
            <w:tcW w:w="936" w:type="dxa"/>
            <w:noWrap/>
            <w:hideMark/>
          </w:tcPr>
          <w:p w14:paraId="6FACFE53" w14:textId="4B30CEB9" w:rsidR="00F82EF9" w:rsidRPr="00591EE3" w:rsidRDefault="00F82EF9" w:rsidP="00F82EF9">
            <w:pPr>
              <w:spacing w:before="40" w:after="20"/>
              <w:jc w:val="center"/>
              <w:rPr>
                <w:color w:val="000000"/>
                <w:sz w:val="20"/>
                <w:szCs w:val="20"/>
              </w:rPr>
            </w:pPr>
          </w:p>
        </w:tc>
        <w:tc>
          <w:tcPr>
            <w:tcW w:w="1032" w:type="dxa"/>
            <w:noWrap/>
            <w:hideMark/>
          </w:tcPr>
          <w:p w14:paraId="5AA598C2" w14:textId="77777777" w:rsidR="00F82EF9" w:rsidRPr="00591EE3" w:rsidRDefault="00F82EF9" w:rsidP="00F82EF9">
            <w:pPr>
              <w:spacing w:before="40" w:after="20"/>
              <w:jc w:val="center"/>
              <w:rPr>
                <w:color w:val="000000"/>
                <w:sz w:val="20"/>
                <w:szCs w:val="20"/>
              </w:rPr>
            </w:pPr>
            <w:r w:rsidRPr="00591EE3">
              <w:rPr>
                <w:color w:val="000000"/>
                <w:sz w:val="20"/>
                <w:szCs w:val="20"/>
              </w:rPr>
              <w:t>1.15%</w:t>
            </w:r>
          </w:p>
        </w:tc>
        <w:tc>
          <w:tcPr>
            <w:tcW w:w="995" w:type="dxa"/>
            <w:noWrap/>
            <w:hideMark/>
          </w:tcPr>
          <w:p w14:paraId="1DE225D1" w14:textId="77777777" w:rsidR="00F82EF9" w:rsidRPr="00591EE3" w:rsidRDefault="00F82EF9" w:rsidP="00F82EF9">
            <w:pPr>
              <w:spacing w:before="40" w:after="20"/>
              <w:jc w:val="center"/>
              <w:rPr>
                <w:color w:val="000000"/>
                <w:sz w:val="20"/>
                <w:szCs w:val="20"/>
              </w:rPr>
            </w:pPr>
            <w:r w:rsidRPr="00591EE3">
              <w:rPr>
                <w:color w:val="000000"/>
                <w:sz w:val="20"/>
                <w:szCs w:val="20"/>
              </w:rPr>
              <w:t>-0.36%</w:t>
            </w:r>
          </w:p>
        </w:tc>
        <w:tc>
          <w:tcPr>
            <w:tcW w:w="1161" w:type="dxa"/>
            <w:noWrap/>
            <w:hideMark/>
          </w:tcPr>
          <w:p w14:paraId="07D18684" w14:textId="2C82E097" w:rsidR="00F82EF9" w:rsidRPr="00591EE3" w:rsidRDefault="00F82EF9" w:rsidP="00F82EF9">
            <w:pPr>
              <w:spacing w:before="40" w:after="20"/>
              <w:jc w:val="center"/>
              <w:rPr>
                <w:color w:val="000000"/>
                <w:sz w:val="20"/>
                <w:szCs w:val="20"/>
              </w:rPr>
            </w:pPr>
            <w:r w:rsidRPr="00591EE3">
              <w:rPr>
                <w:color w:val="000000"/>
                <w:sz w:val="20"/>
                <w:szCs w:val="20"/>
              </w:rPr>
              <w:t>0.</w:t>
            </w:r>
            <w:r>
              <w:rPr>
                <w:color w:val="000000"/>
                <w:sz w:val="20"/>
                <w:szCs w:val="20"/>
              </w:rPr>
              <w:t>03</w:t>
            </w:r>
            <w:r w:rsidRPr="00591EE3">
              <w:rPr>
                <w:color w:val="000000"/>
                <w:sz w:val="20"/>
                <w:szCs w:val="20"/>
              </w:rPr>
              <w:t>%</w:t>
            </w:r>
          </w:p>
        </w:tc>
        <w:tc>
          <w:tcPr>
            <w:tcW w:w="833" w:type="dxa"/>
          </w:tcPr>
          <w:p w14:paraId="3D3DBD4F" w14:textId="4B31434F" w:rsidR="00F82EF9" w:rsidRPr="00591EE3" w:rsidRDefault="00F82EF9" w:rsidP="00F82EF9">
            <w:pPr>
              <w:spacing w:before="40" w:after="20"/>
              <w:jc w:val="center"/>
              <w:rPr>
                <w:color w:val="000000"/>
                <w:sz w:val="20"/>
                <w:szCs w:val="20"/>
              </w:rPr>
            </w:pPr>
            <w:r w:rsidRPr="00591EE3">
              <w:rPr>
                <w:color w:val="000000"/>
                <w:sz w:val="20"/>
                <w:szCs w:val="20"/>
              </w:rPr>
              <w:t>0.</w:t>
            </w:r>
            <w:r>
              <w:rPr>
                <w:color w:val="000000"/>
                <w:sz w:val="20"/>
                <w:szCs w:val="20"/>
              </w:rPr>
              <w:t>5</w:t>
            </w:r>
            <w:r w:rsidRPr="00591EE3">
              <w:rPr>
                <w:color w:val="000000"/>
                <w:sz w:val="20"/>
                <w:szCs w:val="20"/>
              </w:rPr>
              <w:t>9%</w:t>
            </w:r>
          </w:p>
        </w:tc>
        <w:tc>
          <w:tcPr>
            <w:tcW w:w="1233" w:type="dxa"/>
            <w:tcBorders>
              <w:right w:val="single" w:sz="8" w:space="0" w:color="auto"/>
            </w:tcBorders>
            <w:noWrap/>
            <w:hideMark/>
          </w:tcPr>
          <w:p w14:paraId="0C22234A" w14:textId="5D823145" w:rsidR="00F82EF9" w:rsidRPr="00591EE3" w:rsidRDefault="00F82EF9" w:rsidP="00F82EF9">
            <w:pPr>
              <w:spacing w:before="40" w:after="20"/>
              <w:jc w:val="center"/>
              <w:rPr>
                <w:color w:val="000000"/>
                <w:sz w:val="20"/>
                <w:szCs w:val="20"/>
              </w:rPr>
            </w:pPr>
            <w:r w:rsidRPr="00591EE3">
              <w:rPr>
                <w:color w:val="000000"/>
                <w:sz w:val="20"/>
                <w:szCs w:val="20"/>
              </w:rPr>
              <w:t>1.</w:t>
            </w:r>
            <w:r>
              <w:rPr>
                <w:color w:val="000000"/>
                <w:sz w:val="20"/>
                <w:szCs w:val="20"/>
              </w:rPr>
              <w:t>42</w:t>
            </w:r>
            <w:r w:rsidRPr="00591EE3">
              <w:rPr>
                <w:color w:val="000000"/>
                <w:sz w:val="20"/>
                <w:szCs w:val="20"/>
              </w:rPr>
              <w:t>%</w:t>
            </w:r>
          </w:p>
        </w:tc>
      </w:tr>
      <w:tr w:rsidR="00F82EF9" w:rsidRPr="00591EE3" w14:paraId="4AA4EC3A" w14:textId="77777777" w:rsidTr="00826426">
        <w:trPr>
          <w:trHeight w:val="312"/>
        </w:trPr>
        <w:tc>
          <w:tcPr>
            <w:tcW w:w="3392" w:type="dxa"/>
            <w:tcBorders>
              <w:left w:val="single" w:sz="8" w:space="0" w:color="auto"/>
              <w:bottom w:val="single" w:sz="4" w:space="0" w:color="auto"/>
            </w:tcBorders>
            <w:noWrap/>
            <w:hideMark/>
          </w:tcPr>
          <w:p w14:paraId="33BC8EA7" w14:textId="77777777" w:rsidR="00F82EF9" w:rsidRPr="00591EE3" w:rsidRDefault="00F82EF9" w:rsidP="00F82EF9">
            <w:pPr>
              <w:spacing w:before="40" w:after="20"/>
              <w:jc w:val="both"/>
              <w:rPr>
                <w:color w:val="000000"/>
                <w:sz w:val="20"/>
                <w:szCs w:val="20"/>
              </w:rPr>
            </w:pPr>
            <w:r w:rsidRPr="00591EE3">
              <w:rPr>
                <w:color w:val="000000"/>
                <w:sz w:val="20"/>
                <w:szCs w:val="20"/>
              </w:rPr>
              <w:t xml:space="preserve"> Time Aggregation Effect </w:t>
            </w:r>
          </w:p>
        </w:tc>
        <w:tc>
          <w:tcPr>
            <w:tcW w:w="936" w:type="dxa"/>
            <w:tcBorders>
              <w:bottom w:val="single" w:sz="4" w:space="0" w:color="auto"/>
            </w:tcBorders>
            <w:noWrap/>
            <w:hideMark/>
          </w:tcPr>
          <w:p w14:paraId="63B976BB" w14:textId="4E667CDD" w:rsidR="00F82EF9" w:rsidRPr="00591EE3" w:rsidRDefault="00F82EF9" w:rsidP="00F82EF9">
            <w:pPr>
              <w:spacing w:before="40" w:after="20"/>
              <w:jc w:val="center"/>
              <w:rPr>
                <w:color w:val="000000"/>
                <w:sz w:val="20"/>
                <w:szCs w:val="20"/>
              </w:rPr>
            </w:pPr>
          </w:p>
        </w:tc>
        <w:tc>
          <w:tcPr>
            <w:tcW w:w="1032" w:type="dxa"/>
            <w:tcBorders>
              <w:bottom w:val="single" w:sz="4" w:space="0" w:color="auto"/>
            </w:tcBorders>
            <w:noWrap/>
            <w:hideMark/>
          </w:tcPr>
          <w:p w14:paraId="5D0CCA82" w14:textId="4CD10399" w:rsidR="00F82EF9" w:rsidRPr="00591EE3" w:rsidRDefault="00F82EF9" w:rsidP="00F82EF9">
            <w:pPr>
              <w:spacing w:before="40" w:after="20"/>
              <w:jc w:val="center"/>
              <w:rPr>
                <w:color w:val="000000"/>
                <w:sz w:val="20"/>
                <w:szCs w:val="20"/>
              </w:rPr>
            </w:pPr>
          </w:p>
        </w:tc>
        <w:tc>
          <w:tcPr>
            <w:tcW w:w="995" w:type="dxa"/>
            <w:tcBorders>
              <w:bottom w:val="single" w:sz="4" w:space="0" w:color="auto"/>
            </w:tcBorders>
            <w:noWrap/>
            <w:hideMark/>
          </w:tcPr>
          <w:p w14:paraId="4EC1D09E" w14:textId="0983F235" w:rsidR="00F82EF9" w:rsidRPr="00591EE3" w:rsidRDefault="00F82EF9" w:rsidP="00F82EF9">
            <w:pPr>
              <w:spacing w:before="40" w:after="20"/>
              <w:jc w:val="center"/>
              <w:rPr>
                <w:color w:val="000000"/>
                <w:sz w:val="20"/>
                <w:szCs w:val="20"/>
              </w:rPr>
            </w:pPr>
          </w:p>
        </w:tc>
        <w:tc>
          <w:tcPr>
            <w:tcW w:w="1161" w:type="dxa"/>
            <w:tcBorders>
              <w:bottom w:val="single" w:sz="4" w:space="0" w:color="auto"/>
            </w:tcBorders>
            <w:noWrap/>
            <w:hideMark/>
          </w:tcPr>
          <w:p w14:paraId="7C6D0CBE" w14:textId="25EF84C4" w:rsidR="00F82EF9" w:rsidRPr="00591EE3" w:rsidRDefault="00F82EF9" w:rsidP="00F82EF9">
            <w:pPr>
              <w:spacing w:before="40" w:after="20"/>
              <w:jc w:val="center"/>
              <w:rPr>
                <w:color w:val="000000"/>
                <w:sz w:val="20"/>
                <w:szCs w:val="20"/>
              </w:rPr>
            </w:pPr>
          </w:p>
        </w:tc>
        <w:tc>
          <w:tcPr>
            <w:tcW w:w="833" w:type="dxa"/>
            <w:tcBorders>
              <w:bottom w:val="single" w:sz="4" w:space="0" w:color="auto"/>
            </w:tcBorders>
          </w:tcPr>
          <w:p w14:paraId="6E9B159D" w14:textId="77777777" w:rsidR="00F82EF9" w:rsidRPr="00591EE3" w:rsidRDefault="00F82EF9" w:rsidP="00F82EF9">
            <w:pPr>
              <w:spacing w:before="40" w:after="20"/>
              <w:jc w:val="center"/>
              <w:rPr>
                <w:color w:val="000000"/>
                <w:sz w:val="20"/>
                <w:szCs w:val="20"/>
              </w:rPr>
            </w:pPr>
          </w:p>
        </w:tc>
        <w:tc>
          <w:tcPr>
            <w:tcW w:w="1233" w:type="dxa"/>
            <w:tcBorders>
              <w:bottom w:val="single" w:sz="4" w:space="0" w:color="auto"/>
              <w:right w:val="single" w:sz="8" w:space="0" w:color="auto"/>
            </w:tcBorders>
            <w:noWrap/>
            <w:hideMark/>
          </w:tcPr>
          <w:p w14:paraId="7E8EE2EF" w14:textId="23E04A9C" w:rsidR="00F82EF9" w:rsidRPr="00591EE3" w:rsidRDefault="00F82EF9" w:rsidP="00F82EF9">
            <w:pPr>
              <w:spacing w:before="40" w:after="20"/>
              <w:jc w:val="center"/>
              <w:rPr>
                <w:color w:val="000000"/>
                <w:sz w:val="20"/>
                <w:szCs w:val="20"/>
              </w:rPr>
            </w:pPr>
            <w:r w:rsidRPr="00591EE3">
              <w:rPr>
                <w:color w:val="000000"/>
                <w:sz w:val="20"/>
                <w:szCs w:val="20"/>
              </w:rPr>
              <w:t>0.07%</w:t>
            </w:r>
          </w:p>
        </w:tc>
      </w:tr>
      <w:tr w:rsidR="00F82EF9" w:rsidRPr="00591EE3" w14:paraId="2C8E2CE8" w14:textId="77777777" w:rsidTr="00826426">
        <w:trPr>
          <w:trHeight w:val="312"/>
        </w:trPr>
        <w:tc>
          <w:tcPr>
            <w:tcW w:w="3392" w:type="dxa"/>
            <w:tcBorders>
              <w:top w:val="single" w:sz="4" w:space="0" w:color="auto"/>
              <w:left w:val="single" w:sz="8" w:space="0" w:color="auto"/>
              <w:bottom w:val="single" w:sz="4" w:space="0" w:color="auto"/>
            </w:tcBorders>
            <w:noWrap/>
            <w:hideMark/>
          </w:tcPr>
          <w:p w14:paraId="34073B39" w14:textId="77777777" w:rsidR="00F82EF9" w:rsidRPr="00591EE3" w:rsidRDefault="00F82EF9" w:rsidP="00F82EF9">
            <w:pPr>
              <w:spacing w:before="40" w:after="20"/>
              <w:jc w:val="both"/>
              <w:rPr>
                <w:b/>
                <w:bCs/>
                <w:color w:val="000000"/>
                <w:sz w:val="20"/>
                <w:szCs w:val="20"/>
              </w:rPr>
            </w:pPr>
            <w:r w:rsidRPr="00591EE3">
              <w:rPr>
                <w:b/>
                <w:bCs/>
                <w:color w:val="000000"/>
                <w:sz w:val="20"/>
                <w:szCs w:val="20"/>
              </w:rPr>
              <w:t>Total Relative Performance</w:t>
            </w:r>
          </w:p>
        </w:tc>
        <w:tc>
          <w:tcPr>
            <w:tcW w:w="936" w:type="dxa"/>
            <w:tcBorders>
              <w:top w:val="single" w:sz="4" w:space="0" w:color="auto"/>
              <w:bottom w:val="single" w:sz="4" w:space="0" w:color="auto"/>
            </w:tcBorders>
            <w:noWrap/>
            <w:hideMark/>
          </w:tcPr>
          <w:p w14:paraId="1477BE7F" w14:textId="77777777" w:rsidR="00F82EF9" w:rsidRPr="00591EE3" w:rsidRDefault="00F82EF9" w:rsidP="00F82EF9">
            <w:pPr>
              <w:spacing w:before="40" w:after="20"/>
              <w:jc w:val="center"/>
              <w:rPr>
                <w:b/>
                <w:bCs/>
                <w:color w:val="000000"/>
                <w:sz w:val="20"/>
                <w:szCs w:val="20"/>
              </w:rPr>
            </w:pPr>
            <w:r w:rsidRPr="00591EE3">
              <w:rPr>
                <w:b/>
                <w:bCs/>
                <w:color w:val="000000"/>
                <w:sz w:val="20"/>
                <w:szCs w:val="20"/>
              </w:rPr>
              <w:t>0.00%</w:t>
            </w:r>
          </w:p>
        </w:tc>
        <w:tc>
          <w:tcPr>
            <w:tcW w:w="1032" w:type="dxa"/>
            <w:tcBorders>
              <w:top w:val="single" w:sz="4" w:space="0" w:color="auto"/>
              <w:bottom w:val="single" w:sz="4" w:space="0" w:color="auto"/>
            </w:tcBorders>
            <w:noWrap/>
            <w:hideMark/>
          </w:tcPr>
          <w:p w14:paraId="50D3B7DF" w14:textId="77777777" w:rsidR="00F82EF9" w:rsidRPr="00591EE3" w:rsidRDefault="00F82EF9" w:rsidP="00F82EF9">
            <w:pPr>
              <w:spacing w:before="40" w:after="20"/>
              <w:jc w:val="center"/>
              <w:rPr>
                <w:b/>
                <w:bCs/>
                <w:color w:val="000000"/>
                <w:sz w:val="20"/>
                <w:szCs w:val="20"/>
              </w:rPr>
            </w:pPr>
            <w:r w:rsidRPr="00591EE3">
              <w:rPr>
                <w:b/>
                <w:bCs/>
                <w:color w:val="000000"/>
                <w:sz w:val="20"/>
                <w:szCs w:val="20"/>
              </w:rPr>
              <w:t>0.95%</w:t>
            </w:r>
          </w:p>
        </w:tc>
        <w:tc>
          <w:tcPr>
            <w:tcW w:w="995" w:type="dxa"/>
            <w:tcBorders>
              <w:top w:val="single" w:sz="4" w:space="0" w:color="auto"/>
              <w:bottom w:val="single" w:sz="4" w:space="0" w:color="auto"/>
            </w:tcBorders>
            <w:noWrap/>
            <w:hideMark/>
          </w:tcPr>
          <w:p w14:paraId="6541C684" w14:textId="77777777" w:rsidR="00F82EF9" w:rsidRPr="00591EE3" w:rsidRDefault="00F82EF9" w:rsidP="00F82EF9">
            <w:pPr>
              <w:spacing w:before="40" w:after="20"/>
              <w:jc w:val="center"/>
              <w:rPr>
                <w:b/>
                <w:bCs/>
                <w:color w:val="000000"/>
                <w:sz w:val="20"/>
                <w:szCs w:val="20"/>
              </w:rPr>
            </w:pPr>
            <w:r w:rsidRPr="00591EE3">
              <w:rPr>
                <w:b/>
                <w:bCs/>
                <w:color w:val="000000"/>
                <w:sz w:val="20"/>
                <w:szCs w:val="20"/>
              </w:rPr>
              <w:t>-2.99%</w:t>
            </w:r>
          </w:p>
        </w:tc>
        <w:tc>
          <w:tcPr>
            <w:tcW w:w="1161" w:type="dxa"/>
            <w:tcBorders>
              <w:top w:val="single" w:sz="4" w:space="0" w:color="auto"/>
              <w:bottom w:val="single" w:sz="4" w:space="0" w:color="auto"/>
            </w:tcBorders>
            <w:noWrap/>
            <w:hideMark/>
          </w:tcPr>
          <w:p w14:paraId="2769B45C" w14:textId="19619331" w:rsidR="00F82EF9" w:rsidRPr="00591EE3" w:rsidRDefault="00F82EF9" w:rsidP="00F82EF9">
            <w:pPr>
              <w:spacing w:before="40" w:after="20"/>
              <w:jc w:val="center"/>
              <w:rPr>
                <w:b/>
                <w:bCs/>
                <w:color w:val="000000"/>
                <w:sz w:val="20"/>
                <w:szCs w:val="20"/>
              </w:rPr>
            </w:pPr>
            <w:r w:rsidRPr="00591EE3">
              <w:rPr>
                <w:b/>
                <w:bCs/>
                <w:color w:val="000000"/>
                <w:sz w:val="20"/>
                <w:szCs w:val="20"/>
              </w:rPr>
              <w:t>0.</w:t>
            </w:r>
            <w:r>
              <w:rPr>
                <w:b/>
                <w:bCs/>
                <w:color w:val="000000"/>
                <w:sz w:val="20"/>
                <w:szCs w:val="20"/>
              </w:rPr>
              <w:t>46</w:t>
            </w:r>
            <w:r w:rsidRPr="00591EE3">
              <w:rPr>
                <w:b/>
                <w:bCs/>
                <w:color w:val="000000"/>
                <w:sz w:val="20"/>
                <w:szCs w:val="20"/>
              </w:rPr>
              <w:t>%</w:t>
            </w:r>
          </w:p>
        </w:tc>
        <w:tc>
          <w:tcPr>
            <w:tcW w:w="833" w:type="dxa"/>
            <w:tcBorders>
              <w:top w:val="single" w:sz="4" w:space="0" w:color="auto"/>
              <w:bottom w:val="single" w:sz="4" w:space="0" w:color="auto"/>
            </w:tcBorders>
          </w:tcPr>
          <w:p w14:paraId="6A0EB87B" w14:textId="646D0641" w:rsidR="00F82EF9" w:rsidRPr="00591EE3" w:rsidRDefault="00F82EF9" w:rsidP="00F82EF9">
            <w:pPr>
              <w:spacing w:before="40" w:after="20"/>
              <w:jc w:val="center"/>
              <w:rPr>
                <w:b/>
                <w:bCs/>
                <w:color w:val="000000"/>
                <w:sz w:val="20"/>
                <w:szCs w:val="20"/>
              </w:rPr>
            </w:pPr>
            <w:r>
              <w:rPr>
                <w:b/>
                <w:bCs/>
                <w:color w:val="000000"/>
                <w:sz w:val="20"/>
                <w:szCs w:val="20"/>
              </w:rPr>
              <w:t>-</w:t>
            </w:r>
            <w:r w:rsidRPr="00591EE3">
              <w:rPr>
                <w:b/>
                <w:bCs/>
                <w:color w:val="000000"/>
                <w:sz w:val="20"/>
                <w:szCs w:val="20"/>
              </w:rPr>
              <w:t>0.</w:t>
            </w:r>
            <w:r>
              <w:rPr>
                <w:b/>
                <w:bCs/>
                <w:color w:val="000000"/>
                <w:sz w:val="20"/>
                <w:szCs w:val="20"/>
              </w:rPr>
              <w:t>62</w:t>
            </w:r>
            <w:r w:rsidRPr="00591EE3">
              <w:rPr>
                <w:b/>
                <w:bCs/>
                <w:color w:val="000000"/>
                <w:sz w:val="20"/>
                <w:szCs w:val="20"/>
              </w:rPr>
              <w:t>%</w:t>
            </w:r>
          </w:p>
        </w:tc>
        <w:tc>
          <w:tcPr>
            <w:tcW w:w="1233" w:type="dxa"/>
            <w:tcBorders>
              <w:top w:val="single" w:sz="4" w:space="0" w:color="auto"/>
              <w:bottom w:val="single" w:sz="4" w:space="0" w:color="auto"/>
              <w:right w:val="single" w:sz="8" w:space="0" w:color="auto"/>
            </w:tcBorders>
            <w:noWrap/>
            <w:hideMark/>
          </w:tcPr>
          <w:p w14:paraId="1D38F14F" w14:textId="19ABC083" w:rsidR="00F82EF9" w:rsidRPr="00591EE3" w:rsidRDefault="00F82EF9" w:rsidP="00F82EF9">
            <w:pPr>
              <w:spacing w:before="40" w:after="20"/>
              <w:jc w:val="center"/>
              <w:rPr>
                <w:b/>
                <w:bCs/>
                <w:color w:val="000000"/>
                <w:sz w:val="20"/>
                <w:szCs w:val="20"/>
              </w:rPr>
            </w:pPr>
            <w:r w:rsidRPr="00591EE3">
              <w:rPr>
                <w:b/>
                <w:bCs/>
                <w:color w:val="000000"/>
                <w:sz w:val="20"/>
                <w:szCs w:val="20"/>
              </w:rPr>
              <w:t>-2.</w:t>
            </w:r>
            <w:r>
              <w:rPr>
                <w:b/>
                <w:bCs/>
                <w:color w:val="000000"/>
                <w:sz w:val="20"/>
                <w:szCs w:val="20"/>
              </w:rPr>
              <w:t>2</w:t>
            </w:r>
            <w:r w:rsidRPr="00591EE3">
              <w:rPr>
                <w:b/>
                <w:bCs/>
                <w:color w:val="000000"/>
                <w:sz w:val="20"/>
                <w:szCs w:val="20"/>
              </w:rPr>
              <w:t>4%</w:t>
            </w:r>
          </w:p>
        </w:tc>
      </w:tr>
      <w:tr w:rsidR="00F82EF9" w:rsidRPr="00591EE3" w14:paraId="2E00DACC" w14:textId="77777777" w:rsidTr="00826426">
        <w:trPr>
          <w:trHeight w:val="312"/>
        </w:trPr>
        <w:tc>
          <w:tcPr>
            <w:tcW w:w="3392" w:type="dxa"/>
            <w:tcBorders>
              <w:top w:val="single" w:sz="4" w:space="0" w:color="auto"/>
              <w:left w:val="single" w:sz="8" w:space="0" w:color="auto"/>
            </w:tcBorders>
            <w:noWrap/>
            <w:hideMark/>
          </w:tcPr>
          <w:p w14:paraId="655D8583" w14:textId="3D672C4C" w:rsidR="00F82EF9" w:rsidRPr="00591EE3" w:rsidRDefault="00F82EF9" w:rsidP="00F82EF9">
            <w:pPr>
              <w:spacing w:before="40" w:after="20"/>
              <w:jc w:val="both"/>
              <w:rPr>
                <w:i/>
                <w:iCs/>
                <w:color w:val="000000"/>
                <w:sz w:val="20"/>
                <w:szCs w:val="20"/>
              </w:rPr>
            </w:pPr>
            <w:r>
              <w:rPr>
                <w:i/>
                <w:iCs/>
                <w:color w:val="000000"/>
                <w:sz w:val="20"/>
                <w:szCs w:val="20"/>
              </w:rPr>
              <w:t xml:space="preserve">Opening </w:t>
            </w:r>
            <w:r w:rsidRPr="00591EE3">
              <w:rPr>
                <w:i/>
                <w:iCs/>
                <w:color w:val="000000"/>
                <w:sz w:val="20"/>
                <w:szCs w:val="20"/>
              </w:rPr>
              <w:t>AAE Weight in Total Portfolio</w:t>
            </w:r>
          </w:p>
        </w:tc>
        <w:tc>
          <w:tcPr>
            <w:tcW w:w="936" w:type="dxa"/>
            <w:tcBorders>
              <w:top w:val="single" w:sz="4" w:space="0" w:color="auto"/>
            </w:tcBorders>
            <w:noWrap/>
            <w:hideMark/>
          </w:tcPr>
          <w:p w14:paraId="4FD7EC7F" w14:textId="77777777" w:rsidR="00F82EF9" w:rsidRPr="00591EE3" w:rsidRDefault="00F82EF9" w:rsidP="00F82EF9">
            <w:pPr>
              <w:spacing w:before="40" w:after="20"/>
              <w:jc w:val="center"/>
              <w:rPr>
                <w:color w:val="000000"/>
                <w:sz w:val="20"/>
                <w:szCs w:val="20"/>
              </w:rPr>
            </w:pPr>
            <w:r w:rsidRPr="00591EE3">
              <w:rPr>
                <w:color w:val="000000"/>
                <w:sz w:val="20"/>
                <w:szCs w:val="20"/>
              </w:rPr>
              <w:t>50.16%</w:t>
            </w:r>
          </w:p>
        </w:tc>
        <w:tc>
          <w:tcPr>
            <w:tcW w:w="1032" w:type="dxa"/>
            <w:tcBorders>
              <w:top w:val="single" w:sz="4" w:space="0" w:color="auto"/>
            </w:tcBorders>
            <w:noWrap/>
            <w:hideMark/>
          </w:tcPr>
          <w:p w14:paraId="2998B248" w14:textId="77777777" w:rsidR="00F82EF9" w:rsidRPr="00591EE3" w:rsidRDefault="00F82EF9" w:rsidP="00F82EF9">
            <w:pPr>
              <w:spacing w:before="40" w:after="20"/>
              <w:jc w:val="center"/>
              <w:rPr>
                <w:color w:val="000000"/>
                <w:sz w:val="20"/>
                <w:szCs w:val="20"/>
              </w:rPr>
            </w:pPr>
            <w:r w:rsidRPr="00591EE3">
              <w:rPr>
                <w:color w:val="000000"/>
                <w:sz w:val="20"/>
                <w:szCs w:val="20"/>
              </w:rPr>
              <w:t>50.45%</w:t>
            </w:r>
          </w:p>
        </w:tc>
        <w:tc>
          <w:tcPr>
            <w:tcW w:w="995" w:type="dxa"/>
            <w:tcBorders>
              <w:top w:val="single" w:sz="4" w:space="0" w:color="auto"/>
            </w:tcBorders>
            <w:noWrap/>
            <w:hideMark/>
          </w:tcPr>
          <w:p w14:paraId="61FC4E71" w14:textId="77777777" w:rsidR="00F82EF9" w:rsidRPr="00591EE3" w:rsidRDefault="00F82EF9" w:rsidP="00F82EF9">
            <w:pPr>
              <w:spacing w:before="40" w:after="20"/>
              <w:jc w:val="center"/>
              <w:rPr>
                <w:color w:val="000000"/>
                <w:sz w:val="20"/>
                <w:szCs w:val="20"/>
              </w:rPr>
            </w:pPr>
            <w:r w:rsidRPr="00591EE3">
              <w:rPr>
                <w:color w:val="000000"/>
                <w:sz w:val="20"/>
                <w:szCs w:val="20"/>
              </w:rPr>
              <w:t>49.16%</w:t>
            </w:r>
          </w:p>
        </w:tc>
        <w:tc>
          <w:tcPr>
            <w:tcW w:w="1161" w:type="dxa"/>
            <w:tcBorders>
              <w:top w:val="single" w:sz="4" w:space="0" w:color="auto"/>
            </w:tcBorders>
            <w:noWrap/>
            <w:hideMark/>
          </w:tcPr>
          <w:p w14:paraId="275A4089" w14:textId="77777777" w:rsidR="00F82EF9" w:rsidRPr="00591EE3" w:rsidRDefault="00F82EF9" w:rsidP="00F82EF9">
            <w:pPr>
              <w:spacing w:before="40" w:after="20"/>
              <w:jc w:val="center"/>
              <w:rPr>
                <w:color w:val="000000"/>
                <w:sz w:val="20"/>
                <w:szCs w:val="20"/>
              </w:rPr>
            </w:pPr>
            <w:r w:rsidRPr="00591EE3">
              <w:rPr>
                <w:color w:val="000000"/>
                <w:sz w:val="20"/>
                <w:szCs w:val="20"/>
              </w:rPr>
              <w:t>48.07%</w:t>
            </w:r>
          </w:p>
        </w:tc>
        <w:tc>
          <w:tcPr>
            <w:tcW w:w="833" w:type="dxa"/>
            <w:tcBorders>
              <w:top w:val="single" w:sz="4" w:space="0" w:color="auto"/>
            </w:tcBorders>
          </w:tcPr>
          <w:p w14:paraId="58F825B8" w14:textId="659165DA" w:rsidR="00F82EF9" w:rsidRPr="00591EE3" w:rsidRDefault="00F82EF9" w:rsidP="00F82EF9">
            <w:pPr>
              <w:spacing w:before="40" w:after="20"/>
              <w:jc w:val="center"/>
              <w:rPr>
                <w:color w:val="000000"/>
                <w:sz w:val="20"/>
                <w:szCs w:val="20"/>
              </w:rPr>
            </w:pPr>
            <w:r w:rsidRPr="00591EE3">
              <w:rPr>
                <w:color w:val="000000"/>
                <w:sz w:val="20"/>
                <w:szCs w:val="20"/>
              </w:rPr>
              <w:t>4</w:t>
            </w:r>
            <w:r>
              <w:rPr>
                <w:color w:val="000000"/>
                <w:sz w:val="20"/>
                <w:szCs w:val="20"/>
              </w:rPr>
              <w:t>9.56</w:t>
            </w:r>
            <w:r w:rsidRPr="00591EE3">
              <w:rPr>
                <w:color w:val="000000"/>
                <w:sz w:val="20"/>
                <w:szCs w:val="20"/>
              </w:rPr>
              <w:t>%</w:t>
            </w:r>
          </w:p>
        </w:tc>
        <w:tc>
          <w:tcPr>
            <w:tcW w:w="1233" w:type="dxa"/>
            <w:tcBorders>
              <w:top w:val="single" w:sz="4" w:space="0" w:color="auto"/>
              <w:right w:val="single" w:sz="8" w:space="0" w:color="auto"/>
            </w:tcBorders>
            <w:noWrap/>
            <w:hideMark/>
          </w:tcPr>
          <w:p w14:paraId="4C6A886F" w14:textId="1E20520B" w:rsidR="00F82EF9" w:rsidRPr="00591EE3" w:rsidRDefault="00F82EF9" w:rsidP="00F82EF9">
            <w:pPr>
              <w:spacing w:before="40" w:after="20"/>
              <w:jc w:val="center"/>
              <w:rPr>
                <w:color w:val="000000"/>
                <w:sz w:val="20"/>
                <w:szCs w:val="20"/>
              </w:rPr>
            </w:pPr>
          </w:p>
        </w:tc>
      </w:tr>
      <w:tr w:rsidR="00F82EF9" w:rsidRPr="00591EE3" w14:paraId="0EC46B78" w14:textId="77777777" w:rsidTr="00826426">
        <w:trPr>
          <w:trHeight w:val="99"/>
        </w:trPr>
        <w:tc>
          <w:tcPr>
            <w:tcW w:w="3392" w:type="dxa"/>
            <w:tcBorders>
              <w:left w:val="single" w:sz="8" w:space="0" w:color="auto"/>
            </w:tcBorders>
            <w:noWrap/>
            <w:hideMark/>
          </w:tcPr>
          <w:p w14:paraId="71D6A118" w14:textId="77777777" w:rsidR="00F82EF9" w:rsidRPr="00E031B9" w:rsidRDefault="00F82EF9" w:rsidP="00F82EF9">
            <w:pPr>
              <w:jc w:val="both"/>
              <w:rPr>
                <w:color w:val="000000"/>
                <w:sz w:val="12"/>
                <w:szCs w:val="12"/>
              </w:rPr>
            </w:pPr>
            <w:r w:rsidRPr="00E031B9">
              <w:rPr>
                <w:color w:val="000000"/>
                <w:sz w:val="12"/>
                <w:szCs w:val="12"/>
              </w:rPr>
              <w:t> </w:t>
            </w:r>
          </w:p>
        </w:tc>
        <w:tc>
          <w:tcPr>
            <w:tcW w:w="936" w:type="dxa"/>
            <w:noWrap/>
            <w:hideMark/>
          </w:tcPr>
          <w:p w14:paraId="51EEFF84" w14:textId="553BA93D" w:rsidR="00F82EF9" w:rsidRPr="00E031B9" w:rsidRDefault="00F82EF9" w:rsidP="00F82EF9">
            <w:pPr>
              <w:jc w:val="center"/>
              <w:rPr>
                <w:color w:val="000000"/>
                <w:sz w:val="12"/>
                <w:szCs w:val="12"/>
              </w:rPr>
            </w:pPr>
          </w:p>
        </w:tc>
        <w:tc>
          <w:tcPr>
            <w:tcW w:w="1032" w:type="dxa"/>
            <w:noWrap/>
            <w:hideMark/>
          </w:tcPr>
          <w:p w14:paraId="58CD5713" w14:textId="6CD87248" w:rsidR="00F82EF9" w:rsidRPr="00E031B9" w:rsidRDefault="00F82EF9" w:rsidP="00F82EF9">
            <w:pPr>
              <w:jc w:val="center"/>
              <w:rPr>
                <w:color w:val="000000"/>
                <w:sz w:val="12"/>
                <w:szCs w:val="12"/>
              </w:rPr>
            </w:pPr>
          </w:p>
        </w:tc>
        <w:tc>
          <w:tcPr>
            <w:tcW w:w="995" w:type="dxa"/>
            <w:noWrap/>
            <w:hideMark/>
          </w:tcPr>
          <w:p w14:paraId="589251DC" w14:textId="46A52E4A" w:rsidR="00F82EF9" w:rsidRPr="00E031B9" w:rsidRDefault="00F82EF9" w:rsidP="00F82EF9">
            <w:pPr>
              <w:jc w:val="center"/>
              <w:rPr>
                <w:color w:val="000000"/>
                <w:sz w:val="12"/>
                <w:szCs w:val="12"/>
              </w:rPr>
            </w:pPr>
          </w:p>
        </w:tc>
        <w:tc>
          <w:tcPr>
            <w:tcW w:w="1161" w:type="dxa"/>
            <w:noWrap/>
            <w:hideMark/>
          </w:tcPr>
          <w:p w14:paraId="005B5C96" w14:textId="49EDA9B8" w:rsidR="00F82EF9" w:rsidRPr="00E031B9" w:rsidRDefault="00F82EF9" w:rsidP="00F82EF9">
            <w:pPr>
              <w:jc w:val="center"/>
              <w:rPr>
                <w:color w:val="000000"/>
                <w:sz w:val="12"/>
                <w:szCs w:val="12"/>
              </w:rPr>
            </w:pPr>
          </w:p>
        </w:tc>
        <w:tc>
          <w:tcPr>
            <w:tcW w:w="833" w:type="dxa"/>
          </w:tcPr>
          <w:p w14:paraId="63A8308D" w14:textId="77777777" w:rsidR="00F82EF9" w:rsidRPr="00E031B9" w:rsidRDefault="00F82EF9" w:rsidP="00F82EF9">
            <w:pPr>
              <w:jc w:val="center"/>
              <w:rPr>
                <w:color w:val="000000"/>
                <w:sz w:val="12"/>
                <w:szCs w:val="12"/>
              </w:rPr>
            </w:pPr>
          </w:p>
        </w:tc>
        <w:tc>
          <w:tcPr>
            <w:tcW w:w="1233" w:type="dxa"/>
            <w:tcBorders>
              <w:right w:val="single" w:sz="8" w:space="0" w:color="auto"/>
            </w:tcBorders>
            <w:noWrap/>
            <w:hideMark/>
          </w:tcPr>
          <w:p w14:paraId="4BFB9D0A" w14:textId="3A68DB0C" w:rsidR="00F82EF9" w:rsidRPr="00E031B9" w:rsidRDefault="00F82EF9" w:rsidP="00F82EF9">
            <w:pPr>
              <w:jc w:val="center"/>
              <w:rPr>
                <w:color w:val="000000"/>
                <w:sz w:val="12"/>
                <w:szCs w:val="12"/>
              </w:rPr>
            </w:pPr>
          </w:p>
        </w:tc>
      </w:tr>
      <w:tr w:rsidR="00F82EF9" w:rsidRPr="00591EE3" w14:paraId="46D8C4C2" w14:textId="77777777" w:rsidTr="00826426">
        <w:trPr>
          <w:trHeight w:val="312"/>
        </w:trPr>
        <w:tc>
          <w:tcPr>
            <w:tcW w:w="3392" w:type="dxa"/>
            <w:tcBorders>
              <w:left w:val="single" w:sz="8" w:space="0" w:color="auto"/>
            </w:tcBorders>
            <w:noWrap/>
            <w:hideMark/>
          </w:tcPr>
          <w:p w14:paraId="205B8C80" w14:textId="77777777" w:rsidR="00F82EF9" w:rsidRPr="00591EE3" w:rsidRDefault="00F82EF9" w:rsidP="00F82EF9">
            <w:pPr>
              <w:spacing w:before="40" w:after="20"/>
              <w:jc w:val="both"/>
              <w:rPr>
                <w:b/>
                <w:bCs/>
                <w:color w:val="000000"/>
                <w:sz w:val="20"/>
                <w:szCs w:val="20"/>
              </w:rPr>
            </w:pPr>
            <w:r w:rsidRPr="00591EE3">
              <w:rPr>
                <w:b/>
                <w:bCs/>
                <w:color w:val="000000"/>
                <w:sz w:val="20"/>
                <w:szCs w:val="20"/>
              </w:rPr>
              <w:t>Cash Portfolio vs. Betashares Cash ETF</w:t>
            </w:r>
          </w:p>
        </w:tc>
        <w:tc>
          <w:tcPr>
            <w:tcW w:w="936" w:type="dxa"/>
            <w:noWrap/>
            <w:hideMark/>
          </w:tcPr>
          <w:p w14:paraId="7329BCED" w14:textId="118A94C2" w:rsidR="00F82EF9" w:rsidRPr="00591EE3" w:rsidRDefault="00F82EF9" w:rsidP="00F82EF9">
            <w:pPr>
              <w:spacing w:before="40" w:after="20"/>
              <w:jc w:val="center"/>
              <w:rPr>
                <w:color w:val="000000"/>
                <w:sz w:val="20"/>
                <w:szCs w:val="20"/>
              </w:rPr>
            </w:pPr>
          </w:p>
        </w:tc>
        <w:tc>
          <w:tcPr>
            <w:tcW w:w="1032" w:type="dxa"/>
            <w:noWrap/>
            <w:hideMark/>
          </w:tcPr>
          <w:p w14:paraId="2341B34E" w14:textId="0C798D54" w:rsidR="00F82EF9" w:rsidRPr="00591EE3" w:rsidRDefault="00F82EF9" w:rsidP="00F82EF9">
            <w:pPr>
              <w:spacing w:before="40" w:after="20"/>
              <w:jc w:val="center"/>
              <w:rPr>
                <w:color w:val="000000"/>
                <w:sz w:val="20"/>
                <w:szCs w:val="20"/>
              </w:rPr>
            </w:pPr>
          </w:p>
        </w:tc>
        <w:tc>
          <w:tcPr>
            <w:tcW w:w="995" w:type="dxa"/>
            <w:noWrap/>
            <w:hideMark/>
          </w:tcPr>
          <w:p w14:paraId="2A887DB2" w14:textId="2E2F817F" w:rsidR="00F82EF9" w:rsidRPr="00591EE3" w:rsidRDefault="00F82EF9" w:rsidP="00F82EF9">
            <w:pPr>
              <w:spacing w:before="40" w:after="20"/>
              <w:jc w:val="center"/>
              <w:rPr>
                <w:color w:val="000000"/>
                <w:sz w:val="20"/>
                <w:szCs w:val="20"/>
              </w:rPr>
            </w:pPr>
          </w:p>
        </w:tc>
        <w:tc>
          <w:tcPr>
            <w:tcW w:w="1161" w:type="dxa"/>
            <w:noWrap/>
            <w:hideMark/>
          </w:tcPr>
          <w:p w14:paraId="514ADEA5" w14:textId="6F879E87" w:rsidR="00F82EF9" w:rsidRPr="00591EE3" w:rsidRDefault="00F82EF9" w:rsidP="00F82EF9">
            <w:pPr>
              <w:spacing w:before="40" w:after="20"/>
              <w:jc w:val="center"/>
              <w:rPr>
                <w:color w:val="000000"/>
                <w:sz w:val="20"/>
                <w:szCs w:val="20"/>
              </w:rPr>
            </w:pPr>
          </w:p>
        </w:tc>
        <w:tc>
          <w:tcPr>
            <w:tcW w:w="833" w:type="dxa"/>
          </w:tcPr>
          <w:p w14:paraId="16FB1976" w14:textId="77777777" w:rsidR="00F82EF9" w:rsidRPr="00591EE3" w:rsidRDefault="00F82EF9" w:rsidP="00F82EF9">
            <w:pPr>
              <w:spacing w:before="40" w:after="20"/>
              <w:jc w:val="center"/>
              <w:rPr>
                <w:color w:val="000000"/>
                <w:sz w:val="20"/>
                <w:szCs w:val="20"/>
              </w:rPr>
            </w:pPr>
          </w:p>
        </w:tc>
        <w:tc>
          <w:tcPr>
            <w:tcW w:w="1233" w:type="dxa"/>
            <w:tcBorders>
              <w:right w:val="single" w:sz="8" w:space="0" w:color="auto"/>
            </w:tcBorders>
            <w:noWrap/>
            <w:hideMark/>
          </w:tcPr>
          <w:p w14:paraId="404C36A2" w14:textId="2293B107" w:rsidR="00F82EF9" w:rsidRPr="00591EE3" w:rsidRDefault="00F82EF9" w:rsidP="00F82EF9">
            <w:pPr>
              <w:spacing w:before="40" w:after="20"/>
              <w:jc w:val="center"/>
              <w:rPr>
                <w:color w:val="000000"/>
                <w:sz w:val="20"/>
                <w:szCs w:val="20"/>
              </w:rPr>
            </w:pPr>
          </w:p>
        </w:tc>
      </w:tr>
      <w:tr w:rsidR="00F82EF9" w:rsidRPr="00591EE3" w14:paraId="7E0627B1" w14:textId="77777777" w:rsidTr="00826426">
        <w:trPr>
          <w:trHeight w:val="312"/>
        </w:trPr>
        <w:tc>
          <w:tcPr>
            <w:tcW w:w="3392" w:type="dxa"/>
            <w:tcBorders>
              <w:left w:val="single" w:sz="8" w:space="0" w:color="auto"/>
            </w:tcBorders>
            <w:noWrap/>
            <w:hideMark/>
          </w:tcPr>
          <w:p w14:paraId="05013380" w14:textId="77777777" w:rsidR="00F82EF9" w:rsidRPr="00591EE3" w:rsidRDefault="00F82EF9" w:rsidP="00F82EF9">
            <w:pPr>
              <w:spacing w:before="40" w:after="20"/>
              <w:jc w:val="both"/>
              <w:rPr>
                <w:color w:val="000000"/>
                <w:sz w:val="20"/>
                <w:szCs w:val="20"/>
              </w:rPr>
            </w:pPr>
            <w:r w:rsidRPr="00591EE3">
              <w:rPr>
                <w:color w:val="000000"/>
                <w:sz w:val="20"/>
                <w:szCs w:val="20"/>
              </w:rPr>
              <w:t xml:space="preserve"> Betashares Cash ETF </w:t>
            </w:r>
          </w:p>
        </w:tc>
        <w:tc>
          <w:tcPr>
            <w:tcW w:w="936" w:type="dxa"/>
            <w:noWrap/>
            <w:hideMark/>
          </w:tcPr>
          <w:p w14:paraId="1A2173FE" w14:textId="77777777" w:rsidR="00F82EF9" w:rsidRPr="00591EE3" w:rsidRDefault="00F82EF9" w:rsidP="00F82EF9">
            <w:pPr>
              <w:spacing w:before="40" w:after="20"/>
              <w:jc w:val="center"/>
              <w:rPr>
                <w:color w:val="000000"/>
                <w:sz w:val="20"/>
                <w:szCs w:val="20"/>
              </w:rPr>
            </w:pPr>
            <w:r w:rsidRPr="00591EE3">
              <w:rPr>
                <w:color w:val="000000"/>
                <w:sz w:val="20"/>
                <w:szCs w:val="20"/>
              </w:rPr>
              <w:t>0.00%</w:t>
            </w:r>
          </w:p>
        </w:tc>
        <w:tc>
          <w:tcPr>
            <w:tcW w:w="1032" w:type="dxa"/>
            <w:noWrap/>
            <w:hideMark/>
          </w:tcPr>
          <w:p w14:paraId="106B9D7C" w14:textId="77777777" w:rsidR="00F82EF9" w:rsidRPr="00591EE3" w:rsidRDefault="00F82EF9" w:rsidP="00F82EF9">
            <w:pPr>
              <w:spacing w:before="40" w:after="20"/>
              <w:jc w:val="center"/>
              <w:rPr>
                <w:color w:val="000000"/>
                <w:sz w:val="20"/>
                <w:szCs w:val="20"/>
              </w:rPr>
            </w:pPr>
            <w:r w:rsidRPr="00591EE3">
              <w:rPr>
                <w:color w:val="000000"/>
                <w:sz w:val="20"/>
                <w:szCs w:val="20"/>
              </w:rPr>
              <w:t>0.00%</w:t>
            </w:r>
          </w:p>
        </w:tc>
        <w:tc>
          <w:tcPr>
            <w:tcW w:w="995" w:type="dxa"/>
            <w:noWrap/>
            <w:hideMark/>
          </w:tcPr>
          <w:p w14:paraId="0B855918" w14:textId="77777777" w:rsidR="00F82EF9" w:rsidRPr="00591EE3" w:rsidRDefault="00F82EF9" w:rsidP="00F82EF9">
            <w:pPr>
              <w:spacing w:before="40" w:after="20"/>
              <w:jc w:val="center"/>
              <w:rPr>
                <w:color w:val="000000"/>
                <w:sz w:val="20"/>
                <w:szCs w:val="20"/>
              </w:rPr>
            </w:pPr>
            <w:r w:rsidRPr="00591EE3">
              <w:rPr>
                <w:color w:val="000000"/>
                <w:sz w:val="20"/>
                <w:szCs w:val="20"/>
              </w:rPr>
              <w:t>0.00%</w:t>
            </w:r>
          </w:p>
        </w:tc>
        <w:tc>
          <w:tcPr>
            <w:tcW w:w="1161" w:type="dxa"/>
            <w:noWrap/>
            <w:hideMark/>
          </w:tcPr>
          <w:p w14:paraId="15B7A64B" w14:textId="77777777" w:rsidR="00F82EF9" w:rsidRPr="00591EE3" w:rsidRDefault="00F82EF9" w:rsidP="00F82EF9">
            <w:pPr>
              <w:spacing w:before="40" w:after="20"/>
              <w:jc w:val="center"/>
              <w:rPr>
                <w:color w:val="000000"/>
                <w:sz w:val="20"/>
                <w:szCs w:val="20"/>
              </w:rPr>
            </w:pPr>
            <w:r w:rsidRPr="00591EE3">
              <w:rPr>
                <w:color w:val="000000"/>
                <w:sz w:val="20"/>
                <w:szCs w:val="20"/>
              </w:rPr>
              <w:t>0.00%</w:t>
            </w:r>
          </w:p>
        </w:tc>
        <w:tc>
          <w:tcPr>
            <w:tcW w:w="833" w:type="dxa"/>
          </w:tcPr>
          <w:p w14:paraId="4CF29A08" w14:textId="5CDC05EA" w:rsidR="00F82EF9" w:rsidRPr="00591EE3" w:rsidRDefault="00F82EF9" w:rsidP="00F82EF9">
            <w:pPr>
              <w:spacing w:before="40" w:after="20"/>
              <w:jc w:val="center"/>
              <w:rPr>
                <w:color w:val="000000"/>
                <w:sz w:val="20"/>
                <w:szCs w:val="20"/>
              </w:rPr>
            </w:pPr>
            <w:r w:rsidRPr="00591EE3">
              <w:rPr>
                <w:color w:val="000000"/>
                <w:sz w:val="20"/>
                <w:szCs w:val="20"/>
              </w:rPr>
              <w:t>0.00%</w:t>
            </w:r>
          </w:p>
        </w:tc>
        <w:tc>
          <w:tcPr>
            <w:tcW w:w="1233" w:type="dxa"/>
            <w:tcBorders>
              <w:right w:val="single" w:sz="8" w:space="0" w:color="auto"/>
            </w:tcBorders>
            <w:noWrap/>
            <w:hideMark/>
          </w:tcPr>
          <w:p w14:paraId="4173440B" w14:textId="05DB665C" w:rsidR="00F82EF9" w:rsidRPr="00591EE3" w:rsidRDefault="00F82EF9" w:rsidP="00F82EF9">
            <w:pPr>
              <w:spacing w:before="40" w:after="20"/>
              <w:jc w:val="center"/>
              <w:rPr>
                <w:color w:val="000000"/>
                <w:sz w:val="20"/>
                <w:szCs w:val="20"/>
              </w:rPr>
            </w:pPr>
            <w:r w:rsidRPr="00591EE3">
              <w:rPr>
                <w:color w:val="000000"/>
                <w:sz w:val="20"/>
                <w:szCs w:val="20"/>
              </w:rPr>
              <w:t>0.00%</w:t>
            </w:r>
          </w:p>
        </w:tc>
      </w:tr>
      <w:tr w:rsidR="00F82EF9" w:rsidRPr="00591EE3" w14:paraId="521EAAD3" w14:textId="77777777" w:rsidTr="00826426">
        <w:trPr>
          <w:trHeight w:val="312"/>
        </w:trPr>
        <w:tc>
          <w:tcPr>
            <w:tcW w:w="3392" w:type="dxa"/>
            <w:tcBorders>
              <w:left w:val="single" w:sz="8" w:space="0" w:color="auto"/>
            </w:tcBorders>
            <w:noWrap/>
            <w:hideMark/>
          </w:tcPr>
          <w:p w14:paraId="4D2DBF5D" w14:textId="77777777" w:rsidR="00F82EF9" w:rsidRPr="00591EE3" w:rsidRDefault="00F82EF9" w:rsidP="00F82EF9">
            <w:pPr>
              <w:spacing w:before="40" w:after="20"/>
              <w:jc w:val="both"/>
              <w:rPr>
                <w:color w:val="000000"/>
                <w:sz w:val="20"/>
                <w:szCs w:val="20"/>
              </w:rPr>
            </w:pPr>
            <w:r w:rsidRPr="00591EE3">
              <w:rPr>
                <w:color w:val="000000"/>
                <w:sz w:val="20"/>
                <w:szCs w:val="20"/>
              </w:rPr>
              <w:t xml:space="preserve"> BT Cash Management Trust </w:t>
            </w:r>
          </w:p>
        </w:tc>
        <w:tc>
          <w:tcPr>
            <w:tcW w:w="936" w:type="dxa"/>
            <w:noWrap/>
            <w:hideMark/>
          </w:tcPr>
          <w:p w14:paraId="6F133B9B" w14:textId="77777777" w:rsidR="00F82EF9" w:rsidRPr="00591EE3" w:rsidRDefault="00F82EF9" w:rsidP="00F82EF9">
            <w:pPr>
              <w:spacing w:before="40" w:after="20"/>
              <w:jc w:val="center"/>
              <w:rPr>
                <w:color w:val="000000"/>
                <w:sz w:val="20"/>
                <w:szCs w:val="20"/>
              </w:rPr>
            </w:pPr>
            <w:r w:rsidRPr="00591EE3">
              <w:rPr>
                <w:color w:val="000000"/>
                <w:sz w:val="20"/>
                <w:szCs w:val="20"/>
              </w:rPr>
              <w:t>0.14%</w:t>
            </w:r>
          </w:p>
        </w:tc>
        <w:tc>
          <w:tcPr>
            <w:tcW w:w="1032" w:type="dxa"/>
            <w:noWrap/>
            <w:hideMark/>
          </w:tcPr>
          <w:p w14:paraId="4FE2ADEE" w14:textId="77777777" w:rsidR="00F82EF9" w:rsidRPr="00591EE3" w:rsidRDefault="00F82EF9" w:rsidP="00F82EF9">
            <w:pPr>
              <w:spacing w:before="40" w:after="20"/>
              <w:jc w:val="center"/>
              <w:rPr>
                <w:color w:val="000000"/>
                <w:sz w:val="20"/>
                <w:szCs w:val="20"/>
              </w:rPr>
            </w:pPr>
            <w:r w:rsidRPr="00591EE3">
              <w:rPr>
                <w:color w:val="000000"/>
                <w:sz w:val="20"/>
                <w:szCs w:val="20"/>
              </w:rPr>
              <w:t>-0.26%</w:t>
            </w:r>
          </w:p>
        </w:tc>
        <w:tc>
          <w:tcPr>
            <w:tcW w:w="995" w:type="dxa"/>
            <w:noWrap/>
            <w:hideMark/>
          </w:tcPr>
          <w:p w14:paraId="463770C8" w14:textId="77777777" w:rsidR="00F82EF9" w:rsidRPr="00591EE3" w:rsidRDefault="00F82EF9" w:rsidP="00F82EF9">
            <w:pPr>
              <w:spacing w:before="40" w:after="20"/>
              <w:jc w:val="center"/>
              <w:rPr>
                <w:color w:val="000000"/>
                <w:sz w:val="20"/>
                <w:szCs w:val="20"/>
              </w:rPr>
            </w:pPr>
            <w:r w:rsidRPr="00591EE3">
              <w:rPr>
                <w:color w:val="000000"/>
                <w:sz w:val="20"/>
                <w:szCs w:val="20"/>
              </w:rPr>
              <w:t>-0.13%</w:t>
            </w:r>
          </w:p>
        </w:tc>
        <w:tc>
          <w:tcPr>
            <w:tcW w:w="1161" w:type="dxa"/>
            <w:noWrap/>
            <w:hideMark/>
          </w:tcPr>
          <w:p w14:paraId="57EE8305" w14:textId="732C3CD9" w:rsidR="00F82EF9" w:rsidRPr="00591EE3" w:rsidRDefault="00F82EF9" w:rsidP="00F82EF9">
            <w:pPr>
              <w:spacing w:before="40" w:after="20"/>
              <w:jc w:val="center"/>
              <w:rPr>
                <w:color w:val="000000"/>
                <w:sz w:val="20"/>
                <w:szCs w:val="20"/>
              </w:rPr>
            </w:pPr>
            <w:r w:rsidRPr="00591EE3">
              <w:rPr>
                <w:color w:val="000000"/>
                <w:sz w:val="20"/>
                <w:szCs w:val="20"/>
              </w:rPr>
              <w:t>-0.</w:t>
            </w:r>
            <w:r>
              <w:rPr>
                <w:color w:val="000000"/>
                <w:sz w:val="20"/>
                <w:szCs w:val="20"/>
              </w:rPr>
              <w:t>03</w:t>
            </w:r>
            <w:r w:rsidRPr="00591EE3">
              <w:rPr>
                <w:color w:val="000000"/>
                <w:sz w:val="20"/>
                <w:szCs w:val="20"/>
              </w:rPr>
              <w:t>%</w:t>
            </w:r>
          </w:p>
        </w:tc>
        <w:tc>
          <w:tcPr>
            <w:tcW w:w="833" w:type="dxa"/>
          </w:tcPr>
          <w:p w14:paraId="22E42F29" w14:textId="33AF5FBD" w:rsidR="00F82EF9" w:rsidRPr="00591EE3" w:rsidRDefault="00F82EF9" w:rsidP="00F82EF9">
            <w:pPr>
              <w:spacing w:before="40" w:after="20"/>
              <w:jc w:val="center"/>
              <w:rPr>
                <w:color w:val="000000"/>
                <w:sz w:val="20"/>
                <w:szCs w:val="20"/>
              </w:rPr>
            </w:pPr>
            <w:r w:rsidRPr="00591EE3">
              <w:rPr>
                <w:color w:val="000000"/>
                <w:sz w:val="20"/>
                <w:szCs w:val="20"/>
              </w:rPr>
              <w:t>-0.</w:t>
            </w:r>
            <w:r>
              <w:rPr>
                <w:color w:val="000000"/>
                <w:sz w:val="20"/>
                <w:szCs w:val="20"/>
              </w:rPr>
              <w:t>02</w:t>
            </w:r>
            <w:r w:rsidRPr="00591EE3">
              <w:rPr>
                <w:color w:val="000000"/>
                <w:sz w:val="20"/>
                <w:szCs w:val="20"/>
              </w:rPr>
              <w:t>%</w:t>
            </w:r>
          </w:p>
        </w:tc>
        <w:tc>
          <w:tcPr>
            <w:tcW w:w="1233" w:type="dxa"/>
            <w:tcBorders>
              <w:right w:val="single" w:sz="8" w:space="0" w:color="auto"/>
            </w:tcBorders>
            <w:noWrap/>
            <w:hideMark/>
          </w:tcPr>
          <w:p w14:paraId="742532E7" w14:textId="63340A85" w:rsidR="00F82EF9" w:rsidRPr="00591EE3" w:rsidRDefault="00F82EF9" w:rsidP="00F82EF9">
            <w:pPr>
              <w:spacing w:before="40" w:after="20"/>
              <w:jc w:val="center"/>
              <w:rPr>
                <w:color w:val="000000"/>
                <w:sz w:val="20"/>
                <w:szCs w:val="20"/>
              </w:rPr>
            </w:pPr>
            <w:r w:rsidRPr="00591EE3">
              <w:rPr>
                <w:color w:val="000000"/>
                <w:sz w:val="20"/>
                <w:szCs w:val="20"/>
              </w:rPr>
              <w:t>-0.</w:t>
            </w:r>
            <w:r>
              <w:rPr>
                <w:color w:val="000000"/>
                <w:sz w:val="20"/>
                <w:szCs w:val="20"/>
              </w:rPr>
              <w:t>30</w:t>
            </w:r>
            <w:r w:rsidRPr="00591EE3">
              <w:rPr>
                <w:color w:val="000000"/>
                <w:sz w:val="20"/>
                <w:szCs w:val="20"/>
              </w:rPr>
              <w:t>%</w:t>
            </w:r>
          </w:p>
        </w:tc>
      </w:tr>
      <w:tr w:rsidR="00F82EF9" w:rsidRPr="00591EE3" w14:paraId="0508BAC2" w14:textId="77777777" w:rsidTr="00826426">
        <w:trPr>
          <w:trHeight w:val="312"/>
        </w:trPr>
        <w:tc>
          <w:tcPr>
            <w:tcW w:w="3392" w:type="dxa"/>
            <w:tcBorders>
              <w:left w:val="single" w:sz="8" w:space="0" w:color="auto"/>
            </w:tcBorders>
            <w:noWrap/>
            <w:hideMark/>
          </w:tcPr>
          <w:p w14:paraId="7D8C317F" w14:textId="70E6902E" w:rsidR="00F82EF9" w:rsidRPr="00591EE3" w:rsidRDefault="00F82EF9" w:rsidP="00F82EF9">
            <w:pPr>
              <w:spacing w:before="40" w:after="20"/>
              <w:jc w:val="both"/>
              <w:rPr>
                <w:color w:val="000000"/>
                <w:sz w:val="20"/>
                <w:szCs w:val="20"/>
              </w:rPr>
            </w:pPr>
            <w:r>
              <w:rPr>
                <w:color w:val="000000"/>
                <w:sz w:val="20"/>
                <w:szCs w:val="20"/>
              </w:rPr>
              <w:t xml:space="preserve"> Acc</w:t>
            </w:r>
            <w:r w:rsidRPr="00591EE3">
              <w:rPr>
                <w:color w:val="000000"/>
                <w:sz w:val="20"/>
                <w:szCs w:val="20"/>
              </w:rPr>
              <w:t xml:space="preserve">ruals </w:t>
            </w:r>
          </w:p>
        </w:tc>
        <w:tc>
          <w:tcPr>
            <w:tcW w:w="936" w:type="dxa"/>
            <w:noWrap/>
            <w:hideMark/>
          </w:tcPr>
          <w:p w14:paraId="0653D4F8" w14:textId="77777777" w:rsidR="00F82EF9" w:rsidRPr="00591EE3" w:rsidRDefault="00F82EF9" w:rsidP="00F82EF9">
            <w:pPr>
              <w:spacing w:before="40" w:after="20"/>
              <w:jc w:val="center"/>
              <w:rPr>
                <w:color w:val="000000"/>
                <w:sz w:val="20"/>
                <w:szCs w:val="20"/>
              </w:rPr>
            </w:pPr>
            <w:r w:rsidRPr="00591EE3">
              <w:rPr>
                <w:color w:val="000000"/>
                <w:sz w:val="20"/>
                <w:szCs w:val="20"/>
              </w:rPr>
              <w:t>0.00%</w:t>
            </w:r>
          </w:p>
        </w:tc>
        <w:tc>
          <w:tcPr>
            <w:tcW w:w="1032" w:type="dxa"/>
            <w:noWrap/>
            <w:hideMark/>
          </w:tcPr>
          <w:p w14:paraId="591DDD13" w14:textId="77777777" w:rsidR="00F82EF9" w:rsidRPr="00591EE3" w:rsidRDefault="00F82EF9" w:rsidP="00F82EF9">
            <w:pPr>
              <w:spacing w:before="40" w:after="20"/>
              <w:jc w:val="center"/>
              <w:rPr>
                <w:color w:val="000000"/>
                <w:sz w:val="20"/>
                <w:szCs w:val="20"/>
              </w:rPr>
            </w:pPr>
            <w:r w:rsidRPr="00591EE3">
              <w:rPr>
                <w:color w:val="000000"/>
                <w:sz w:val="20"/>
                <w:szCs w:val="20"/>
              </w:rPr>
              <w:t>0.00%</w:t>
            </w:r>
          </w:p>
        </w:tc>
        <w:tc>
          <w:tcPr>
            <w:tcW w:w="995" w:type="dxa"/>
            <w:noWrap/>
            <w:hideMark/>
          </w:tcPr>
          <w:p w14:paraId="69B6F778" w14:textId="77777777" w:rsidR="00F82EF9" w:rsidRPr="00591EE3" w:rsidRDefault="00F82EF9" w:rsidP="00F82EF9">
            <w:pPr>
              <w:spacing w:before="40" w:after="20"/>
              <w:jc w:val="center"/>
              <w:rPr>
                <w:color w:val="000000"/>
                <w:sz w:val="20"/>
                <w:szCs w:val="20"/>
              </w:rPr>
            </w:pPr>
            <w:r w:rsidRPr="00591EE3">
              <w:rPr>
                <w:color w:val="000000"/>
                <w:sz w:val="20"/>
                <w:szCs w:val="20"/>
              </w:rPr>
              <w:t>0.00%</w:t>
            </w:r>
          </w:p>
        </w:tc>
        <w:tc>
          <w:tcPr>
            <w:tcW w:w="1161" w:type="dxa"/>
            <w:noWrap/>
            <w:hideMark/>
          </w:tcPr>
          <w:p w14:paraId="2B40A112" w14:textId="77777777" w:rsidR="00F82EF9" w:rsidRPr="00591EE3" w:rsidRDefault="00F82EF9" w:rsidP="00F82EF9">
            <w:pPr>
              <w:spacing w:before="40" w:after="20"/>
              <w:jc w:val="center"/>
              <w:rPr>
                <w:color w:val="000000"/>
                <w:sz w:val="20"/>
                <w:szCs w:val="20"/>
              </w:rPr>
            </w:pPr>
            <w:r w:rsidRPr="00591EE3">
              <w:rPr>
                <w:color w:val="000000"/>
                <w:sz w:val="20"/>
                <w:szCs w:val="20"/>
              </w:rPr>
              <w:t>0.00%</w:t>
            </w:r>
          </w:p>
        </w:tc>
        <w:tc>
          <w:tcPr>
            <w:tcW w:w="833" w:type="dxa"/>
          </w:tcPr>
          <w:p w14:paraId="624B30F8" w14:textId="2F9C3925" w:rsidR="00F82EF9" w:rsidRPr="00591EE3" w:rsidRDefault="00F82EF9" w:rsidP="00F82EF9">
            <w:pPr>
              <w:spacing w:before="40" w:after="20"/>
              <w:jc w:val="center"/>
              <w:rPr>
                <w:color w:val="000000"/>
                <w:sz w:val="20"/>
                <w:szCs w:val="20"/>
              </w:rPr>
            </w:pPr>
            <w:r w:rsidRPr="00591EE3">
              <w:rPr>
                <w:color w:val="000000"/>
                <w:sz w:val="20"/>
                <w:szCs w:val="20"/>
              </w:rPr>
              <w:t>0.00%</w:t>
            </w:r>
          </w:p>
        </w:tc>
        <w:tc>
          <w:tcPr>
            <w:tcW w:w="1233" w:type="dxa"/>
            <w:tcBorders>
              <w:right w:val="single" w:sz="8" w:space="0" w:color="auto"/>
            </w:tcBorders>
            <w:noWrap/>
            <w:hideMark/>
          </w:tcPr>
          <w:p w14:paraId="696FE749" w14:textId="0CA99F26" w:rsidR="00F82EF9" w:rsidRPr="00591EE3" w:rsidRDefault="00F82EF9" w:rsidP="00F82EF9">
            <w:pPr>
              <w:spacing w:before="40" w:after="20"/>
              <w:jc w:val="center"/>
              <w:rPr>
                <w:color w:val="000000"/>
                <w:sz w:val="20"/>
                <w:szCs w:val="20"/>
              </w:rPr>
            </w:pPr>
            <w:r w:rsidRPr="00591EE3">
              <w:rPr>
                <w:color w:val="000000"/>
                <w:sz w:val="20"/>
                <w:szCs w:val="20"/>
              </w:rPr>
              <w:t>0.00%</w:t>
            </w:r>
          </w:p>
        </w:tc>
      </w:tr>
      <w:tr w:rsidR="00F82EF9" w:rsidRPr="00591EE3" w14:paraId="684D7E4E" w14:textId="77777777" w:rsidTr="00826426">
        <w:trPr>
          <w:trHeight w:val="312"/>
        </w:trPr>
        <w:tc>
          <w:tcPr>
            <w:tcW w:w="3392" w:type="dxa"/>
            <w:tcBorders>
              <w:left w:val="single" w:sz="8" w:space="0" w:color="auto"/>
              <w:bottom w:val="single" w:sz="4" w:space="0" w:color="auto"/>
            </w:tcBorders>
            <w:noWrap/>
            <w:hideMark/>
          </w:tcPr>
          <w:p w14:paraId="3AF152C8" w14:textId="77777777" w:rsidR="00F82EF9" w:rsidRPr="00591EE3" w:rsidRDefault="00F82EF9" w:rsidP="00F82EF9">
            <w:pPr>
              <w:spacing w:before="40" w:after="20"/>
              <w:jc w:val="both"/>
              <w:rPr>
                <w:color w:val="000000"/>
                <w:sz w:val="20"/>
                <w:szCs w:val="20"/>
              </w:rPr>
            </w:pPr>
            <w:r w:rsidRPr="00591EE3">
              <w:rPr>
                <w:color w:val="000000"/>
                <w:sz w:val="20"/>
                <w:szCs w:val="20"/>
              </w:rPr>
              <w:t xml:space="preserve"> Time Aggregation Effect </w:t>
            </w:r>
          </w:p>
        </w:tc>
        <w:tc>
          <w:tcPr>
            <w:tcW w:w="936" w:type="dxa"/>
            <w:tcBorders>
              <w:bottom w:val="single" w:sz="4" w:space="0" w:color="auto"/>
            </w:tcBorders>
            <w:noWrap/>
            <w:hideMark/>
          </w:tcPr>
          <w:p w14:paraId="5701A63C" w14:textId="78D4F694" w:rsidR="00F82EF9" w:rsidRPr="00591EE3" w:rsidRDefault="00F82EF9" w:rsidP="00F82EF9">
            <w:pPr>
              <w:spacing w:before="40" w:after="20"/>
              <w:jc w:val="center"/>
              <w:rPr>
                <w:color w:val="000000"/>
                <w:sz w:val="20"/>
                <w:szCs w:val="20"/>
              </w:rPr>
            </w:pPr>
          </w:p>
        </w:tc>
        <w:tc>
          <w:tcPr>
            <w:tcW w:w="1032" w:type="dxa"/>
            <w:tcBorders>
              <w:bottom w:val="single" w:sz="4" w:space="0" w:color="auto"/>
            </w:tcBorders>
            <w:noWrap/>
            <w:hideMark/>
          </w:tcPr>
          <w:p w14:paraId="755334FE" w14:textId="1D047E8F" w:rsidR="00F82EF9" w:rsidRPr="00591EE3" w:rsidRDefault="00F82EF9" w:rsidP="00F82EF9">
            <w:pPr>
              <w:spacing w:before="40" w:after="20"/>
              <w:jc w:val="center"/>
              <w:rPr>
                <w:color w:val="000000"/>
                <w:sz w:val="20"/>
                <w:szCs w:val="20"/>
              </w:rPr>
            </w:pPr>
          </w:p>
        </w:tc>
        <w:tc>
          <w:tcPr>
            <w:tcW w:w="995" w:type="dxa"/>
            <w:tcBorders>
              <w:bottom w:val="single" w:sz="4" w:space="0" w:color="auto"/>
            </w:tcBorders>
            <w:noWrap/>
            <w:hideMark/>
          </w:tcPr>
          <w:p w14:paraId="1424F561" w14:textId="5077F1EA" w:rsidR="00F82EF9" w:rsidRPr="00591EE3" w:rsidRDefault="00F82EF9" w:rsidP="00F82EF9">
            <w:pPr>
              <w:spacing w:before="40" w:after="20"/>
              <w:jc w:val="center"/>
              <w:rPr>
                <w:color w:val="000000"/>
                <w:sz w:val="20"/>
                <w:szCs w:val="20"/>
              </w:rPr>
            </w:pPr>
          </w:p>
        </w:tc>
        <w:tc>
          <w:tcPr>
            <w:tcW w:w="1161" w:type="dxa"/>
            <w:tcBorders>
              <w:bottom w:val="single" w:sz="4" w:space="0" w:color="auto"/>
            </w:tcBorders>
            <w:noWrap/>
            <w:hideMark/>
          </w:tcPr>
          <w:p w14:paraId="68E63C83" w14:textId="2488802A" w:rsidR="00F82EF9" w:rsidRPr="00591EE3" w:rsidRDefault="00F82EF9" w:rsidP="00F82EF9">
            <w:pPr>
              <w:spacing w:before="40" w:after="20"/>
              <w:jc w:val="center"/>
              <w:rPr>
                <w:color w:val="000000"/>
                <w:sz w:val="20"/>
                <w:szCs w:val="20"/>
              </w:rPr>
            </w:pPr>
          </w:p>
        </w:tc>
        <w:tc>
          <w:tcPr>
            <w:tcW w:w="833" w:type="dxa"/>
            <w:tcBorders>
              <w:bottom w:val="single" w:sz="4" w:space="0" w:color="auto"/>
            </w:tcBorders>
          </w:tcPr>
          <w:p w14:paraId="0AC9A03B" w14:textId="77777777" w:rsidR="00F82EF9" w:rsidRPr="00591EE3" w:rsidRDefault="00F82EF9" w:rsidP="00F82EF9">
            <w:pPr>
              <w:spacing w:before="40" w:after="20"/>
              <w:jc w:val="center"/>
              <w:rPr>
                <w:color w:val="000000"/>
                <w:sz w:val="20"/>
                <w:szCs w:val="20"/>
              </w:rPr>
            </w:pPr>
          </w:p>
        </w:tc>
        <w:tc>
          <w:tcPr>
            <w:tcW w:w="1233" w:type="dxa"/>
            <w:tcBorders>
              <w:bottom w:val="single" w:sz="4" w:space="0" w:color="auto"/>
              <w:right w:val="single" w:sz="8" w:space="0" w:color="auto"/>
            </w:tcBorders>
            <w:noWrap/>
            <w:hideMark/>
          </w:tcPr>
          <w:p w14:paraId="63AC6938" w14:textId="0B099C9B" w:rsidR="00F82EF9" w:rsidRPr="00591EE3" w:rsidRDefault="00F82EF9" w:rsidP="00F82EF9">
            <w:pPr>
              <w:spacing w:before="40" w:after="20"/>
              <w:jc w:val="center"/>
              <w:rPr>
                <w:color w:val="000000"/>
                <w:sz w:val="20"/>
                <w:szCs w:val="20"/>
              </w:rPr>
            </w:pPr>
            <w:r w:rsidRPr="00591EE3">
              <w:rPr>
                <w:color w:val="000000"/>
                <w:sz w:val="20"/>
                <w:szCs w:val="20"/>
              </w:rPr>
              <w:t>0.00%</w:t>
            </w:r>
          </w:p>
        </w:tc>
      </w:tr>
      <w:tr w:rsidR="00F82EF9" w:rsidRPr="00591EE3" w14:paraId="6FBD0293" w14:textId="77777777" w:rsidTr="00826426">
        <w:trPr>
          <w:trHeight w:val="312"/>
        </w:trPr>
        <w:tc>
          <w:tcPr>
            <w:tcW w:w="3392" w:type="dxa"/>
            <w:tcBorders>
              <w:top w:val="single" w:sz="4" w:space="0" w:color="auto"/>
              <w:left w:val="single" w:sz="8" w:space="0" w:color="auto"/>
              <w:bottom w:val="single" w:sz="4" w:space="0" w:color="auto"/>
            </w:tcBorders>
            <w:noWrap/>
            <w:hideMark/>
          </w:tcPr>
          <w:p w14:paraId="7FF364ED" w14:textId="77777777" w:rsidR="00F82EF9" w:rsidRPr="00591EE3" w:rsidRDefault="00F82EF9" w:rsidP="00F82EF9">
            <w:pPr>
              <w:spacing w:before="40" w:after="20"/>
              <w:jc w:val="both"/>
              <w:rPr>
                <w:b/>
                <w:bCs/>
                <w:color w:val="000000"/>
                <w:sz w:val="20"/>
                <w:szCs w:val="20"/>
              </w:rPr>
            </w:pPr>
            <w:r w:rsidRPr="00591EE3">
              <w:rPr>
                <w:b/>
                <w:bCs/>
                <w:color w:val="000000"/>
                <w:sz w:val="20"/>
                <w:szCs w:val="20"/>
              </w:rPr>
              <w:t>Total Relative Performance</w:t>
            </w:r>
          </w:p>
        </w:tc>
        <w:tc>
          <w:tcPr>
            <w:tcW w:w="936" w:type="dxa"/>
            <w:tcBorders>
              <w:top w:val="single" w:sz="4" w:space="0" w:color="auto"/>
              <w:bottom w:val="single" w:sz="4" w:space="0" w:color="auto"/>
            </w:tcBorders>
            <w:noWrap/>
            <w:hideMark/>
          </w:tcPr>
          <w:p w14:paraId="3773DC32" w14:textId="77777777" w:rsidR="00F82EF9" w:rsidRPr="00591EE3" w:rsidRDefault="00F82EF9" w:rsidP="00F82EF9">
            <w:pPr>
              <w:spacing w:before="40" w:after="20"/>
              <w:jc w:val="center"/>
              <w:rPr>
                <w:b/>
                <w:bCs/>
                <w:color w:val="000000"/>
                <w:sz w:val="20"/>
                <w:szCs w:val="20"/>
              </w:rPr>
            </w:pPr>
            <w:r w:rsidRPr="00591EE3">
              <w:rPr>
                <w:b/>
                <w:bCs/>
                <w:color w:val="000000"/>
                <w:sz w:val="20"/>
                <w:szCs w:val="20"/>
              </w:rPr>
              <w:t>0.14%</w:t>
            </w:r>
          </w:p>
        </w:tc>
        <w:tc>
          <w:tcPr>
            <w:tcW w:w="1032" w:type="dxa"/>
            <w:tcBorders>
              <w:top w:val="single" w:sz="4" w:space="0" w:color="auto"/>
              <w:bottom w:val="single" w:sz="4" w:space="0" w:color="auto"/>
            </w:tcBorders>
            <w:noWrap/>
            <w:hideMark/>
          </w:tcPr>
          <w:p w14:paraId="72D34CFE" w14:textId="77777777" w:rsidR="00F82EF9" w:rsidRPr="00591EE3" w:rsidRDefault="00F82EF9" w:rsidP="00F82EF9">
            <w:pPr>
              <w:spacing w:before="40" w:after="20"/>
              <w:jc w:val="center"/>
              <w:rPr>
                <w:b/>
                <w:bCs/>
                <w:color w:val="000000"/>
                <w:sz w:val="20"/>
                <w:szCs w:val="20"/>
              </w:rPr>
            </w:pPr>
            <w:r w:rsidRPr="00591EE3">
              <w:rPr>
                <w:b/>
                <w:bCs/>
                <w:color w:val="000000"/>
                <w:sz w:val="20"/>
                <w:szCs w:val="20"/>
              </w:rPr>
              <w:t>-0.26%</w:t>
            </w:r>
          </w:p>
        </w:tc>
        <w:tc>
          <w:tcPr>
            <w:tcW w:w="995" w:type="dxa"/>
            <w:tcBorders>
              <w:top w:val="single" w:sz="4" w:space="0" w:color="auto"/>
              <w:bottom w:val="single" w:sz="4" w:space="0" w:color="auto"/>
            </w:tcBorders>
            <w:noWrap/>
            <w:hideMark/>
          </w:tcPr>
          <w:p w14:paraId="2F3D9C84" w14:textId="77777777" w:rsidR="00F82EF9" w:rsidRPr="00591EE3" w:rsidRDefault="00F82EF9" w:rsidP="00F82EF9">
            <w:pPr>
              <w:spacing w:before="40" w:after="20"/>
              <w:jc w:val="center"/>
              <w:rPr>
                <w:b/>
                <w:bCs/>
                <w:color w:val="000000"/>
                <w:sz w:val="20"/>
                <w:szCs w:val="20"/>
              </w:rPr>
            </w:pPr>
            <w:r w:rsidRPr="00591EE3">
              <w:rPr>
                <w:b/>
                <w:bCs/>
                <w:color w:val="000000"/>
                <w:sz w:val="20"/>
                <w:szCs w:val="20"/>
              </w:rPr>
              <w:t>-0.13%</w:t>
            </w:r>
          </w:p>
        </w:tc>
        <w:tc>
          <w:tcPr>
            <w:tcW w:w="1161" w:type="dxa"/>
            <w:tcBorders>
              <w:top w:val="single" w:sz="4" w:space="0" w:color="auto"/>
              <w:bottom w:val="single" w:sz="4" w:space="0" w:color="auto"/>
            </w:tcBorders>
            <w:noWrap/>
            <w:hideMark/>
          </w:tcPr>
          <w:p w14:paraId="69AA51B0" w14:textId="5F0FF49E" w:rsidR="00F82EF9" w:rsidRPr="00591EE3" w:rsidRDefault="00F82EF9" w:rsidP="00F82EF9">
            <w:pPr>
              <w:spacing w:before="40" w:after="20"/>
              <w:jc w:val="center"/>
              <w:rPr>
                <w:b/>
                <w:bCs/>
                <w:color w:val="000000"/>
                <w:sz w:val="20"/>
                <w:szCs w:val="20"/>
              </w:rPr>
            </w:pPr>
            <w:r w:rsidRPr="00591EE3">
              <w:rPr>
                <w:b/>
                <w:bCs/>
                <w:color w:val="000000"/>
                <w:sz w:val="20"/>
                <w:szCs w:val="20"/>
              </w:rPr>
              <w:t>-0</w:t>
            </w:r>
            <w:r>
              <w:rPr>
                <w:b/>
                <w:bCs/>
                <w:color w:val="000000"/>
                <w:sz w:val="20"/>
                <w:szCs w:val="20"/>
              </w:rPr>
              <w:t>.03</w:t>
            </w:r>
            <w:r w:rsidRPr="00591EE3">
              <w:rPr>
                <w:b/>
                <w:bCs/>
                <w:color w:val="000000"/>
                <w:sz w:val="20"/>
                <w:szCs w:val="20"/>
              </w:rPr>
              <w:t>%</w:t>
            </w:r>
          </w:p>
        </w:tc>
        <w:tc>
          <w:tcPr>
            <w:tcW w:w="833" w:type="dxa"/>
            <w:tcBorders>
              <w:top w:val="single" w:sz="4" w:space="0" w:color="auto"/>
              <w:bottom w:val="single" w:sz="4" w:space="0" w:color="auto"/>
            </w:tcBorders>
          </w:tcPr>
          <w:p w14:paraId="3B75F466" w14:textId="783AF044" w:rsidR="00F82EF9" w:rsidRPr="00591EE3" w:rsidRDefault="00F82EF9" w:rsidP="00F82EF9">
            <w:pPr>
              <w:spacing w:before="40" w:after="20"/>
              <w:jc w:val="center"/>
              <w:rPr>
                <w:b/>
                <w:bCs/>
                <w:color w:val="000000"/>
                <w:sz w:val="20"/>
                <w:szCs w:val="20"/>
              </w:rPr>
            </w:pPr>
            <w:r w:rsidRPr="00591EE3">
              <w:rPr>
                <w:b/>
                <w:bCs/>
                <w:color w:val="000000"/>
                <w:sz w:val="20"/>
                <w:szCs w:val="20"/>
              </w:rPr>
              <w:t>-0</w:t>
            </w:r>
            <w:r>
              <w:rPr>
                <w:b/>
                <w:bCs/>
                <w:color w:val="000000"/>
                <w:sz w:val="20"/>
                <w:szCs w:val="20"/>
              </w:rPr>
              <w:t>.02</w:t>
            </w:r>
            <w:r w:rsidRPr="00591EE3">
              <w:rPr>
                <w:b/>
                <w:bCs/>
                <w:color w:val="000000"/>
                <w:sz w:val="20"/>
                <w:szCs w:val="20"/>
              </w:rPr>
              <w:t>%</w:t>
            </w:r>
          </w:p>
        </w:tc>
        <w:tc>
          <w:tcPr>
            <w:tcW w:w="1233" w:type="dxa"/>
            <w:tcBorders>
              <w:top w:val="single" w:sz="4" w:space="0" w:color="auto"/>
              <w:bottom w:val="single" w:sz="4" w:space="0" w:color="auto"/>
              <w:right w:val="single" w:sz="8" w:space="0" w:color="auto"/>
            </w:tcBorders>
            <w:noWrap/>
            <w:hideMark/>
          </w:tcPr>
          <w:p w14:paraId="460CAFB1" w14:textId="498AE6E3" w:rsidR="00F82EF9" w:rsidRPr="00591EE3" w:rsidRDefault="00F82EF9" w:rsidP="00F82EF9">
            <w:pPr>
              <w:spacing w:before="40" w:after="20"/>
              <w:jc w:val="center"/>
              <w:rPr>
                <w:b/>
                <w:bCs/>
                <w:color w:val="000000"/>
                <w:sz w:val="20"/>
                <w:szCs w:val="20"/>
              </w:rPr>
            </w:pPr>
            <w:r w:rsidRPr="00591EE3">
              <w:rPr>
                <w:b/>
                <w:bCs/>
                <w:color w:val="000000"/>
                <w:sz w:val="20"/>
                <w:szCs w:val="20"/>
              </w:rPr>
              <w:t>-0.</w:t>
            </w:r>
            <w:r>
              <w:rPr>
                <w:b/>
                <w:bCs/>
                <w:color w:val="000000"/>
                <w:sz w:val="20"/>
                <w:szCs w:val="20"/>
              </w:rPr>
              <w:t>30</w:t>
            </w:r>
            <w:r w:rsidRPr="00591EE3">
              <w:rPr>
                <w:b/>
                <w:bCs/>
                <w:color w:val="000000"/>
                <w:sz w:val="20"/>
                <w:szCs w:val="20"/>
              </w:rPr>
              <w:t>%</w:t>
            </w:r>
          </w:p>
        </w:tc>
      </w:tr>
      <w:tr w:rsidR="00F82EF9" w:rsidRPr="00591EE3" w14:paraId="10156186" w14:textId="77777777" w:rsidTr="00826426">
        <w:trPr>
          <w:trHeight w:val="312"/>
        </w:trPr>
        <w:tc>
          <w:tcPr>
            <w:tcW w:w="3392" w:type="dxa"/>
            <w:tcBorders>
              <w:top w:val="single" w:sz="4" w:space="0" w:color="auto"/>
              <w:left w:val="single" w:sz="8" w:space="0" w:color="auto"/>
              <w:bottom w:val="single" w:sz="8" w:space="0" w:color="auto"/>
            </w:tcBorders>
            <w:noWrap/>
            <w:hideMark/>
          </w:tcPr>
          <w:p w14:paraId="4118A31C" w14:textId="0CB0DFD0" w:rsidR="00F82EF9" w:rsidRPr="00591EE3" w:rsidRDefault="00F82EF9" w:rsidP="00F82EF9">
            <w:pPr>
              <w:spacing w:before="40" w:after="20"/>
              <w:jc w:val="both"/>
              <w:rPr>
                <w:i/>
                <w:iCs/>
                <w:color w:val="000000"/>
                <w:sz w:val="20"/>
                <w:szCs w:val="20"/>
              </w:rPr>
            </w:pPr>
            <w:r>
              <w:rPr>
                <w:i/>
                <w:iCs/>
                <w:color w:val="000000"/>
                <w:sz w:val="20"/>
                <w:szCs w:val="20"/>
              </w:rPr>
              <w:t xml:space="preserve">Opening </w:t>
            </w:r>
            <w:r w:rsidRPr="00591EE3">
              <w:rPr>
                <w:i/>
                <w:iCs/>
                <w:color w:val="000000"/>
                <w:sz w:val="20"/>
                <w:szCs w:val="20"/>
              </w:rPr>
              <w:t>Cash Weight in Total Portfolio</w:t>
            </w:r>
          </w:p>
        </w:tc>
        <w:tc>
          <w:tcPr>
            <w:tcW w:w="936" w:type="dxa"/>
            <w:tcBorders>
              <w:top w:val="single" w:sz="4" w:space="0" w:color="auto"/>
              <w:bottom w:val="single" w:sz="8" w:space="0" w:color="auto"/>
            </w:tcBorders>
            <w:noWrap/>
            <w:hideMark/>
          </w:tcPr>
          <w:p w14:paraId="69363D9D" w14:textId="77777777" w:rsidR="00F82EF9" w:rsidRPr="00591EE3" w:rsidRDefault="00F82EF9" w:rsidP="00F82EF9">
            <w:pPr>
              <w:spacing w:before="40" w:after="20"/>
              <w:jc w:val="center"/>
              <w:rPr>
                <w:color w:val="000000"/>
                <w:sz w:val="20"/>
                <w:szCs w:val="20"/>
              </w:rPr>
            </w:pPr>
            <w:r w:rsidRPr="00591EE3">
              <w:rPr>
                <w:color w:val="000000"/>
                <w:sz w:val="20"/>
                <w:szCs w:val="20"/>
              </w:rPr>
              <w:t>4.81%</w:t>
            </w:r>
          </w:p>
        </w:tc>
        <w:tc>
          <w:tcPr>
            <w:tcW w:w="1032" w:type="dxa"/>
            <w:tcBorders>
              <w:top w:val="single" w:sz="4" w:space="0" w:color="auto"/>
              <w:bottom w:val="single" w:sz="8" w:space="0" w:color="auto"/>
            </w:tcBorders>
            <w:noWrap/>
            <w:hideMark/>
          </w:tcPr>
          <w:p w14:paraId="60E6A512" w14:textId="77777777" w:rsidR="00F82EF9" w:rsidRPr="00591EE3" w:rsidRDefault="00F82EF9" w:rsidP="00F82EF9">
            <w:pPr>
              <w:spacing w:before="40" w:after="20"/>
              <w:jc w:val="center"/>
              <w:rPr>
                <w:color w:val="000000"/>
                <w:sz w:val="20"/>
                <w:szCs w:val="20"/>
              </w:rPr>
            </w:pPr>
            <w:r w:rsidRPr="00591EE3">
              <w:rPr>
                <w:color w:val="000000"/>
                <w:sz w:val="20"/>
                <w:szCs w:val="20"/>
              </w:rPr>
              <w:t>4.68%</w:t>
            </w:r>
          </w:p>
        </w:tc>
        <w:tc>
          <w:tcPr>
            <w:tcW w:w="995" w:type="dxa"/>
            <w:tcBorders>
              <w:top w:val="single" w:sz="4" w:space="0" w:color="auto"/>
              <w:bottom w:val="single" w:sz="8" w:space="0" w:color="auto"/>
            </w:tcBorders>
            <w:noWrap/>
            <w:hideMark/>
          </w:tcPr>
          <w:p w14:paraId="0B57991B" w14:textId="77777777" w:rsidR="00F82EF9" w:rsidRPr="00591EE3" w:rsidRDefault="00F82EF9" w:rsidP="00F82EF9">
            <w:pPr>
              <w:spacing w:before="40" w:after="20"/>
              <w:jc w:val="center"/>
              <w:rPr>
                <w:color w:val="000000"/>
                <w:sz w:val="20"/>
                <w:szCs w:val="20"/>
              </w:rPr>
            </w:pPr>
            <w:r w:rsidRPr="00591EE3">
              <w:rPr>
                <w:color w:val="000000"/>
                <w:sz w:val="20"/>
                <w:szCs w:val="20"/>
              </w:rPr>
              <w:t>6.45%</w:t>
            </w:r>
          </w:p>
        </w:tc>
        <w:tc>
          <w:tcPr>
            <w:tcW w:w="1161" w:type="dxa"/>
            <w:tcBorders>
              <w:top w:val="single" w:sz="4" w:space="0" w:color="auto"/>
              <w:bottom w:val="single" w:sz="8" w:space="0" w:color="auto"/>
            </w:tcBorders>
            <w:noWrap/>
            <w:hideMark/>
          </w:tcPr>
          <w:p w14:paraId="3A99540F" w14:textId="77777777" w:rsidR="00F82EF9" w:rsidRPr="00591EE3" w:rsidRDefault="00F82EF9" w:rsidP="00F82EF9">
            <w:pPr>
              <w:spacing w:before="40" w:after="20"/>
              <w:jc w:val="center"/>
              <w:rPr>
                <w:color w:val="000000"/>
                <w:sz w:val="20"/>
                <w:szCs w:val="20"/>
              </w:rPr>
            </w:pPr>
            <w:r w:rsidRPr="00591EE3">
              <w:rPr>
                <w:color w:val="000000"/>
                <w:sz w:val="20"/>
                <w:szCs w:val="20"/>
              </w:rPr>
              <w:t>7.00%</w:t>
            </w:r>
          </w:p>
        </w:tc>
        <w:tc>
          <w:tcPr>
            <w:tcW w:w="833" w:type="dxa"/>
            <w:tcBorders>
              <w:top w:val="single" w:sz="4" w:space="0" w:color="auto"/>
              <w:bottom w:val="single" w:sz="8" w:space="0" w:color="auto"/>
            </w:tcBorders>
          </w:tcPr>
          <w:p w14:paraId="1612896F" w14:textId="05FAD8E7" w:rsidR="00F82EF9" w:rsidRPr="00591EE3" w:rsidRDefault="00F82EF9" w:rsidP="00F82EF9">
            <w:pPr>
              <w:spacing w:before="40" w:after="20"/>
              <w:jc w:val="center"/>
              <w:rPr>
                <w:color w:val="000000"/>
                <w:sz w:val="20"/>
                <w:szCs w:val="20"/>
              </w:rPr>
            </w:pPr>
            <w:r>
              <w:rPr>
                <w:color w:val="000000"/>
                <w:sz w:val="20"/>
                <w:szCs w:val="20"/>
              </w:rPr>
              <w:t>4.43</w:t>
            </w:r>
            <w:r w:rsidRPr="00591EE3">
              <w:rPr>
                <w:color w:val="000000"/>
                <w:sz w:val="20"/>
                <w:szCs w:val="20"/>
              </w:rPr>
              <w:t>%</w:t>
            </w:r>
          </w:p>
        </w:tc>
        <w:tc>
          <w:tcPr>
            <w:tcW w:w="1233" w:type="dxa"/>
            <w:tcBorders>
              <w:top w:val="single" w:sz="4" w:space="0" w:color="auto"/>
              <w:bottom w:val="single" w:sz="8" w:space="0" w:color="auto"/>
              <w:right w:val="single" w:sz="8" w:space="0" w:color="auto"/>
            </w:tcBorders>
            <w:noWrap/>
            <w:hideMark/>
          </w:tcPr>
          <w:p w14:paraId="273AA695" w14:textId="4653C0A6" w:rsidR="00F82EF9" w:rsidRPr="00591EE3" w:rsidRDefault="00F82EF9" w:rsidP="00F82EF9">
            <w:pPr>
              <w:spacing w:before="40" w:after="20"/>
              <w:jc w:val="center"/>
              <w:rPr>
                <w:color w:val="000000"/>
                <w:sz w:val="20"/>
                <w:szCs w:val="20"/>
              </w:rPr>
            </w:pPr>
          </w:p>
        </w:tc>
      </w:tr>
    </w:tbl>
    <w:p w14:paraId="60087A82" w14:textId="7D91FCCE" w:rsidR="00755556" w:rsidRDefault="00755556" w:rsidP="00A250F3">
      <w:pPr>
        <w:jc w:val="both"/>
        <w:rPr>
          <w:color w:val="000000"/>
          <w:sz w:val="20"/>
          <w:szCs w:val="20"/>
        </w:rPr>
      </w:pPr>
    </w:p>
    <w:p w14:paraId="649C5A07" w14:textId="5D36ADA9" w:rsidR="00CC2B60" w:rsidRDefault="00CC2B60" w:rsidP="00A250F3">
      <w:pPr>
        <w:jc w:val="both"/>
        <w:rPr>
          <w:color w:val="000000"/>
          <w:sz w:val="20"/>
          <w:szCs w:val="20"/>
        </w:rPr>
      </w:pPr>
    </w:p>
    <w:p w14:paraId="46763C0E" w14:textId="16E56D2B" w:rsidR="00380F71" w:rsidRPr="00DD3A94" w:rsidRDefault="00380F71" w:rsidP="00A250F3">
      <w:pPr>
        <w:pStyle w:val="Heading1"/>
        <w:spacing w:before="360" w:line="240" w:lineRule="auto"/>
        <w:rPr>
          <w:sz w:val="28"/>
          <w:szCs w:val="28"/>
          <w:lang w:eastAsia="zh-CN"/>
        </w:rPr>
      </w:pPr>
      <w:bookmarkStart w:id="29" w:name="_Toc524277825"/>
      <w:bookmarkStart w:id="30" w:name="_Toc5995722"/>
      <w:r w:rsidRPr="00DD3A94">
        <w:rPr>
          <w:sz w:val="28"/>
          <w:szCs w:val="28"/>
          <w:lang w:eastAsia="zh-CN"/>
        </w:rPr>
        <w:lastRenderedPageBreak/>
        <w:t>Socially Responsible Investment (SRI) Report</w:t>
      </w:r>
      <w:bookmarkEnd w:id="29"/>
      <w:bookmarkEnd w:id="30"/>
    </w:p>
    <w:p w14:paraId="6D7BDE30" w14:textId="7E972E16" w:rsidR="00716C65" w:rsidRDefault="006165F3" w:rsidP="00716C65">
      <w:pPr>
        <w:spacing w:before="180"/>
        <w:jc w:val="both"/>
        <w:rPr>
          <w:sz w:val="20"/>
          <w:szCs w:val="20"/>
          <w:lang w:val="en-US"/>
        </w:rPr>
      </w:pPr>
      <w:r>
        <w:rPr>
          <w:sz w:val="20"/>
          <w:szCs w:val="20"/>
          <w:lang w:val="en-US"/>
        </w:rPr>
        <w:t>T</w:t>
      </w:r>
      <w:r w:rsidR="00716C65" w:rsidRPr="00716C65">
        <w:rPr>
          <w:sz w:val="20"/>
          <w:szCs w:val="20"/>
          <w:lang w:val="en-US"/>
        </w:rPr>
        <w:t>he SMF conducted a major review into the implementation of the</w:t>
      </w:r>
      <w:r w:rsidR="00E15FBA">
        <w:rPr>
          <w:sz w:val="20"/>
          <w:szCs w:val="20"/>
          <w:lang w:val="en-US"/>
        </w:rPr>
        <w:t xml:space="preserve"> </w:t>
      </w:r>
      <w:r w:rsidR="00166A4C">
        <w:rPr>
          <w:sz w:val="20"/>
          <w:szCs w:val="20"/>
          <w:lang w:val="en-US"/>
        </w:rPr>
        <w:t>University’s</w:t>
      </w:r>
      <w:r w:rsidR="00166A4C" w:rsidRPr="00716C65">
        <w:rPr>
          <w:sz w:val="20"/>
          <w:szCs w:val="20"/>
          <w:lang w:val="en-US"/>
        </w:rPr>
        <w:t xml:space="preserve"> </w:t>
      </w:r>
      <w:r w:rsidR="00716C65" w:rsidRPr="00716C65">
        <w:rPr>
          <w:sz w:val="20"/>
          <w:szCs w:val="20"/>
          <w:lang w:val="en-US"/>
        </w:rPr>
        <w:t>SRI policy within the Fund</w:t>
      </w:r>
      <w:r>
        <w:rPr>
          <w:sz w:val="20"/>
          <w:szCs w:val="20"/>
          <w:lang w:val="en-US"/>
        </w:rPr>
        <w:t xml:space="preserve"> during Semester 2,</w:t>
      </w:r>
      <w:r w:rsidRPr="00716C65">
        <w:rPr>
          <w:sz w:val="20"/>
          <w:szCs w:val="20"/>
          <w:lang w:val="en-US"/>
        </w:rPr>
        <w:t xml:space="preserve"> 2018</w:t>
      </w:r>
      <w:r w:rsidR="00716C65" w:rsidRPr="00716C65">
        <w:rPr>
          <w:sz w:val="20"/>
          <w:szCs w:val="20"/>
          <w:lang w:val="en-US"/>
        </w:rPr>
        <w:t xml:space="preserve">. </w:t>
      </w:r>
      <w:r w:rsidR="00716C65">
        <w:rPr>
          <w:sz w:val="20"/>
          <w:szCs w:val="20"/>
          <w:lang w:val="en-US"/>
        </w:rPr>
        <w:t xml:space="preserve">This SRI report represents the first such report since the </w:t>
      </w:r>
      <w:r w:rsidR="00194147">
        <w:rPr>
          <w:sz w:val="20"/>
          <w:szCs w:val="20"/>
          <w:lang w:val="en-US"/>
        </w:rPr>
        <w:t>review was conducted</w:t>
      </w:r>
      <w:r>
        <w:rPr>
          <w:sz w:val="20"/>
          <w:szCs w:val="20"/>
          <w:lang w:val="en-US"/>
        </w:rPr>
        <w:t>. I</w:t>
      </w:r>
      <w:r w:rsidR="00194147">
        <w:rPr>
          <w:sz w:val="20"/>
          <w:szCs w:val="20"/>
          <w:lang w:val="en-US"/>
        </w:rPr>
        <w:t xml:space="preserve">t is pleasing to see </w:t>
      </w:r>
      <w:r w:rsidR="00FA112D">
        <w:rPr>
          <w:sz w:val="20"/>
          <w:szCs w:val="20"/>
          <w:lang w:val="en-US"/>
        </w:rPr>
        <w:t>the Fund applying the additional measures</w:t>
      </w:r>
      <w:r w:rsidR="00CA7B41">
        <w:rPr>
          <w:sz w:val="20"/>
          <w:szCs w:val="20"/>
          <w:lang w:val="en-US"/>
        </w:rPr>
        <w:t xml:space="preserve"> </w:t>
      </w:r>
      <w:r>
        <w:rPr>
          <w:sz w:val="20"/>
          <w:szCs w:val="20"/>
          <w:lang w:val="en-US"/>
        </w:rPr>
        <w:t>that</w:t>
      </w:r>
      <w:r w:rsidR="00FA112D">
        <w:rPr>
          <w:sz w:val="20"/>
          <w:szCs w:val="20"/>
          <w:lang w:val="en-US"/>
        </w:rPr>
        <w:t xml:space="preserve"> were established </w:t>
      </w:r>
      <w:r w:rsidR="00CA7B41">
        <w:rPr>
          <w:sz w:val="20"/>
          <w:szCs w:val="20"/>
          <w:lang w:val="en-US"/>
        </w:rPr>
        <w:t xml:space="preserve">as a result of the review. The </w:t>
      </w:r>
      <w:r w:rsidR="007A56FB">
        <w:rPr>
          <w:sz w:val="20"/>
          <w:szCs w:val="20"/>
          <w:lang w:val="en-US"/>
        </w:rPr>
        <w:t xml:space="preserve">foundation of the Fund’s SRI policy is built upon the </w:t>
      </w:r>
      <w:r w:rsidR="007A56FB" w:rsidRPr="00716C65">
        <w:rPr>
          <w:sz w:val="20"/>
          <w:szCs w:val="20"/>
          <w:lang w:val="en-US"/>
        </w:rPr>
        <w:t>criteria used</w:t>
      </w:r>
      <w:r w:rsidR="007A56FB">
        <w:rPr>
          <w:sz w:val="20"/>
          <w:szCs w:val="20"/>
          <w:lang w:val="en-US"/>
        </w:rPr>
        <w:t xml:space="preserve"> within the </w:t>
      </w:r>
      <w:r w:rsidR="007A56FB" w:rsidRPr="00716C65">
        <w:rPr>
          <w:sz w:val="20"/>
          <w:szCs w:val="20"/>
          <w:lang w:val="en-US"/>
        </w:rPr>
        <w:t xml:space="preserve">Australian equity portfolio </w:t>
      </w:r>
      <w:r w:rsidR="007A56FB">
        <w:rPr>
          <w:sz w:val="20"/>
          <w:szCs w:val="20"/>
          <w:lang w:val="en-US"/>
        </w:rPr>
        <w:t xml:space="preserve">of </w:t>
      </w:r>
      <w:r w:rsidR="00166A4C">
        <w:rPr>
          <w:sz w:val="20"/>
          <w:szCs w:val="20"/>
          <w:lang w:val="en-US"/>
        </w:rPr>
        <w:t xml:space="preserve">the </w:t>
      </w:r>
      <w:r w:rsidR="007A56FB" w:rsidRPr="00716C65">
        <w:rPr>
          <w:sz w:val="20"/>
          <w:szCs w:val="20"/>
          <w:lang w:val="en-US"/>
        </w:rPr>
        <w:t>ANU Long Term Investment Pool (LTIP)</w:t>
      </w:r>
      <w:r>
        <w:rPr>
          <w:sz w:val="20"/>
          <w:szCs w:val="20"/>
          <w:lang w:val="en-US"/>
        </w:rPr>
        <w:t xml:space="preserve">, which appear as conditions one through three below. </w:t>
      </w:r>
      <w:r w:rsidR="002B490F">
        <w:rPr>
          <w:sz w:val="20"/>
          <w:szCs w:val="20"/>
          <w:lang w:val="en-US"/>
        </w:rPr>
        <w:t xml:space="preserve">The SMF extends this SRI policy with </w:t>
      </w:r>
      <w:r w:rsidR="00E51749">
        <w:rPr>
          <w:sz w:val="20"/>
          <w:szCs w:val="20"/>
          <w:lang w:val="en-US"/>
        </w:rPr>
        <w:t xml:space="preserve">the addition of </w:t>
      </w:r>
      <w:r w:rsidR="002B490F">
        <w:rPr>
          <w:sz w:val="20"/>
          <w:szCs w:val="20"/>
          <w:lang w:val="en-US"/>
        </w:rPr>
        <w:t>conditions four and five:</w:t>
      </w:r>
    </w:p>
    <w:p w14:paraId="50D817F8" w14:textId="77777777" w:rsidR="002B490F" w:rsidRPr="00716C65" w:rsidRDefault="002B490F" w:rsidP="002B490F">
      <w:pPr>
        <w:jc w:val="both"/>
        <w:rPr>
          <w:sz w:val="20"/>
          <w:szCs w:val="20"/>
          <w:lang w:val="en-US"/>
        </w:rPr>
      </w:pPr>
    </w:p>
    <w:p w14:paraId="77CF4F9A" w14:textId="77777777" w:rsidR="00716C65" w:rsidRPr="00716C65" w:rsidRDefault="00716C65" w:rsidP="002B490F">
      <w:pPr>
        <w:numPr>
          <w:ilvl w:val="0"/>
          <w:numId w:val="34"/>
        </w:numPr>
        <w:jc w:val="both"/>
        <w:rPr>
          <w:sz w:val="20"/>
          <w:szCs w:val="20"/>
          <w:lang w:val="en-US"/>
        </w:rPr>
      </w:pPr>
      <w:r w:rsidRPr="00716C65">
        <w:rPr>
          <w:sz w:val="20"/>
          <w:szCs w:val="20"/>
          <w:lang w:val="en-US"/>
        </w:rPr>
        <w:t>Exclude companies that derive more than 20% of revenues from coal, gambling, tobacco or pornography.</w:t>
      </w:r>
    </w:p>
    <w:p w14:paraId="767C95F8" w14:textId="77777777" w:rsidR="000A6F5B" w:rsidRDefault="00716C65" w:rsidP="000A6F5B">
      <w:pPr>
        <w:numPr>
          <w:ilvl w:val="0"/>
          <w:numId w:val="34"/>
        </w:numPr>
        <w:jc w:val="both"/>
        <w:rPr>
          <w:sz w:val="20"/>
          <w:szCs w:val="20"/>
          <w:lang w:val="en-US"/>
        </w:rPr>
      </w:pPr>
      <w:r w:rsidRPr="00716C65">
        <w:rPr>
          <w:sz w:val="20"/>
          <w:szCs w:val="20"/>
          <w:lang w:val="en-US"/>
        </w:rPr>
        <w:t>Hold a portfolio with 25% less carbon intensity than the S&amp;P/ASX 200.</w:t>
      </w:r>
    </w:p>
    <w:p w14:paraId="5FB70BB9" w14:textId="482286A8" w:rsidR="00716C65" w:rsidRPr="000A6F5B" w:rsidRDefault="00716C65" w:rsidP="00D97999">
      <w:pPr>
        <w:numPr>
          <w:ilvl w:val="0"/>
          <w:numId w:val="34"/>
        </w:numPr>
        <w:rPr>
          <w:sz w:val="20"/>
          <w:szCs w:val="20"/>
          <w:lang w:val="en-US"/>
        </w:rPr>
      </w:pPr>
      <w:r w:rsidRPr="000A6F5B">
        <w:rPr>
          <w:sz w:val="20"/>
          <w:szCs w:val="20"/>
          <w:lang w:val="en-US"/>
        </w:rPr>
        <w:t xml:space="preserve">Ensure that the portfolio demonstrates a 10 % improvement in the overall </w:t>
      </w:r>
      <w:r w:rsidR="000A6F5B" w:rsidRPr="000A6F5B">
        <w:rPr>
          <w:sz w:val="20"/>
          <w:szCs w:val="20"/>
        </w:rPr>
        <w:t>Environmental, Social and Governance</w:t>
      </w:r>
      <w:r w:rsidR="000A6F5B">
        <w:rPr>
          <w:sz w:val="20"/>
          <w:szCs w:val="20"/>
        </w:rPr>
        <w:t xml:space="preserve"> (ESG)</w:t>
      </w:r>
      <w:r w:rsidRPr="000A6F5B">
        <w:rPr>
          <w:sz w:val="20"/>
          <w:szCs w:val="20"/>
          <w:lang w:val="en-US"/>
        </w:rPr>
        <w:t xml:space="preserve"> rating relative to the benchmark.</w:t>
      </w:r>
    </w:p>
    <w:p w14:paraId="0C49A60E" w14:textId="26D7E03E" w:rsidR="00716C65" w:rsidRPr="00716C65" w:rsidRDefault="00301A7E" w:rsidP="002B490F">
      <w:pPr>
        <w:numPr>
          <w:ilvl w:val="0"/>
          <w:numId w:val="34"/>
        </w:numPr>
        <w:jc w:val="both"/>
        <w:rPr>
          <w:sz w:val="20"/>
          <w:szCs w:val="20"/>
          <w:lang w:val="en-US"/>
        </w:rPr>
      </w:pPr>
      <w:r>
        <w:rPr>
          <w:sz w:val="20"/>
          <w:szCs w:val="20"/>
          <w:lang w:val="en-US"/>
        </w:rPr>
        <w:t xml:space="preserve">Avoid </w:t>
      </w:r>
      <w:r w:rsidR="00716C65" w:rsidRPr="00716C65">
        <w:rPr>
          <w:sz w:val="20"/>
          <w:szCs w:val="20"/>
          <w:lang w:val="en-US"/>
        </w:rPr>
        <w:t>investment</w:t>
      </w:r>
      <w:r>
        <w:rPr>
          <w:sz w:val="20"/>
          <w:szCs w:val="20"/>
          <w:lang w:val="en-US"/>
        </w:rPr>
        <w:t>s that cause</w:t>
      </w:r>
      <w:r w:rsidR="00716C65" w:rsidRPr="00716C65">
        <w:rPr>
          <w:sz w:val="20"/>
          <w:szCs w:val="20"/>
          <w:lang w:val="en-US"/>
        </w:rPr>
        <w:t xml:space="preserve"> an unacceptable level of ‘social injury’. </w:t>
      </w:r>
    </w:p>
    <w:p w14:paraId="00742581" w14:textId="77777777" w:rsidR="00716C65" w:rsidRPr="00716C65" w:rsidRDefault="00716C65" w:rsidP="002B490F">
      <w:pPr>
        <w:numPr>
          <w:ilvl w:val="0"/>
          <w:numId w:val="34"/>
        </w:numPr>
        <w:jc w:val="both"/>
        <w:rPr>
          <w:sz w:val="20"/>
          <w:szCs w:val="20"/>
          <w:lang w:val="en-US"/>
        </w:rPr>
      </w:pPr>
      <w:r w:rsidRPr="00716C65">
        <w:rPr>
          <w:sz w:val="20"/>
          <w:szCs w:val="20"/>
          <w:lang w:val="en-US"/>
        </w:rPr>
        <w:t xml:space="preserve">Take into consideration whether a prospective investment creates ‘social benefit’. </w:t>
      </w:r>
    </w:p>
    <w:p w14:paraId="2F21A5E6" w14:textId="3F96AFE1" w:rsidR="006B000B" w:rsidRPr="002C3CF3" w:rsidRDefault="006B000B" w:rsidP="00C17CD5">
      <w:pPr>
        <w:spacing w:before="180"/>
        <w:jc w:val="both"/>
        <w:rPr>
          <w:sz w:val="20"/>
          <w:szCs w:val="20"/>
          <w:lang w:val="en-US"/>
        </w:rPr>
      </w:pPr>
      <w:r w:rsidRPr="006165F3">
        <w:rPr>
          <w:sz w:val="20"/>
          <w:szCs w:val="20"/>
          <w:lang w:val="en-US"/>
        </w:rPr>
        <w:t xml:space="preserve">Figure </w:t>
      </w:r>
      <w:r w:rsidR="00932293" w:rsidRPr="006165F3">
        <w:rPr>
          <w:sz w:val="20"/>
          <w:szCs w:val="20"/>
          <w:lang w:val="en-US"/>
        </w:rPr>
        <w:t>5</w:t>
      </w:r>
      <w:r w:rsidRPr="006165F3">
        <w:rPr>
          <w:sz w:val="20"/>
          <w:szCs w:val="20"/>
          <w:lang w:val="en-US"/>
        </w:rPr>
        <w:t xml:space="preserve"> </w:t>
      </w:r>
      <w:r w:rsidR="005634A2" w:rsidRPr="006165F3">
        <w:rPr>
          <w:sz w:val="20"/>
          <w:szCs w:val="20"/>
          <w:lang w:val="en-US"/>
        </w:rPr>
        <w:t>reports on the S</w:t>
      </w:r>
      <w:r w:rsidR="00932293" w:rsidRPr="006165F3">
        <w:rPr>
          <w:sz w:val="20"/>
          <w:szCs w:val="20"/>
          <w:lang w:val="en-US"/>
        </w:rPr>
        <w:t>R</w:t>
      </w:r>
      <w:r w:rsidR="005634A2" w:rsidRPr="006165F3">
        <w:rPr>
          <w:sz w:val="20"/>
          <w:szCs w:val="20"/>
          <w:lang w:val="en-US"/>
        </w:rPr>
        <w:t xml:space="preserve">I compliance </w:t>
      </w:r>
      <w:r w:rsidRPr="006165F3">
        <w:rPr>
          <w:sz w:val="20"/>
          <w:szCs w:val="20"/>
          <w:lang w:val="en-US"/>
        </w:rPr>
        <w:t xml:space="preserve">as at </w:t>
      </w:r>
      <w:r w:rsidR="00790E88" w:rsidRPr="006165F3">
        <w:rPr>
          <w:sz w:val="20"/>
          <w:szCs w:val="20"/>
          <w:lang w:val="en-US"/>
        </w:rPr>
        <w:t>8</w:t>
      </w:r>
      <w:r w:rsidRPr="006165F3">
        <w:rPr>
          <w:sz w:val="20"/>
          <w:szCs w:val="20"/>
          <w:vertAlign w:val="superscript"/>
          <w:lang w:val="en-US"/>
        </w:rPr>
        <w:t>th</w:t>
      </w:r>
      <w:r w:rsidRPr="006165F3">
        <w:rPr>
          <w:sz w:val="20"/>
          <w:szCs w:val="20"/>
          <w:lang w:val="en-US"/>
        </w:rPr>
        <w:t xml:space="preserve"> </w:t>
      </w:r>
      <w:r w:rsidR="00790E88" w:rsidRPr="006165F3">
        <w:rPr>
          <w:sz w:val="20"/>
          <w:szCs w:val="20"/>
          <w:lang w:val="en-US"/>
        </w:rPr>
        <w:t xml:space="preserve">April </w:t>
      </w:r>
      <w:r w:rsidRPr="006165F3">
        <w:rPr>
          <w:sz w:val="20"/>
          <w:szCs w:val="20"/>
          <w:lang w:val="en-US"/>
        </w:rPr>
        <w:t>2019</w:t>
      </w:r>
      <w:r w:rsidR="006165F3">
        <w:rPr>
          <w:sz w:val="20"/>
          <w:szCs w:val="20"/>
          <w:lang w:val="en-US"/>
        </w:rPr>
        <w:t xml:space="preserve"> with regard to the </w:t>
      </w:r>
      <w:r w:rsidR="006165F3" w:rsidRPr="006165F3">
        <w:rPr>
          <w:sz w:val="20"/>
          <w:szCs w:val="20"/>
          <w:lang w:val="en-US"/>
        </w:rPr>
        <w:t>carbon intensity and ESG scores</w:t>
      </w:r>
      <w:r w:rsidR="006165F3">
        <w:rPr>
          <w:sz w:val="20"/>
          <w:szCs w:val="20"/>
          <w:lang w:val="en-US"/>
        </w:rPr>
        <w:t>, which are applied</w:t>
      </w:r>
      <w:r w:rsidR="005634A2" w:rsidRPr="006165F3">
        <w:rPr>
          <w:sz w:val="20"/>
          <w:szCs w:val="20"/>
          <w:lang w:val="en-US"/>
        </w:rPr>
        <w:t xml:space="preserve"> to </w:t>
      </w:r>
      <w:r w:rsidR="00CA5F1F" w:rsidRPr="006165F3">
        <w:rPr>
          <w:sz w:val="20"/>
          <w:szCs w:val="20"/>
          <w:lang w:val="en-US"/>
        </w:rPr>
        <w:t xml:space="preserve">the </w:t>
      </w:r>
      <w:r w:rsidR="00D97999" w:rsidRPr="006165F3">
        <w:rPr>
          <w:sz w:val="20"/>
          <w:szCs w:val="20"/>
          <w:lang w:val="en-US"/>
        </w:rPr>
        <w:t xml:space="preserve">active </w:t>
      </w:r>
      <w:r w:rsidR="006165F3">
        <w:rPr>
          <w:sz w:val="20"/>
          <w:szCs w:val="20"/>
          <w:lang w:val="en-US"/>
        </w:rPr>
        <w:t xml:space="preserve">stock </w:t>
      </w:r>
      <w:r w:rsidR="00D97999" w:rsidRPr="006165F3">
        <w:rPr>
          <w:sz w:val="20"/>
          <w:szCs w:val="20"/>
          <w:lang w:val="en-US"/>
        </w:rPr>
        <w:t xml:space="preserve">investments </w:t>
      </w:r>
      <w:r w:rsidR="006165F3">
        <w:rPr>
          <w:sz w:val="20"/>
          <w:szCs w:val="20"/>
          <w:lang w:val="en-US"/>
        </w:rPr>
        <w:t>with</w:t>
      </w:r>
      <w:r w:rsidR="00CA5F1F" w:rsidRPr="006165F3">
        <w:rPr>
          <w:sz w:val="20"/>
          <w:szCs w:val="20"/>
          <w:lang w:val="en-US"/>
        </w:rPr>
        <w:t xml:space="preserve">in the </w:t>
      </w:r>
      <w:r w:rsidR="006165F3">
        <w:rPr>
          <w:sz w:val="20"/>
          <w:szCs w:val="20"/>
          <w:lang w:val="en-US"/>
        </w:rPr>
        <w:t xml:space="preserve">AAE </w:t>
      </w:r>
      <w:r w:rsidR="00CA5F1F" w:rsidRPr="006165F3">
        <w:rPr>
          <w:sz w:val="20"/>
          <w:szCs w:val="20"/>
          <w:lang w:val="en-US"/>
        </w:rPr>
        <w:t>portfolio</w:t>
      </w:r>
      <w:r w:rsidRPr="006165F3">
        <w:rPr>
          <w:sz w:val="20"/>
          <w:szCs w:val="20"/>
          <w:lang w:val="en-US"/>
        </w:rPr>
        <w:t xml:space="preserve">. The carbon intensity scores for </w:t>
      </w:r>
      <w:r w:rsidR="00640473" w:rsidRPr="006165F3">
        <w:rPr>
          <w:sz w:val="20"/>
          <w:szCs w:val="20"/>
          <w:lang w:val="en-US"/>
        </w:rPr>
        <w:t xml:space="preserve">Bingo, Rio Tinto and Telstra </w:t>
      </w:r>
      <w:r w:rsidRPr="006165F3">
        <w:rPr>
          <w:sz w:val="20"/>
          <w:szCs w:val="20"/>
          <w:lang w:val="en-US"/>
        </w:rPr>
        <w:t xml:space="preserve">are retrieved from Bloomberg. They are calculated based on the annual carbon emission (in tonnes) per $1 million of revenue earned. </w:t>
      </w:r>
      <w:r w:rsidR="005634A2" w:rsidRPr="006165F3">
        <w:rPr>
          <w:sz w:val="20"/>
          <w:szCs w:val="20"/>
          <w:lang w:val="en-US"/>
        </w:rPr>
        <w:t>C</w:t>
      </w:r>
      <w:r w:rsidRPr="006165F3">
        <w:rPr>
          <w:sz w:val="20"/>
          <w:szCs w:val="20"/>
          <w:lang w:val="en-US"/>
        </w:rPr>
        <w:t>arbon intensity for the S&amp;P/</w:t>
      </w:r>
      <w:r w:rsidRPr="006165F3">
        <w:rPr>
          <w:sz w:val="20"/>
          <w:szCs w:val="20"/>
          <w:lang w:val="en-US"/>
        </w:rPr>
        <w:t xml:space="preserve">ASX200 ETF is sourced from the ANU Socially Responsible Investment Policy 2017 Report, which </w:t>
      </w:r>
      <w:r w:rsidR="005634A2" w:rsidRPr="006165F3">
        <w:rPr>
          <w:sz w:val="20"/>
          <w:szCs w:val="20"/>
          <w:lang w:val="en-US"/>
        </w:rPr>
        <w:t xml:space="preserve">is </w:t>
      </w:r>
      <w:r w:rsidRPr="006165F3">
        <w:rPr>
          <w:sz w:val="20"/>
          <w:szCs w:val="20"/>
          <w:lang w:val="en-US"/>
        </w:rPr>
        <w:t xml:space="preserve">the most recent data </w:t>
      </w:r>
      <w:r w:rsidR="005634A2" w:rsidRPr="006165F3">
        <w:rPr>
          <w:sz w:val="20"/>
          <w:szCs w:val="20"/>
          <w:lang w:val="en-US"/>
        </w:rPr>
        <w:t xml:space="preserve">we have </w:t>
      </w:r>
      <w:r w:rsidRPr="006165F3">
        <w:rPr>
          <w:sz w:val="20"/>
          <w:szCs w:val="20"/>
          <w:lang w:val="en-US"/>
        </w:rPr>
        <w:t>available. The ESG scores are based on analysis pe</w:t>
      </w:r>
      <w:r w:rsidR="009003E2" w:rsidRPr="006165F3">
        <w:rPr>
          <w:sz w:val="20"/>
          <w:szCs w:val="20"/>
          <w:lang w:val="en-US"/>
        </w:rPr>
        <w:t>rformed by Sustainalytics</w:t>
      </w:r>
      <w:r w:rsidR="006165F3">
        <w:rPr>
          <w:sz w:val="20"/>
          <w:szCs w:val="20"/>
          <w:lang w:val="en-US"/>
        </w:rPr>
        <w:t>,</w:t>
      </w:r>
      <w:r w:rsidR="00D97999" w:rsidRPr="006165F3">
        <w:rPr>
          <w:sz w:val="20"/>
          <w:szCs w:val="20"/>
          <w:lang w:val="en-US"/>
        </w:rPr>
        <w:t xml:space="preserve"> </w:t>
      </w:r>
      <w:r w:rsidR="009003E2" w:rsidRPr="006165F3">
        <w:rPr>
          <w:sz w:val="20"/>
          <w:szCs w:val="20"/>
          <w:lang w:val="en-US"/>
        </w:rPr>
        <w:t>and</w:t>
      </w:r>
      <w:r w:rsidRPr="006165F3">
        <w:rPr>
          <w:sz w:val="20"/>
          <w:szCs w:val="20"/>
          <w:lang w:val="en-US"/>
        </w:rPr>
        <w:t xml:space="preserve"> remains unchanged from</w:t>
      </w:r>
      <w:r w:rsidR="009003E2" w:rsidRPr="006165F3">
        <w:rPr>
          <w:sz w:val="20"/>
          <w:szCs w:val="20"/>
          <w:lang w:val="en-US"/>
        </w:rPr>
        <w:t xml:space="preserve"> the data presented in the SMF Annual Report 2018</w:t>
      </w:r>
      <w:r w:rsidRPr="006165F3">
        <w:rPr>
          <w:sz w:val="20"/>
          <w:szCs w:val="20"/>
          <w:lang w:val="en-US"/>
        </w:rPr>
        <w:t xml:space="preserve">. </w:t>
      </w:r>
      <w:r w:rsidR="000E5171" w:rsidRPr="006165F3">
        <w:rPr>
          <w:sz w:val="20"/>
          <w:szCs w:val="20"/>
          <w:lang w:val="en-US"/>
        </w:rPr>
        <w:t xml:space="preserve">The Bingo </w:t>
      </w:r>
      <w:r w:rsidR="003B07AD" w:rsidRPr="006165F3">
        <w:rPr>
          <w:sz w:val="20"/>
          <w:szCs w:val="20"/>
          <w:lang w:val="en-US"/>
        </w:rPr>
        <w:t>score</w:t>
      </w:r>
      <w:r w:rsidR="00C60F7F">
        <w:rPr>
          <w:sz w:val="20"/>
          <w:szCs w:val="20"/>
          <w:lang w:val="en-US"/>
        </w:rPr>
        <w:t xml:space="preserve"> uses</w:t>
      </w:r>
      <w:r w:rsidR="003C7DCD">
        <w:rPr>
          <w:sz w:val="20"/>
          <w:szCs w:val="20"/>
          <w:lang w:val="en-US"/>
        </w:rPr>
        <w:t xml:space="preserve"> an industry average, while</w:t>
      </w:r>
      <w:r w:rsidR="00EE4017" w:rsidRPr="006165F3">
        <w:rPr>
          <w:sz w:val="20"/>
          <w:szCs w:val="20"/>
          <w:lang w:val="en-US"/>
        </w:rPr>
        <w:t xml:space="preserve"> the ESG score for the ASX200 </w:t>
      </w:r>
      <w:r w:rsidR="00C60F7F">
        <w:rPr>
          <w:sz w:val="20"/>
          <w:szCs w:val="20"/>
          <w:lang w:val="en-US"/>
        </w:rPr>
        <w:t>uses</w:t>
      </w:r>
      <w:r w:rsidR="00B87ED7" w:rsidRPr="006165F3">
        <w:rPr>
          <w:sz w:val="20"/>
          <w:szCs w:val="20"/>
          <w:lang w:val="en-US"/>
        </w:rPr>
        <w:t xml:space="preserve"> a</w:t>
      </w:r>
      <w:r w:rsidR="006165F3">
        <w:rPr>
          <w:sz w:val="20"/>
          <w:szCs w:val="20"/>
          <w:lang w:val="en-US"/>
        </w:rPr>
        <w:t>n</w:t>
      </w:r>
      <w:r w:rsidR="00B87ED7" w:rsidRPr="006165F3">
        <w:rPr>
          <w:sz w:val="20"/>
          <w:szCs w:val="20"/>
          <w:lang w:val="en-US"/>
        </w:rPr>
        <w:t xml:space="preserve"> </w:t>
      </w:r>
      <w:r w:rsidR="008F5289" w:rsidRPr="006165F3">
        <w:rPr>
          <w:sz w:val="20"/>
          <w:szCs w:val="20"/>
        </w:rPr>
        <w:t>equally-weighted average</w:t>
      </w:r>
      <w:r w:rsidR="003B07AD" w:rsidRPr="006165F3">
        <w:rPr>
          <w:sz w:val="20"/>
          <w:szCs w:val="20"/>
        </w:rPr>
        <w:t xml:space="preserve"> which is consistent </w:t>
      </w:r>
      <w:r w:rsidR="005A7126" w:rsidRPr="006165F3">
        <w:rPr>
          <w:sz w:val="20"/>
          <w:szCs w:val="20"/>
        </w:rPr>
        <w:t>with the SMF</w:t>
      </w:r>
      <w:r w:rsidR="008F5289" w:rsidRPr="006165F3">
        <w:rPr>
          <w:sz w:val="20"/>
          <w:szCs w:val="20"/>
        </w:rPr>
        <w:t xml:space="preserve"> investment process that targets about 10 broadly equally-weighted positions. The market capitalisation-weighted average is shown in brackets for reference.</w:t>
      </w:r>
    </w:p>
    <w:p w14:paraId="30DFFFF0" w14:textId="61783327" w:rsidR="006B000B" w:rsidRPr="00AC697D" w:rsidRDefault="006B000B" w:rsidP="00A250F3">
      <w:pPr>
        <w:pStyle w:val="TableFigure"/>
        <w:spacing w:before="240" w:after="80" w:line="240" w:lineRule="auto"/>
        <w:jc w:val="left"/>
        <w:rPr>
          <w:sz w:val="22"/>
          <w:szCs w:val="22"/>
          <w:lang w:val="en-US"/>
        </w:rPr>
      </w:pPr>
      <w:r w:rsidRPr="00AC697D">
        <w:rPr>
          <w:sz w:val="22"/>
          <w:szCs w:val="22"/>
          <w:lang w:val="en-US"/>
        </w:rPr>
        <w:t xml:space="preserve">Figure </w:t>
      </w:r>
      <w:r w:rsidR="00932293">
        <w:rPr>
          <w:sz w:val="22"/>
          <w:szCs w:val="22"/>
          <w:lang w:val="en-US"/>
        </w:rPr>
        <w:t>5</w:t>
      </w:r>
      <w:r w:rsidRPr="00AC697D">
        <w:rPr>
          <w:sz w:val="22"/>
          <w:szCs w:val="22"/>
          <w:lang w:val="en-US"/>
        </w:rPr>
        <w:t>: Current Position of the AAE Component in regard to SRI Compliance</w:t>
      </w:r>
    </w:p>
    <w:tbl>
      <w:tblPr>
        <w:tblStyle w:val="TableGrid1"/>
        <w:tblW w:w="5036"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411"/>
        <w:gridCol w:w="1003"/>
        <w:gridCol w:w="1083"/>
        <w:gridCol w:w="728"/>
        <w:gridCol w:w="827"/>
        <w:gridCol w:w="983"/>
        <w:gridCol w:w="1372"/>
        <w:gridCol w:w="1383"/>
        <w:gridCol w:w="861"/>
      </w:tblGrid>
      <w:tr w:rsidR="009003E2" w:rsidRPr="004D414E" w14:paraId="732A9C27" w14:textId="67EEB390" w:rsidTr="009003E2">
        <w:trPr>
          <w:trHeight w:val="656"/>
        </w:trPr>
        <w:tc>
          <w:tcPr>
            <w:tcW w:w="714" w:type="pct"/>
            <w:tcBorders>
              <w:bottom w:val="nil"/>
            </w:tcBorders>
            <w:shd w:val="clear" w:color="auto" w:fill="DEEAF6"/>
          </w:tcPr>
          <w:p w14:paraId="68B0C6D2" w14:textId="77777777" w:rsidR="009003E2" w:rsidRPr="004D414E" w:rsidRDefault="009003E2" w:rsidP="009003E2">
            <w:pPr>
              <w:spacing w:before="180" w:after="120" w:line="252" w:lineRule="auto"/>
              <w:jc w:val="both"/>
              <w:rPr>
                <w:rFonts w:eastAsia="SimSun"/>
                <w:sz w:val="20"/>
                <w:szCs w:val="20"/>
                <w:lang w:val="en-US"/>
              </w:rPr>
            </w:pPr>
          </w:p>
        </w:tc>
        <w:tc>
          <w:tcPr>
            <w:tcW w:w="536" w:type="pct"/>
            <w:tcBorders>
              <w:bottom w:val="nil"/>
            </w:tcBorders>
            <w:shd w:val="clear" w:color="auto" w:fill="DEEAF6"/>
          </w:tcPr>
          <w:p w14:paraId="60C84FC9" w14:textId="77777777" w:rsidR="009003E2" w:rsidRPr="004D414E" w:rsidRDefault="009003E2" w:rsidP="009003E2">
            <w:pPr>
              <w:spacing w:before="60" w:after="60" w:line="252" w:lineRule="auto"/>
              <w:jc w:val="center"/>
              <w:rPr>
                <w:rFonts w:eastAsia="SimSun"/>
                <w:b/>
                <w:sz w:val="20"/>
                <w:szCs w:val="20"/>
                <w:lang w:val="en-US"/>
              </w:rPr>
            </w:pPr>
            <w:r w:rsidRPr="004D414E">
              <w:rPr>
                <w:rFonts w:eastAsia="SimSun"/>
                <w:b/>
                <w:sz w:val="20"/>
                <w:szCs w:val="20"/>
                <w:lang w:val="en-US"/>
              </w:rPr>
              <w:t>ASX200 ETF</w:t>
            </w:r>
          </w:p>
        </w:tc>
        <w:tc>
          <w:tcPr>
            <w:tcW w:w="561" w:type="pct"/>
            <w:tcBorders>
              <w:bottom w:val="nil"/>
            </w:tcBorders>
            <w:shd w:val="clear" w:color="auto" w:fill="DEEAF6"/>
          </w:tcPr>
          <w:p w14:paraId="04F47A54" w14:textId="09BC5B1B" w:rsidR="009003E2" w:rsidRPr="004D414E" w:rsidRDefault="009003E2" w:rsidP="009003E2">
            <w:pPr>
              <w:spacing w:before="60" w:after="60" w:line="252" w:lineRule="auto"/>
              <w:jc w:val="center"/>
              <w:rPr>
                <w:rFonts w:eastAsia="SimSun"/>
                <w:b/>
                <w:sz w:val="20"/>
                <w:szCs w:val="20"/>
                <w:lang w:val="en-US"/>
              </w:rPr>
            </w:pPr>
            <w:r w:rsidRPr="004D414E">
              <w:rPr>
                <w:rFonts w:eastAsia="SimSun"/>
                <w:b/>
                <w:sz w:val="20"/>
                <w:szCs w:val="20"/>
                <w:lang w:val="en-US"/>
              </w:rPr>
              <w:t>Bingo Industries (BIN)</w:t>
            </w:r>
          </w:p>
        </w:tc>
        <w:tc>
          <w:tcPr>
            <w:tcW w:w="377" w:type="pct"/>
            <w:tcBorders>
              <w:bottom w:val="nil"/>
            </w:tcBorders>
            <w:shd w:val="clear" w:color="auto" w:fill="DEEAF6"/>
          </w:tcPr>
          <w:p w14:paraId="7390C6E8" w14:textId="693DA767" w:rsidR="009003E2" w:rsidRPr="004D414E" w:rsidRDefault="009003E2" w:rsidP="006825EB">
            <w:pPr>
              <w:spacing w:before="60" w:after="60" w:line="252" w:lineRule="auto"/>
              <w:jc w:val="center"/>
              <w:rPr>
                <w:rFonts w:eastAsia="SimSun"/>
                <w:b/>
                <w:sz w:val="20"/>
                <w:szCs w:val="20"/>
                <w:lang w:val="en-US"/>
              </w:rPr>
            </w:pPr>
            <w:r w:rsidRPr="004D414E">
              <w:rPr>
                <w:rFonts w:eastAsia="SimSun"/>
                <w:b/>
                <w:sz w:val="20"/>
                <w:szCs w:val="20"/>
                <w:lang w:val="en-US"/>
              </w:rPr>
              <w:t>Rio Tinto (RIO)</w:t>
            </w:r>
          </w:p>
        </w:tc>
        <w:tc>
          <w:tcPr>
            <w:tcW w:w="428" w:type="pct"/>
            <w:tcBorders>
              <w:bottom w:val="nil"/>
            </w:tcBorders>
            <w:shd w:val="clear" w:color="auto" w:fill="DEEAF6"/>
          </w:tcPr>
          <w:p w14:paraId="7FA9C8A1" w14:textId="413A2123" w:rsidR="009003E2" w:rsidRPr="004D414E" w:rsidRDefault="009003E2" w:rsidP="009003E2">
            <w:pPr>
              <w:spacing w:before="60" w:after="60" w:line="252" w:lineRule="auto"/>
              <w:jc w:val="center"/>
              <w:rPr>
                <w:rFonts w:eastAsia="SimSun"/>
                <w:b/>
                <w:sz w:val="20"/>
                <w:szCs w:val="20"/>
                <w:lang w:val="en-US"/>
              </w:rPr>
            </w:pPr>
            <w:r w:rsidRPr="004D414E">
              <w:rPr>
                <w:rFonts w:eastAsia="SimSun"/>
                <w:b/>
                <w:sz w:val="20"/>
                <w:szCs w:val="20"/>
                <w:lang w:val="en-US"/>
              </w:rPr>
              <w:t>Telstra (TLS)</w:t>
            </w:r>
          </w:p>
        </w:tc>
        <w:tc>
          <w:tcPr>
            <w:tcW w:w="509" w:type="pct"/>
            <w:tcBorders>
              <w:bottom w:val="nil"/>
            </w:tcBorders>
            <w:shd w:val="clear" w:color="auto" w:fill="DEEAF6"/>
          </w:tcPr>
          <w:p w14:paraId="4B938480" w14:textId="77777777" w:rsidR="009003E2" w:rsidRPr="004D414E" w:rsidRDefault="009003E2" w:rsidP="009003E2">
            <w:pPr>
              <w:spacing w:before="60" w:after="60" w:line="252" w:lineRule="auto"/>
              <w:jc w:val="center"/>
              <w:rPr>
                <w:rFonts w:eastAsia="SimSun"/>
                <w:b/>
                <w:sz w:val="20"/>
                <w:szCs w:val="20"/>
                <w:lang w:val="en-US"/>
              </w:rPr>
            </w:pPr>
            <w:r w:rsidRPr="004D414E">
              <w:rPr>
                <w:rFonts w:eastAsia="SimSun"/>
                <w:b/>
                <w:sz w:val="20"/>
                <w:szCs w:val="20"/>
                <w:lang w:val="en-US"/>
              </w:rPr>
              <w:t>Total Active Stock Positions</w:t>
            </w:r>
          </w:p>
        </w:tc>
        <w:tc>
          <w:tcPr>
            <w:tcW w:w="711" w:type="pct"/>
            <w:tcBorders>
              <w:bottom w:val="nil"/>
            </w:tcBorders>
            <w:shd w:val="clear" w:color="auto" w:fill="DEEAF6"/>
          </w:tcPr>
          <w:p w14:paraId="754F02C8" w14:textId="77777777" w:rsidR="009003E2" w:rsidRPr="004D414E" w:rsidRDefault="009003E2" w:rsidP="009003E2">
            <w:pPr>
              <w:spacing w:before="60" w:after="60" w:line="252" w:lineRule="auto"/>
              <w:jc w:val="center"/>
              <w:rPr>
                <w:rFonts w:eastAsia="SimSun"/>
                <w:b/>
                <w:sz w:val="20"/>
                <w:szCs w:val="20"/>
                <w:lang w:val="en-US"/>
              </w:rPr>
            </w:pPr>
            <w:r w:rsidRPr="004D414E">
              <w:rPr>
                <w:rFonts w:eastAsia="SimSun"/>
                <w:b/>
                <w:sz w:val="20"/>
                <w:szCs w:val="20"/>
                <w:lang w:val="en-US"/>
              </w:rPr>
              <w:t xml:space="preserve">Active Stock Positions vs. S&amp;P/ASX200 </w:t>
            </w:r>
          </w:p>
        </w:tc>
        <w:tc>
          <w:tcPr>
            <w:tcW w:w="717" w:type="pct"/>
            <w:tcBorders>
              <w:bottom w:val="nil"/>
            </w:tcBorders>
            <w:shd w:val="clear" w:color="auto" w:fill="DEEAF6"/>
          </w:tcPr>
          <w:p w14:paraId="18D7D3AE" w14:textId="7EA85B07" w:rsidR="009003E2" w:rsidRPr="004D414E" w:rsidRDefault="009003E2" w:rsidP="009003E2">
            <w:pPr>
              <w:spacing w:before="60" w:after="60" w:line="252" w:lineRule="auto"/>
              <w:jc w:val="center"/>
              <w:rPr>
                <w:rFonts w:eastAsia="SimSun"/>
                <w:b/>
                <w:sz w:val="20"/>
                <w:szCs w:val="20"/>
                <w:lang w:val="en-US"/>
              </w:rPr>
            </w:pPr>
            <w:r>
              <w:rPr>
                <w:rFonts w:eastAsia="SimSun"/>
                <w:b/>
                <w:sz w:val="20"/>
                <w:szCs w:val="20"/>
                <w:lang w:val="en-US"/>
              </w:rPr>
              <w:t xml:space="preserve">Target Improvement </w:t>
            </w:r>
          </w:p>
        </w:tc>
        <w:tc>
          <w:tcPr>
            <w:tcW w:w="446" w:type="pct"/>
            <w:tcBorders>
              <w:bottom w:val="nil"/>
            </w:tcBorders>
            <w:shd w:val="clear" w:color="auto" w:fill="DEEAF6"/>
          </w:tcPr>
          <w:p w14:paraId="4B6B91EC" w14:textId="21797728" w:rsidR="009003E2" w:rsidRDefault="009003E2" w:rsidP="009003E2">
            <w:pPr>
              <w:spacing w:before="60" w:after="60" w:line="252" w:lineRule="auto"/>
              <w:jc w:val="center"/>
              <w:rPr>
                <w:rFonts w:eastAsia="SimSun"/>
                <w:b/>
                <w:sz w:val="20"/>
                <w:szCs w:val="20"/>
                <w:lang w:val="en-US"/>
              </w:rPr>
            </w:pPr>
            <w:r>
              <w:rPr>
                <w:rFonts w:eastAsia="SimSun"/>
                <w:b/>
                <w:sz w:val="20"/>
                <w:szCs w:val="20"/>
                <w:lang w:val="en-US"/>
              </w:rPr>
              <w:t>Margin</w:t>
            </w:r>
          </w:p>
        </w:tc>
      </w:tr>
      <w:tr w:rsidR="009003E2" w:rsidRPr="004D414E" w14:paraId="53079338" w14:textId="186A4B4D" w:rsidTr="009003E2">
        <w:trPr>
          <w:trHeight w:val="287"/>
        </w:trPr>
        <w:tc>
          <w:tcPr>
            <w:tcW w:w="714" w:type="pct"/>
            <w:tcBorders>
              <w:top w:val="nil"/>
              <w:bottom w:val="single" w:sz="4" w:space="0" w:color="auto"/>
            </w:tcBorders>
          </w:tcPr>
          <w:p w14:paraId="44B57AC8" w14:textId="77777777" w:rsidR="009003E2" w:rsidRPr="004D414E" w:rsidRDefault="009003E2" w:rsidP="009003E2">
            <w:pPr>
              <w:spacing w:before="60" w:after="60" w:line="252" w:lineRule="auto"/>
              <w:rPr>
                <w:rFonts w:eastAsia="SimSun"/>
                <w:sz w:val="20"/>
                <w:szCs w:val="20"/>
                <w:lang w:val="en-US"/>
              </w:rPr>
            </w:pPr>
            <w:r w:rsidRPr="004D414E">
              <w:rPr>
                <w:rFonts w:eastAsia="SimSun"/>
                <w:sz w:val="20"/>
                <w:szCs w:val="20"/>
                <w:lang w:val="en-US"/>
              </w:rPr>
              <w:t>Weighting in AAE portfolio</w:t>
            </w:r>
          </w:p>
        </w:tc>
        <w:tc>
          <w:tcPr>
            <w:tcW w:w="536" w:type="pct"/>
            <w:tcBorders>
              <w:top w:val="nil"/>
              <w:bottom w:val="single" w:sz="4" w:space="0" w:color="auto"/>
            </w:tcBorders>
          </w:tcPr>
          <w:p w14:paraId="013412D1" w14:textId="29225A36" w:rsidR="009003E2" w:rsidRPr="004D414E" w:rsidRDefault="009003E2" w:rsidP="009003E2">
            <w:pPr>
              <w:spacing w:before="60" w:after="60" w:line="252" w:lineRule="auto"/>
              <w:jc w:val="center"/>
              <w:rPr>
                <w:rFonts w:eastAsia="SimSun"/>
                <w:sz w:val="20"/>
                <w:szCs w:val="20"/>
                <w:lang w:val="en-US"/>
              </w:rPr>
            </w:pPr>
            <w:r>
              <w:rPr>
                <w:rFonts w:eastAsia="SimSun"/>
                <w:sz w:val="20"/>
                <w:szCs w:val="20"/>
                <w:lang w:val="en-US"/>
              </w:rPr>
              <w:t>81.</w:t>
            </w:r>
            <w:r w:rsidR="00B329CC">
              <w:rPr>
                <w:rFonts w:eastAsia="SimSun"/>
                <w:sz w:val="20"/>
                <w:szCs w:val="20"/>
                <w:lang w:val="en-US"/>
              </w:rPr>
              <w:t>3</w:t>
            </w:r>
            <w:r w:rsidRPr="004D414E">
              <w:rPr>
                <w:rFonts w:eastAsia="SimSun"/>
                <w:sz w:val="20"/>
                <w:szCs w:val="20"/>
                <w:lang w:val="en-US"/>
              </w:rPr>
              <w:t>%</w:t>
            </w:r>
          </w:p>
        </w:tc>
        <w:tc>
          <w:tcPr>
            <w:tcW w:w="561" w:type="pct"/>
            <w:tcBorders>
              <w:top w:val="nil"/>
              <w:bottom w:val="single" w:sz="4" w:space="0" w:color="auto"/>
            </w:tcBorders>
          </w:tcPr>
          <w:p w14:paraId="1E7D2E13" w14:textId="19FFD302" w:rsidR="009003E2" w:rsidRDefault="009003E2" w:rsidP="009003E2">
            <w:pPr>
              <w:spacing w:before="60" w:after="60" w:line="252" w:lineRule="auto"/>
              <w:jc w:val="center"/>
              <w:rPr>
                <w:rFonts w:eastAsia="SimSun"/>
                <w:sz w:val="20"/>
                <w:szCs w:val="20"/>
                <w:lang w:val="en-US"/>
              </w:rPr>
            </w:pPr>
            <w:r>
              <w:rPr>
                <w:rFonts w:eastAsia="SimSun"/>
                <w:sz w:val="20"/>
                <w:szCs w:val="20"/>
              </w:rPr>
              <w:t>5.7</w:t>
            </w:r>
            <w:r w:rsidRPr="004D414E">
              <w:rPr>
                <w:rFonts w:eastAsia="SimSun"/>
                <w:sz w:val="20"/>
                <w:szCs w:val="20"/>
              </w:rPr>
              <w:t>%</w:t>
            </w:r>
          </w:p>
        </w:tc>
        <w:tc>
          <w:tcPr>
            <w:tcW w:w="377" w:type="pct"/>
            <w:tcBorders>
              <w:top w:val="nil"/>
              <w:bottom w:val="single" w:sz="4" w:space="0" w:color="auto"/>
            </w:tcBorders>
          </w:tcPr>
          <w:p w14:paraId="68CBDEF4" w14:textId="0CA27FA5" w:rsidR="009003E2" w:rsidRDefault="009003E2" w:rsidP="009003E2">
            <w:pPr>
              <w:spacing w:before="60" w:after="60" w:line="252" w:lineRule="auto"/>
              <w:jc w:val="center"/>
              <w:rPr>
                <w:rFonts w:eastAsia="SimSun"/>
                <w:sz w:val="20"/>
                <w:szCs w:val="20"/>
                <w:lang w:val="en-US"/>
              </w:rPr>
            </w:pPr>
            <w:r w:rsidRPr="004D414E">
              <w:rPr>
                <w:rFonts w:eastAsia="SimSun"/>
                <w:sz w:val="20"/>
                <w:szCs w:val="20"/>
                <w:lang w:val="en-US"/>
              </w:rPr>
              <w:t>3.</w:t>
            </w:r>
            <w:r>
              <w:rPr>
                <w:rFonts w:eastAsia="SimSun"/>
                <w:sz w:val="20"/>
                <w:szCs w:val="20"/>
                <w:lang w:val="en-US"/>
              </w:rPr>
              <w:t>6</w:t>
            </w:r>
            <w:r w:rsidRPr="004D414E">
              <w:rPr>
                <w:rFonts w:eastAsia="SimSun"/>
                <w:sz w:val="20"/>
                <w:szCs w:val="20"/>
                <w:lang w:val="en-US"/>
              </w:rPr>
              <w:t>%</w:t>
            </w:r>
          </w:p>
        </w:tc>
        <w:tc>
          <w:tcPr>
            <w:tcW w:w="428" w:type="pct"/>
            <w:tcBorders>
              <w:top w:val="nil"/>
              <w:bottom w:val="single" w:sz="4" w:space="0" w:color="auto"/>
            </w:tcBorders>
          </w:tcPr>
          <w:p w14:paraId="45C28C54" w14:textId="12A33313" w:rsidR="009003E2" w:rsidRPr="004D414E" w:rsidRDefault="009003E2" w:rsidP="009003E2">
            <w:pPr>
              <w:spacing w:before="60" w:after="60" w:line="252" w:lineRule="auto"/>
              <w:jc w:val="center"/>
              <w:rPr>
                <w:rFonts w:eastAsia="SimSun"/>
                <w:sz w:val="20"/>
                <w:szCs w:val="20"/>
                <w:lang w:val="en-US"/>
              </w:rPr>
            </w:pPr>
            <w:r>
              <w:rPr>
                <w:rFonts w:eastAsia="SimSun"/>
                <w:sz w:val="20"/>
                <w:szCs w:val="20"/>
                <w:lang w:val="en-US"/>
              </w:rPr>
              <w:t>9.3</w:t>
            </w:r>
            <w:r w:rsidRPr="004D414E">
              <w:rPr>
                <w:rFonts w:eastAsia="SimSun"/>
                <w:sz w:val="20"/>
                <w:szCs w:val="20"/>
                <w:lang w:val="en-US"/>
              </w:rPr>
              <w:t>%</w:t>
            </w:r>
          </w:p>
        </w:tc>
        <w:tc>
          <w:tcPr>
            <w:tcW w:w="509" w:type="pct"/>
            <w:tcBorders>
              <w:top w:val="nil"/>
              <w:bottom w:val="single" w:sz="4" w:space="0" w:color="auto"/>
            </w:tcBorders>
          </w:tcPr>
          <w:p w14:paraId="33667483" w14:textId="0979B25C" w:rsidR="009003E2" w:rsidRPr="004D414E" w:rsidRDefault="009003E2" w:rsidP="009003E2">
            <w:pPr>
              <w:spacing w:before="60" w:after="60" w:line="252" w:lineRule="auto"/>
              <w:jc w:val="center"/>
              <w:rPr>
                <w:rFonts w:eastAsia="SimSun"/>
                <w:b/>
                <w:sz w:val="20"/>
                <w:szCs w:val="20"/>
                <w:lang w:val="en-US"/>
              </w:rPr>
            </w:pPr>
            <w:r w:rsidRPr="00AB52BB">
              <w:rPr>
                <w:rFonts w:eastAsia="SimSun"/>
                <w:b/>
                <w:sz w:val="20"/>
                <w:szCs w:val="20"/>
              </w:rPr>
              <w:t>18.</w:t>
            </w:r>
            <w:r w:rsidR="006B6B8C">
              <w:rPr>
                <w:rFonts w:eastAsia="SimSun"/>
                <w:b/>
                <w:sz w:val="20"/>
                <w:szCs w:val="20"/>
              </w:rPr>
              <w:t>7</w:t>
            </w:r>
            <w:r w:rsidRPr="004D414E">
              <w:rPr>
                <w:rFonts w:eastAsia="SimSun"/>
                <w:b/>
                <w:sz w:val="20"/>
                <w:szCs w:val="20"/>
              </w:rPr>
              <w:t>%</w:t>
            </w:r>
          </w:p>
        </w:tc>
        <w:tc>
          <w:tcPr>
            <w:tcW w:w="711" w:type="pct"/>
            <w:tcBorders>
              <w:top w:val="nil"/>
              <w:bottom w:val="single" w:sz="4" w:space="0" w:color="auto"/>
            </w:tcBorders>
          </w:tcPr>
          <w:p w14:paraId="7C909DED" w14:textId="77777777"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rPr>
              <w:t>-</w:t>
            </w:r>
          </w:p>
        </w:tc>
        <w:tc>
          <w:tcPr>
            <w:tcW w:w="717" w:type="pct"/>
            <w:tcBorders>
              <w:top w:val="nil"/>
              <w:bottom w:val="single" w:sz="4" w:space="0" w:color="auto"/>
            </w:tcBorders>
          </w:tcPr>
          <w:p w14:paraId="3756E830" w14:textId="1BB91A2D" w:rsidR="009003E2" w:rsidRPr="004D414E" w:rsidRDefault="009003E2" w:rsidP="009003E2">
            <w:pPr>
              <w:spacing w:before="60" w:after="60" w:line="252" w:lineRule="auto"/>
              <w:jc w:val="center"/>
              <w:rPr>
                <w:rFonts w:eastAsia="SimSun"/>
                <w:sz w:val="20"/>
                <w:szCs w:val="20"/>
              </w:rPr>
            </w:pPr>
            <w:r>
              <w:rPr>
                <w:rFonts w:eastAsia="SimSun"/>
                <w:sz w:val="20"/>
                <w:szCs w:val="20"/>
              </w:rPr>
              <w:t>-</w:t>
            </w:r>
          </w:p>
        </w:tc>
        <w:tc>
          <w:tcPr>
            <w:tcW w:w="446" w:type="pct"/>
            <w:tcBorders>
              <w:top w:val="nil"/>
              <w:bottom w:val="single" w:sz="4" w:space="0" w:color="auto"/>
            </w:tcBorders>
          </w:tcPr>
          <w:p w14:paraId="40D7922E" w14:textId="6A78C35C" w:rsidR="009003E2" w:rsidRPr="00AB52BB" w:rsidRDefault="009003E2" w:rsidP="009003E2">
            <w:pPr>
              <w:spacing w:before="60" w:after="60" w:line="252" w:lineRule="auto"/>
              <w:jc w:val="center"/>
              <w:rPr>
                <w:rFonts w:eastAsia="SimSun"/>
                <w:b/>
                <w:sz w:val="20"/>
                <w:szCs w:val="20"/>
              </w:rPr>
            </w:pPr>
            <w:r>
              <w:rPr>
                <w:rFonts w:eastAsia="SimSun"/>
                <w:b/>
                <w:sz w:val="20"/>
                <w:szCs w:val="20"/>
              </w:rPr>
              <w:t>-</w:t>
            </w:r>
          </w:p>
        </w:tc>
      </w:tr>
      <w:tr w:rsidR="009003E2" w:rsidRPr="004D414E" w14:paraId="1292DDBA" w14:textId="26D85CA6" w:rsidTr="009003E2">
        <w:trPr>
          <w:trHeight w:val="269"/>
        </w:trPr>
        <w:tc>
          <w:tcPr>
            <w:tcW w:w="714" w:type="pct"/>
            <w:tcBorders>
              <w:top w:val="single" w:sz="4" w:space="0" w:color="auto"/>
              <w:bottom w:val="single" w:sz="4" w:space="0" w:color="auto"/>
            </w:tcBorders>
          </w:tcPr>
          <w:p w14:paraId="64A7AA93" w14:textId="77777777" w:rsidR="009003E2" w:rsidRPr="004D414E" w:rsidRDefault="009003E2" w:rsidP="009003E2">
            <w:pPr>
              <w:spacing w:before="60" w:after="60" w:line="252" w:lineRule="auto"/>
              <w:jc w:val="both"/>
              <w:rPr>
                <w:rFonts w:eastAsia="SimSun"/>
                <w:sz w:val="20"/>
                <w:szCs w:val="20"/>
                <w:lang w:val="en-US"/>
              </w:rPr>
            </w:pPr>
            <w:r w:rsidRPr="004D414E">
              <w:rPr>
                <w:rFonts w:eastAsia="SimSun"/>
                <w:sz w:val="20"/>
                <w:szCs w:val="20"/>
                <w:lang w:val="en-US"/>
              </w:rPr>
              <w:t>Carbon intensity</w:t>
            </w:r>
          </w:p>
        </w:tc>
        <w:tc>
          <w:tcPr>
            <w:tcW w:w="536" w:type="pct"/>
            <w:tcBorders>
              <w:top w:val="single" w:sz="4" w:space="0" w:color="auto"/>
              <w:bottom w:val="single" w:sz="4" w:space="0" w:color="auto"/>
            </w:tcBorders>
          </w:tcPr>
          <w:p w14:paraId="0F47C470" w14:textId="77777777"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lang w:val="en-US"/>
              </w:rPr>
              <w:t>314.1</w:t>
            </w:r>
          </w:p>
        </w:tc>
        <w:tc>
          <w:tcPr>
            <w:tcW w:w="561" w:type="pct"/>
            <w:tcBorders>
              <w:top w:val="single" w:sz="4" w:space="0" w:color="auto"/>
              <w:bottom w:val="single" w:sz="4" w:space="0" w:color="auto"/>
            </w:tcBorders>
          </w:tcPr>
          <w:p w14:paraId="70C8EB4B" w14:textId="064EB00C"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rPr>
              <w:t>40.6</w:t>
            </w:r>
          </w:p>
        </w:tc>
        <w:tc>
          <w:tcPr>
            <w:tcW w:w="377" w:type="pct"/>
            <w:tcBorders>
              <w:top w:val="single" w:sz="4" w:space="0" w:color="auto"/>
              <w:bottom w:val="single" w:sz="4" w:space="0" w:color="auto"/>
            </w:tcBorders>
          </w:tcPr>
          <w:p w14:paraId="3FB4A59F" w14:textId="51078CBF"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lang w:val="en-US"/>
              </w:rPr>
              <w:t>565.3</w:t>
            </w:r>
          </w:p>
        </w:tc>
        <w:tc>
          <w:tcPr>
            <w:tcW w:w="428" w:type="pct"/>
            <w:tcBorders>
              <w:top w:val="single" w:sz="4" w:space="0" w:color="auto"/>
              <w:bottom w:val="single" w:sz="4" w:space="0" w:color="auto"/>
            </w:tcBorders>
          </w:tcPr>
          <w:p w14:paraId="4F47B9E7" w14:textId="6BA95285"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lang w:val="en-US"/>
              </w:rPr>
              <w:t>50.2</w:t>
            </w:r>
          </w:p>
        </w:tc>
        <w:tc>
          <w:tcPr>
            <w:tcW w:w="509" w:type="pct"/>
            <w:tcBorders>
              <w:top w:val="single" w:sz="4" w:space="0" w:color="auto"/>
              <w:bottom w:val="single" w:sz="4" w:space="0" w:color="auto"/>
            </w:tcBorders>
          </w:tcPr>
          <w:p w14:paraId="3B9336C8" w14:textId="6EA502E6" w:rsidR="009003E2" w:rsidRPr="004D414E" w:rsidRDefault="009003E2" w:rsidP="009003E2">
            <w:pPr>
              <w:spacing w:before="60" w:after="60" w:line="252" w:lineRule="auto"/>
              <w:jc w:val="center"/>
              <w:rPr>
                <w:rFonts w:eastAsia="SimSun"/>
                <w:b/>
                <w:sz w:val="20"/>
                <w:szCs w:val="20"/>
                <w:lang w:val="en-US"/>
              </w:rPr>
            </w:pPr>
            <w:r w:rsidRPr="004D414E">
              <w:rPr>
                <w:rFonts w:eastAsia="SimSun"/>
                <w:b/>
                <w:sz w:val="20"/>
                <w:szCs w:val="20"/>
              </w:rPr>
              <w:t>1</w:t>
            </w:r>
            <w:r w:rsidRPr="00AB52BB">
              <w:rPr>
                <w:rFonts w:eastAsia="SimSun"/>
                <w:b/>
                <w:sz w:val="20"/>
                <w:szCs w:val="20"/>
              </w:rPr>
              <w:t>48.0</w:t>
            </w:r>
          </w:p>
        </w:tc>
        <w:tc>
          <w:tcPr>
            <w:tcW w:w="711" w:type="pct"/>
            <w:tcBorders>
              <w:top w:val="single" w:sz="4" w:space="0" w:color="auto"/>
              <w:bottom w:val="single" w:sz="4" w:space="0" w:color="auto"/>
            </w:tcBorders>
          </w:tcPr>
          <w:p w14:paraId="19A964F5" w14:textId="30F26E1A"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rPr>
              <w:t>-</w:t>
            </w:r>
            <w:r>
              <w:rPr>
                <w:rFonts w:eastAsia="SimSun"/>
                <w:sz w:val="20"/>
                <w:szCs w:val="20"/>
              </w:rPr>
              <w:t>53.0</w:t>
            </w:r>
            <w:r w:rsidRPr="004D414E">
              <w:rPr>
                <w:rFonts w:eastAsia="SimSun"/>
                <w:sz w:val="20"/>
                <w:szCs w:val="20"/>
              </w:rPr>
              <w:t>%</w:t>
            </w:r>
          </w:p>
        </w:tc>
        <w:tc>
          <w:tcPr>
            <w:tcW w:w="717" w:type="pct"/>
            <w:tcBorders>
              <w:top w:val="single" w:sz="4" w:space="0" w:color="auto"/>
              <w:bottom w:val="single" w:sz="4" w:space="0" w:color="auto"/>
            </w:tcBorders>
          </w:tcPr>
          <w:p w14:paraId="2EEE2AA4" w14:textId="6B6ECA6F" w:rsidR="009003E2" w:rsidRPr="004D414E" w:rsidRDefault="009003E2" w:rsidP="009003E2">
            <w:pPr>
              <w:spacing w:before="60" w:after="60" w:line="252" w:lineRule="auto"/>
              <w:jc w:val="center"/>
              <w:rPr>
                <w:rFonts w:eastAsia="SimSun"/>
                <w:sz w:val="20"/>
                <w:szCs w:val="20"/>
              </w:rPr>
            </w:pPr>
            <w:r>
              <w:rPr>
                <w:rFonts w:eastAsia="SimSun"/>
                <w:sz w:val="20"/>
                <w:szCs w:val="20"/>
              </w:rPr>
              <w:t>-25%</w:t>
            </w:r>
          </w:p>
        </w:tc>
        <w:tc>
          <w:tcPr>
            <w:tcW w:w="446" w:type="pct"/>
            <w:tcBorders>
              <w:top w:val="single" w:sz="4" w:space="0" w:color="auto"/>
              <w:bottom w:val="single" w:sz="4" w:space="0" w:color="auto"/>
            </w:tcBorders>
          </w:tcPr>
          <w:p w14:paraId="55672698" w14:textId="4D72E01D" w:rsidR="009003E2" w:rsidRPr="00AB52BB" w:rsidRDefault="009003E2" w:rsidP="009003E2">
            <w:pPr>
              <w:spacing w:before="60" w:after="60" w:line="252" w:lineRule="auto"/>
              <w:jc w:val="center"/>
              <w:rPr>
                <w:rFonts w:eastAsia="SimSun"/>
                <w:b/>
                <w:sz w:val="20"/>
                <w:szCs w:val="20"/>
              </w:rPr>
            </w:pPr>
            <w:r w:rsidRPr="00AB52BB">
              <w:rPr>
                <w:rFonts w:eastAsia="SimSun"/>
                <w:b/>
                <w:sz w:val="20"/>
                <w:szCs w:val="20"/>
              </w:rPr>
              <w:t>28.0%</w:t>
            </w:r>
          </w:p>
        </w:tc>
      </w:tr>
      <w:tr w:rsidR="009003E2" w:rsidRPr="004D414E" w14:paraId="2CE6C841" w14:textId="5746C39D" w:rsidTr="009003E2">
        <w:trPr>
          <w:trHeight w:val="276"/>
        </w:trPr>
        <w:tc>
          <w:tcPr>
            <w:tcW w:w="714" w:type="pct"/>
            <w:tcBorders>
              <w:top w:val="single" w:sz="4" w:space="0" w:color="auto"/>
            </w:tcBorders>
            <w:vAlign w:val="center"/>
          </w:tcPr>
          <w:p w14:paraId="7BE5E1E0" w14:textId="20F4EDAC" w:rsidR="009003E2" w:rsidRDefault="009003E2" w:rsidP="009003E2">
            <w:pPr>
              <w:spacing w:before="60" w:after="120" w:line="252" w:lineRule="auto"/>
              <w:rPr>
                <w:rFonts w:eastAsia="SimSun"/>
                <w:sz w:val="20"/>
                <w:szCs w:val="20"/>
                <w:lang w:val="en-US"/>
              </w:rPr>
            </w:pPr>
            <w:r w:rsidRPr="004D414E">
              <w:rPr>
                <w:rFonts w:eastAsia="SimSun"/>
                <w:sz w:val="20"/>
                <w:szCs w:val="20"/>
                <w:lang w:val="en-US"/>
              </w:rPr>
              <w:t>ESG score</w:t>
            </w:r>
          </w:p>
          <w:p w14:paraId="2750F06E" w14:textId="2FCED63F" w:rsidR="009003E2" w:rsidRPr="004D414E" w:rsidRDefault="00675A53" w:rsidP="009003E2">
            <w:pPr>
              <w:spacing w:before="60" w:after="60" w:line="252" w:lineRule="auto"/>
              <w:rPr>
                <w:rFonts w:eastAsia="SimSun"/>
                <w:sz w:val="20"/>
                <w:szCs w:val="20"/>
                <w:lang w:val="en-US"/>
              </w:rPr>
            </w:pPr>
            <w:r>
              <w:rPr>
                <w:rFonts w:eastAsia="SimSun"/>
                <w:sz w:val="20"/>
                <w:szCs w:val="20"/>
                <w:lang w:val="en-US"/>
              </w:rPr>
              <w:t>(</w:t>
            </w:r>
            <w:r w:rsidR="009003E2">
              <w:rPr>
                <w:rFonts w:eastAsia="SimSun"/>
                <w:sz w:val="20"/>
                <w:szCs w:val="20"/>
                <w:lang w:val="en-US"/>
              </w:rPr>
              <w:t>S&amp;PASX200, cap weighted</w:t>
            </w:r>
            <w:r>
              <w:rPr>
                <w:rFonts w:eastAsia="SimSun"/>
                <w:sz w:val="20"/>
                <w:szCs w:val="20"/>
                <w:lang w:val="en-US"/>
              </w:rPr>
              <w:t>)</w:t>
            </w:r>
          </w:p>
        </w:tc>
        <w:tc>
          <w:tcPr>
            <w:tcW w:w="536" w:type="pct"/>
            <w:tcBorders>
              <w:top w:val="single" w:sz="4" w:space="0" w:color="auto"/>
            </w:tcBorders>
          </w:tcPr>
          <w:p w14:paraId="6DF791A4" w14:textId="7DB5FCBF"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lang w:val="en-US"/>
              </w:rPr>
              <w:t>58.8</w:t>
            </w:r>
          </w:p>
          <w:p w14:paraId="42FF6CB2" w14:textId="77777777" w:rsidR="009003E2" w:rsidRDefault="009003E2" w:rsidP="009003E2">
            <w:pPr>
              <w:spacing w:before="60" w:after="60" w:line="252" w:lineRule="auto"/>
              <w:jc w:val="center"/>
              <w:rPr>
                <w:rFonts w:eastAsia="SimSun"/>
                <w:sz w:val="20"/>
                <w:szCs w:val="20"/>
                <w:lang w:val="en-US"/>
              </w:rPr>
            </w:pPr>
          </w:p>
          <w:p w14:paraId="7A8AB08E" w14:textId="0CEB8950"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lang w:val="en-US"/>
              </w:rPr>
              <w:t>(+65.8)</w:t>
            </w:r>
          </w:p>
        </w:tc>
        <w:tc>
          <w:tcPr>
            <w:tcW w:w="561" w:type="pct"/>
            <w:tcBorders>
              <w:top w:val="single" w:sz="4" w:space="0" w:color="auto"/>
            </w:tcBorders>
          </w:tcPr>
          <w:p w14:paraId="421A720B" w14:textId="13C4784E"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rPr>
              <w:t>58.3</w:t>
            </w:r>
          </w:p>
        </w:tc>
        <w:tc>
          <w:tcPr>
            <w:tcW w:w="377" w:type="pct"/>
            <w:tcBorders>
              <w:top w:val="single" w:sz="4" w:space="0" w:color="auto"/>
            </w:tcBorders>
          </w:tcPr>
          <w:p w14:paraId="673886B3" w14:textId="29AF50E2"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lang w:val="en-US"/>
              </w:rPr>
              <w:t>68.0</w:t>
            </w:r>
          </w:p>
        </w:tc>
        <w:tc>
          <w:tcPr>
            <w:tcW w:w="428" w:type="pct"/>
            <w:tcBorders>
              <w:top w:val="single" w:sz="4" w:space="0" w:color="auto"/>
            </w:tcBorders>
          </w:tcPr>
          <w:p w14:paraId="35A41EFD" w14:textId="0C54ACA1"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lang w:val="en-US"/>
              </w:rPr>
              <w:t>74.0</w:t>
            </w:r>
          </w:p>
        </w:tc>
        <w:tc>
          <w:tcPr>
            <w:tcW w:w="509" w:type="pct"/>
            <w:tcBorders>
              <w:top w:val="single" w:sz="4" w:space="0" w:color="auto"/>
            </w:tcBorders>
          </w:tcPr>
          <w:p w14:paraId="5DCA6F94" w14:textId="77DCC65B" w:rsidR="009003E2" w:rsidRPr="004D414E" w:rsidRDefault="009003E2" w:rsidP="009003E2">
            <w:pPr>
              <w:spacing w:before="60" w:after="60" w:line="252" w:lineRule="auto"/>
              <w:jc w:val="center"/>
              <w:rPr>
                <w:rFonts w:eastAsia="SimSun"/>
                <w:b/>
                <w:sz w:val="20"/>
                <w:szCs w:val="20"/>
                <w:lang w:val="en-US"/>
              </w:rPr>
            </w:pPr>
            <w:r w:rsidRPr="004D414E">
              <w:rPr>
                <w:rFonts w:eastAsia="SimSun"/>
                <w:b/>
                <w:sz w:val="20"/>
                <w:szCs w:val="20"/>
              </w:rPr>
              <w:t>6</w:t>
            </w:r>
            <w:r w:rsidRPr="00AB52BB">
              <w:rPr>
                <w:rFonts w:eastAsia="SimSun"/>
                <w:b/>
                <w:sz w:val="20"/>
                <w:szCs w:val="20"/>
              </w:rPr>
              <w:t>8.</w:t>
            </w:r>
            <w:r w:rsidR="006B6B8C">
              <w:rPr>
                <w:rFonts w:eastAsia="SimSun"/>
                <w:b/>
                <w:sz w:val="20"/>
                <w:szCs w:val="20"/>
              </w:rPr>
              <w:t>0</w:t>
            </w:r>
          </w:p>
        </w:tc>
        <w:tc>
          <w:tcPr>
            <w:tcW w:w="711" w:type="pct"/>
            <w:tcBorders>
              <w:top w:val="single" w:sz="4" w:space="0" w:color="auto"/>
            </w:tcBorders>
          </w:tcPr>
          <w:p w14:paraId="3A276937" w14:textId="2A8B0677" w:rsidR="009003E2" w:rsidRPr="004D414E" w:rsidRDefault="009003E2" w:rsidP="009003E2">
            <w:pPr>
              <w:spacing w:before="60" w:after="60" w:line="252" w:lineRule="auto"/>
              <w:jc w:val="center"/>
              <w:rPr>
                <w:rFonts w:eastAsia="SimSun"/>
                <w:sz w:val="20"/>
                <w:szCs w:val="20"/>
              </w:rPr>
            </w:pPr>
            <w:r w:rsidRPr="004D414E">
              <w:rPr>
                <w:rFonts w:eastAsia="SimSun"/>
                <w:sz w:val="20"/>
                <w:szCs w:val="20"/>
              </w:rPr>
              <w:t>+</w:t>
            </w:r>
            <w:r>
              <w:rPr>
                <w:rFonts w:eastAsia="SimSun"/>
                <w:sz w:val="20"/>
                <w:szCs w:val="20"/>
              </w:rPr>
              <w:t>15.</w:t>
            </w:r>
            <w:r w:rsidR="00D56472">
              <w:rPr>
                <w:rFonts w:eastAsia="SimSun"/>
                <w:sz w:val="20"/>
                <w:szCs w:val="20"/>
              </w:rPr>
              <w:t>7</w:t>
            </w:r>
            <w:r w:rsidRPr="004D414E">
              <w:rPr>
                <w:rFonts w:eastAsia="SimSun"/>
                <w:sz w:val="20"/>
                <w:szCs w:val="20"/>
              </w:rPr>
              <w:t xml:space="preserve">% </w:t>
            </w:r>
          </w:p>
          <w:p w14:paraId="19AFE921" w14:textId="77777777" w:rsidR="009003E2" w:rsidRDefault="009003E2" w:rsidP="009003E2">
            <w:pPr>
              <w:spacing w:before="60" w:after="60" w:line="252" w:lineRule="auto"/>
              <w:jc w:val="center"/>
              <w:rPr>
                <w:rFonts w:eastAsia="SimSun"/>
                <w:sz w:val="20"/>
                <w:szCs w:val="20"/>
              </w:rPr>
            </w:pPr>
          </w:p>
          <w:p w14:paraId="14FC44C4" w14:textId="7DFC6F63" w:rsidR="009003E2" w:rsidRPr="004D414E" w:rsidRDefault="009003E2" w:rsidP="009003E2">
            <w:pPr>
              <w:spacing w:before="60" w:after="60" w:line="252" w:lineRule="auto"/>
              <w:jc w:val="center"/>
              <w:rPr>
                <w:rFonts w:eastAsia="SimSun"/>
                <w:sz w:val="20"/>
                <w:szCs w:val="20"/>
                <w:lang w:val="en-US"/>
              </w:rPr>
            </w:pPr>
            <w:r w:rsidRPr="004D414E">
              <w:rPr>
                <w:rFonts w:eastAsia="SimSun"/>
                <w:sz w:val="20"/>
                <w:szCs w:val="20"/>
              </w:rPr>
              <w:t>(+</w:t>
            </w:r>
            <w:r w:rsidR="002636E9">
              <w:rPr>
                <w:rFonts w:eastAsia="SimSun"/>
                <w:sz w:val="20"/>
                <w:szCs w:val="20"/>
              </w:rPr>
              <w:t>3</w:t>
            </w:r>
            <w:r w:rsidR="005572D1">
              <w:rPr>
                <w:rFonts w:eastAsia="SimSun"/>
                <w:sz w:val="20"/>
                <w:szCs w:val="20"/>
              </w:rPr>
              <w:t>.36</w:t>
            </w:r>
            <w:r w:rsidRPr="004D414E">
              <w:rPr>
                <w:rFonts w:eastAsia="SimSun"/>
                <w:sz w:val="20"/>
                <w:szCs w:val="20"/>
              </w:rPr>
              <w:t>%)</w:t>
            </w:r>
          </w:p>
        </w:tc>
        <w:tc>
          <w:tcPr>
            <w:tcW w:w="717" w:type="pct"/>
            <w:tcBorders>
              <w:top w:val="single" w:sz="4" w:space="0" w:color="auto"/>
            </w:tcBorders>
          </w:tcPr>
          <w:p w14:paraId="675092D5" w14:textId="70538E4C" w:rsidR="009003E2" w:rsidRPr="004D414E" w:rsidRDefault="009003E2" w:rsidP="009003E2">
            <w:pPr>
              <w:spacing w:before="60" w:after="60" w:line="252" w:lineRule="auto"/>
              <w:jc w:val="center"/>
              <w:rPr>
                <w:rFonts w:eastAsia="SimSun"/>
                <w:sz w:val="20"/>
                <w:szCs w:val="20"/>
              </w:rPr>
            </w:pPr>
            <w:r>
              <w:rPr>
                <w:rFonts w:eastAsia="SimSun"/>
                <w:sz w:val="20"/>
                <w:szCs w:val="20"/>
              </w:rPr>
              <w:t>10%</w:t>
            </w:r>
          </w:p>
        </w:tc>
        <w:tc>
          <w:tcPr>
            <w:tcW w:w="446" w:type="pct"/>
            <w:tcBorders>
              <w:top w:val="single" w:sz="4" w:space="0" w:color="auto"/>
            </w:tcBorders>
          </w:tcPr>
          <w:p w14:paraId="50CB41FD" w14:textId="1B78465C" w:rsidR="009003E2" w:rsidRPr="00AB52BB" w:rsidRDefault="009003E2" w:rsidP="009003E2">
            <w:pPr>
              <w:spacing w:before="60" w:after="60" w:line="252" w:lineRule="auto"/>
              <w:jc w:val="center"/>
              <w:rPr>
                <w:rFonts w:eastAsia="SimSun"/>
                <w:b/>
                <w:sz w:val="20"/>
                <w:szCs w:val="20"/>
              </w:rPr>
            </w:pPr>
            <w:r>
              <w:rPr>
                <w:rFonts w:eastAsia="SimSun"/>
                <w:b/>
                <w:sz w:val="20"/>
                <w:szCs w:val="20"/>
              </w:rPr>
              <w:t>5.</w:t>
            </w:r>
            <w:r w:rsidR="00DE5C23">
              <w:rPr>
                <w:rFonts w:eastAsia="SimSun"/>
                <w:b/>
                <w:sz w:val="20"/>
                <w:szCs w:val="20"/>
              </w:rPr>
              <w:t>7</w:t>
            </w:r>
            <w:r>
              <w:rPr>
                <w:rFonts w:eastAsia="SimSun"/>
                <w:b/>
                <w:sz w:val="20"/>
                <w:szCs w:val="20"/>
              </w:rPr>
              <w:t>%</w:t>
            </w:r>
          </w:p>
        </w:tc>
      </w:tr>
    </w:tbl>
    <w:p w14:paraId="7083B0DE" w14:textId="77777777" w:rsidR="006165F3" w:rsidRDefault="009166F4" w:rsidP="00DB1C64">
      <w:pPr>
        <w:spacing w:before="240"/>
        <w:jc w:val="both"/>
        <w:rPr>
          <w:sz w:val="20"/>
          <w:szCs w:val="20"/>
          <w:lang w:val="en-US"/>
        </w:rPr>
      </w:pPr>
      <w:r w:rsidRPr="002C3CF3">
        <w:rPr>
          <w:sz w:val="20"/>
          <w:szCs w:val="20"/>
          <w:lang w:val="en-US"/>
        </w:rPr>
        <w:t xml:space="preserve">The SMF portfolio </w:t>
      </w:r>
      <w:r w:rsidR="001F0639" w:rsidRPr="002C3CF3">
        <w:rPr>
          <w:sz w:val="20"/>
          <w:szCs w:val="20"/>
          <w:lang w:val="en-US"/>
        </w:rPr>
        <w:t xml:space="preserve">is in </w:t>
      </w:r>
      <w:r w:rsidR="00AD7311">
        <w:rPr>
          <w:sz w:val="20"/>
          <w:szCs w:val="20"/>
          <w:lang w:val="en-US"/>
        </w:rPr>
        <w:t>full</w:t>
      </w:r>
      <w:r w:rsidR="001F0639" w:rsidRPr="002C3CF3">
        <w:rPr>
          <w:sz w:val="20"/>
          <w:szCs w:val="20"/>
          <w:lang w:val="en-US"/>
        </w:rPr>
        <w:t xml:space="preserve"> </w:t>
      </w:r>
      <w:r w:rsidRPr="002C3CF3">
        <w:rPr>
          <w:sz w:val="20"/>
          <w:szCs w:val="20"/>
          <w:lang w:val="en-US"/>
        </w:rPr>
        <w:t xml:space="preserve">compliance with </w:t>
      </w:r>
      <w:r w:rsidR="001F0639" w:rsidRPr="002C3CF3">
        <w:rPr>
          <w:sz w:val="20"/>
          <w:szCs w:val="20"/>
          <w:lang w:val="en-US"/>
        </w:rPr>
        <w:t>the SMF</w:t>
      </w:r>
      <w:r w:rsidRPr="002C3CF3">
        <w:rPr>
          <w:sz w:val="20"/>
          <w:szCs w:val="20"/>
          <w:lang w:val="en-US"/>
        </w:rPr>
        <w:t xml:space="preserve"> SRI policy </w:t>
      </w:r>
      <w:r w:rsidR="00AD7311" w:rsidRPr="002C3CF3">
        <w:rPr>
          <w:sz w:val="20"/>
          <w:szCs w:val="20"/>
          <w:lang w:val="en-US"/>
        </w:rPr>
        <w:t>regarding</w:t>
      </w:r>
      <w:r w:rsidRPr="002C3CF3">
        <w:rPr>
          <w:sz w:val="20"/>
          <w:szCs w:val="20"/>
          <w:lang w:val="en-US"/>
        </w:rPr>
        <w:t xml:space="preserve"> holdings in the active inves</w:t>
      </w:r>
      <w:r w:rsidR="009003E2">
        <w:rPr>
          <w:sz w:val="20"/>
          <w:szCs w:val="20"/>
          <w:lang w:val="en-US"/>
        </w:rPr>
        <w:t>tments in Bingo, Rio Tinto and Telstra</w:t>
      </w:r>
      <w:r w:rsidRPr="002C3CF3">
        <w:rPr>
          <w:sz w:val="20"/>
          <w:szCs w:val="20"/>
          <w:lang w:val="en-US"/>
        </w:rPr>
        <w:t xml:space="preserve">. This is </w:t>
      </w:r>
      <w:r w:rsidR="00AD7311">
        <w:rPr>
          <w:sz w:val="20"/>
          <w:szCs w:val="20"/>
          <w:lang w:val="en-US"/>
        </w:rPr>
        <w:t>demonstrated</w:t>
      </w:r>
      <w:r w:rsidRPr="002C3CF3">
        <w:rPr>
          <w:sz w:val="20"/>
          <w:szCs w:val="20"/>
          <w:lang w:val="en-US"/>
        </w:rPr>
        <w:t xml:space="preserve"> by a -</w:t>
      </w:r>
      <w:r w:rsidR="008479FB">
        <w:rPr>
          <w:sz w:val="20"/>
          <w:szCs w:val="20"/>
          <w:lang w:val="en-US"/>
        </w:rPr>
        <w:t>53</w:t>
      </w:r>
      <w:r w:rsidRPr="002C3CF3">
        <w:rPr>
          <w:sz w:val="20"/>
          <w:szCs w:val="20"/>
          <w:lang w:val="en-US"/>
        </w:rPr>
        <w:t>.0% reduction in carbon intensity against the required -25%</w:t>
      </w:r>
      <w:r w:rsidR="009003E2">
        <w:rPr>
          <w:sz w:val="20"/>
          <w:szCs w:val="20"/>
          <w:lang w:val="en-US"/>
        </w:rPr>
        <w:t>,</w:t>
      </w:r>
      <w:r w:rsidR="008479FB">
        <w:rPr>
          <w:sz w:val="20"/>
          <w:szCs w:val="20"/>
          <w:lang w:val="en-US"/>
        </w:rPr>
        <w:t xml:space="preserve"> and a 15.</w:t>
      </w:r>
      <w:r w:rsidR="00DE5C23">
        <w:rPr>
          <w:sz w:val="20"/>
          <w:szCs w:val="20"/>
          <w:lang w:val="en-US"/>
        </w:rPr>
        <w:t>7</w:t>
      </w:r>
      <w:r w:rsidR="008479FB">
        <w:rPr>
          <w:sz w:val="20"/>
          <w:szCs w:val="20"/>
          <w:lang w:val="en-US"/>
        </w:rPr>
        <w:t xml:space="preserve">% </w:t>
      </w:r>
      <w:r w:rsidRPr="002C3CF3">
        <w:rPr>
          <w:sz w:val="20"/>
          <w:szCs w:val="20"/>
          <w:lang w:val="en-US"/>
        </w:rPr>
        <w:t>improvement in ESG score</w:t>
      </w:r>
      <w:r w:rsidR="00810704">
        <w:rPr>
          <w:sz w:val="20"/>
          <w:szCs w:val="20"/>
          <w:lang w:val="en-US"/>
        </w:rPr>
        <w:t xml:space="preserve"> against a required 1</w:t>
      </w:r>
      <w:r w:rsidRPr="002C3CF3">
        <w:rPr>
          <w:sz w:val="20"/>
          <w:szCs w:val="20"/>
          <w:lang w:val="en-US"/>
        </w:rPr>
        <w:t>0%.</w:t>
      </w:r>
      <w:r w:rsidR="00096772">
        <w:rPr>
          <w:sz w:val="20"/>
          <w:szCs w:val="20"/>
          <w:lang w:val="en-US"/>
        </w:rPr>
        <w:t xml:space="preserve"> </w:t>
      </w:r>
    </w:p>
    <w:p w14:paraId="75466CA4" w14:textId="5340697C" w:rsidR="001F0639" w:rsidRPr="002C3CF3" w:rsidRDefault="00096772" w:rsidP="00DB1C64">
      <w:pPr>
        <w:spacing w:before="240"/>
        <w:jc w:val="both"/>
        <w:rPr>
          <w:sz w:val="20"/>
          <w:szCs w:val="20"/>
          <w:lang w:val="en-US"/>
        </w:rPr>
      </w:pPr>
      <w:r>
        <w:rPr>
          <w:sz w:val="20"/>
          <w:szCs w:val="20"/>
          <w:lang w:val="en-US"/>
        </w:rPr>
        <w:t>Conditions four and five are evaluated on an ongoing basis by the Fund regarding our existing investments</w:t>
      </w:r>
      <w:r w:rsidR="006165F3">
        <w:rPr>
          <w:sz w:val="20"/>
          <w:szCs w:val="20"/>
          <w:lang w:val="en-US"/>
        </w:rPr>
        <w:t>,</w:t>
      </w:r>
      <w:r>
        <w:rPr>
          <w:sz w:val="20"/>
          <w:szCs w:val="20"/>
          <w:lang w:val="en-US"/>
        </w:rPr>
        <w:t xml:space="preserve"> and </w:t>
      </w:r>
      <w:r w:rsidR="00C26DB7">
        <w:rPr>
          <w:sz w:val="20"/>
          <w:szCs w:val="20"/>
          <w:lang w:val="en-US"/>
        </w:rPr>
        <w:t xml:space="preserve">throughout analysis </w:t>
      </w:r>
      <w:r w:rsidR="006165F3">
        <w:rPr>
          <w:sz w:val="20"/>
          <w:szCs w:val="20"/>
          <w:lang w:val="en-US"/>
        </w:rPr>
        <w:t xml:space="preserve">of </w:t>
      </w:r>
      <w:r w:rsidR="00C26DB7">
        <w:rPr>
          <w:sz w:val="20"/>
          <w:szCs w:val="20"/>
          <w:lang w:val="en-US"/>
        </w:rPr>
        <w:t>prospective stock</w:t>
      </w:r>
      <w:r w:rsidR="006165F3">
        <w:rPr>
          <w:sz w:val="20"/>
          <w:szCs w:val="20"/>
          <w:lang w:val="en-US"/>
        </w:rPr>
        <w:t xml:space="preserve"> investments</w:t>
      </w:r>
      <w:r w:rsidR="00C26DB7">
        <w:rPr>
          <w:sz w:val="20"/>
          <w:szCs w:val="20"/>
          <w:lang w:val="en-US"/>
        </w:rPr>
        <w:t>.</w:t>
      </w:r>
      <w:r w:rsidR="00961521" w:rsidRPr="002C3CF3">
        <w:rPr>
          <w:sz w:val="20"/>
          <w:szCs w:val="20"/>
          <w:lang w:val="en-US"/>
        </w:rPr>
        <w:t xml:space="preserve"> </w:t>
      </w:r>
      <w:r w:rsidR="009003E2">
        <w:rPr>
          <w:sz w:val="20"/>
          <w:szCs w:val="20"/>
          <w:lang w:val="en-US"/>
        </w:rPr>
        <w:t xml:space="preserve">To this effect, the SMF decided not to pursue some candidate stocks during the current semester on the basis </w:t>
      </w:r>
      <w:r w:rsidR="00215C1A">
        <w:rPr>
          <w:sz w:val="20"/>
          <w:szCs w:val="20"/>
          <w:lang w:val="en-US"/>
        </w:rPr>
        <w:t xml:space="preserve">of </w:t>
      </w:r>
      <w:r w:rsidR="009003E2">
        <w:rPr>
          <w:sz w:val="20"/>
          <w:szCs w:val="20"/>
          <w:lang w:val="en-US"/>
        </w:rPr>
        <w:t xml:space="preserve">the combined view of the AAE and R&amp;C teams that the companies may have been causing social injury. </w:t>
      </w:r>
      <w:r w:rsidR="001F0639" w:rsidRPr="002C3CF3">
        <w:rPr>
          <w:sz w:val="20"/>
          <w:szCs w:val="20"/>
          <w:lang w:val="en-US"/>
        </w:rPr>
        <w:t xml:space="preserve">Once the AAE </w:t>
      </w:r>
      <w:r w:rsidR="00215C1A">
        <w:rPr>
          <w:sz w:val="20"/>
          <w:szCs w:val="20"/>
          <w:lang w:val="en-US"/>
        </w:rPr>
        <w:t>p</w:t>
      </w:r>
      <w:r w:rsidR="001F0639" w:rsidRPr="002C3CF3">
        <w:rPr>
          <w:sz w:val="20"/>
          <w:szCs w:val="20"/>
          <w:lang w:val="en-US"/>
        </w:rPr>
        <w:t>ortfolio is fully invested in active stock positions, as against its current partial exposure to the S&amp;P/ASX200 ETF, the AAE portfolio will be i</w:t>
      </w:r>
      <w:r w:rsidR="009003E2">
        <w:rPr>
          <w:sz w:val="20"/>
          <w:szCs w:val="20"/>
          <w:lang w:val="en-US"/>
        </w:rPr>
        <w:t>n complete compliance with all</w:t>
      </w:r>
      <w:r w:rsidR="001F0639" w:rsidRPr="002C3CF3">
        <w:rPr>
          <w:sz w:val="20"/>
          <w:szCs w:val="20"/>
          <w:lang w:val="en-US"/>
        </w:rPr>
        <w:t xml:space="preserve"> elements of the </w:t>
      </w:r>
      <w:r>
        <w:rPr>
          <w:sz w:val="20"/>
          <w:szCs w:val="20"/>
          <w:lang w:val="en-US"/>
        </w:rPr>
        <w:t>ANU</w:t>
      </w:r>
      <w:r w:rsidR="001F0639" w:rsidRPr="002C3CF3">
        <w:rPr>
          <w:sz w:val="20"/>
          <w:szCs w:val="20"/>
          <w:lang w:val="en-US"/>
        </w:rPr>
        <w:t xml:space="preserve"> SRI policy. </w:t>
      </w:r>
    </w:p>
    <w:p w14:paraId="3DFBCABA" w14:textId="02389728" w:rsidR="006B000B" w:rsidRPr="002C3CF3" w:rsidRDefault="006B000B" w:rsidP="00A250F3">
      <w:pPr>
        <w:pStyle w:val="TableFigure"/>
        <w:spacing w:before="240" w:after="80" w:line="240" w:lineRule="auto"/>
        <w:jc w:val="left"/>
        <w:rPr>
          <w:b w:val="0"/>
          <w:sz w:val="20"/>
          <w:szCs w:val="20"/>
          <w:lang w:val="en-US"/>
        </w:rPr>
      </w:pPr>
    </w:p>
    <w:p w14:paraId="34DB6DC1" w14:textId="77777777" w:rsidR="006B000B" w:rsidRPr="002C3CF3" w:rsidRDefault="006B000B" w:rsidP="00A250F3">
      <w:pPr>
        <w:pStyle w:val="TableFigure"/>
        <w:spacing w:before="240" w:after="80" w:line="240" w:lineRule="auto"/>
        <w:jc w:val="left"/>
        <w:rPr>
          <w:sz w:val="20"/>
          <w:szCs w:val="20"/>
          <w:lang w:val="en-US"/>
        </w:rPr>
      </w:pPr>
    </w:p>
    <w:p w14:paraId="68544FA3" w14:textId="77777777" w:rsidR="006B000B" w:rsidRPr="002C3CF3" w:rsidRDefault="006B000B" w:rsidP="00A250F3">
      <w:pPr>
        <w:spacing w:before="240"/>
        <w:rPr>
          <w:sz w:val="20"/>
          <w:szCs w:val="20"/>
          <w:lang w:val="en-US"/>
        </w:rPr>
      </w:pPr>
    </w:p>
    <w:p w14:paraId="156EFED4" w14:textId="77777777" w:rsidR="00AA1520" w:rsidRPr="002C3CF3" w:rsidRDefault="00AA1520" w:rsidP="00A250F3">
      <w:pPr>
        <w:rPr>
          <w:rFonts w:eastAsiaTheme="minorEastAsia"/>
          <w:b/>
          <w:color w:val="4472C4" w:themeColor="accent1"/>
          <w:spacing w:val="15"/>
          <w:lang w:val="en-US"/>
        </w:rPr>
      </w:pPr>
    </w:p>
    <w:p w14:paraId="5E32D08C" w14:textId="77777777" w:rsidR="00AA1520" w:rsidRPr="002C3CF3" w:rsidRDefault="00AA1520" w:rsidP="00A250F3">
      <w:pPr>
        <w:rPr>
          <w:rFonts w:eastAsiaTheme="minorEastAsia"/>
          <w:b/>
          <w:color w:val="4472C4" w:themeColor="accent1"/>
          <w:spacing w:val="15"/>
          <w:lang w:val="en-US"/>
        </w:rPr>
      </w:pPr>
    </w:p>
    <w:p w14:paraId="5E777A47" w14:textId="3C1FDACB" w:rsidR="00AA1520" w:rsidRPr="002C3CF3" w:rsidRDefault="00AA1520" w:rsidP="00A250F3">
      <w:pPr>
        <w:rPr>
          <w:rFonts w:eastAsiaTheme="minorEastAsia"/>
          <w:b/>
          <w:color w:val="4472C4" w:themeColor="accent1"/>
          <w:spacing w:val="15"/>
          <w:lang w:val="en-US"/>
        </w:rPr>
      </w:pPr>
    </w:p>
    <w:p w14:paraId="2D19678D" w14:textId="42A662D7" w:rsidR="00581542" w:rsidRPr="002C3CF3" w:rsidRDefault="00581542" w:rsidP="00A250F3">
      <w:pPr>
        <w:rPr>
          <w:rFonts w:eastAsiaTheme="minorEastAsia"/>
          <w:b/>
          <w:color w:val="4472C4" w:themeColor="accent1"/>
          <w:spacing w:val="15"/>
          <w:lang w:val="en-US"/>
        </w:rPr>
      </w:pPr>
    </w:p>
    <w:p w14:paraId="042AAB0D" w14:textId="73F0B623" w:rsidR="00581542" w:rsidRPr="002C3CF3" w:rsidRDefault="00581542" w:rsidP="00A250F3">
      <w:pPr>
        <w:rPr>
          <w:rFonts w:eastAsiaTheme="minorEastAsia"/>
          <w:b/>
          <w:color w:val="4472C4" w:themeColor="accent1"/>
          <w:spacing w:val="15"/>
          <w:lang w:val="en-US"/>
        </w:rPr>
      </w:pPr>
    </w:p>
    <w:p w14:paraId="74884131" w14:textId="2A39E4F8" w:rsidR="00581542" w:rsidRPr="002C3CF3" w:rsidRDefault="00581542" w:rsidP="00A250F3">
      <w:pPr>
        <w:rPr>
          <w:rFonts w:eastAsiaTheme="minorEastAsia"/>
          <w:b/>
          <w:color w:val="4472C4" w:themeColor="accent1"/>
          <w:spacing w:val="15"/>
          <w:lang w:val="en-US"/>
        </w:rPr>
      </w:pPr>
    </w:p>
    <w:p w14:paraId="0A11D4CA" w14:textId="691D02ED" w:rsidR="00581542" w:rsidRPr="002C3CF3" w:rsidRDefault="00581542" w:rsidP="00A250F3">
      <w:pPr>
        <w:rPr>
          <w:rFonts w:eastAsiaTheme="minorEastAsia"/>
          <w:b/>
          <w:color w:val="4472C4" w:themeColor="accent1"/>
          <w:spacing w:val="15"/>
          <w:lang w:val="en-US"/>
        </w:rPr>
      </w:pPr>
    </w:p>
    <w:p w14:paraId="19062B1F" w14:textId="1CB102C1" w:rsidR="00581542" w:rsidRPr="002C3CF3" w:rsidRDefault="00581542" w:rsidP="00A250F3">
      <w:pPr>
        <w:rPr>
          <w:rFonts w:eastAsiaTheme="minorEastAsia"/>
          <w:b/>
          <w:color w:val="4472C4" w:themeColor="accent1"/>
          <w:spacing w:val="15"/>
          <w:lang w:val="en-US"/>
        </w:rPr>
      </w:pPr>
    </w:p>
    <w:p w14:paraId="4DC36C52" w14:textId="5D1F6732" w:rsidR="00581542" w:rsidRPr="002C3CF3" w:rsidRDefault="00581542" w:rsidP="00A250F3">
      <w:pPr>
        <w:rPr>
          <w:rFonts w:eastAsiaTheme="minorEastAsia"/>
          <w:b/>
          <w:color w:val="4472C4" w:themeColor="accent1"/>
          <w:spacing w:val="15"/>
          <w:lang w:val="en-US"/>
        </w:rPr>
      </w:pPr>
    </w:p>
    <w:p w14:paraId="18C6C81A" w14:textId="1CF7463E" w:rsidR="00581542" w:rsidRPr="002C3CF3" w:rsidRDefault="00581542" w:rsidP="00A250F3">
      <w:pPr>
        <w:rPr>
          <w:rFonts w:eastAsiaTheme="minorEastAsia"/>
          <w:b/>
          <w:color w:val="4472C4" w:themeColor="accent1"/>
          <w:spacing w:val="15"/>
          <w:lang w:val="en-US"/>
        </w:rPr>
      </w:pPr>
    </w:p>
    <w:p w14:paraId="554E8639" w14:textId="40802068" w:rsidR="00581542" w:rsidRPr="002C3CF3" w:rsidRDefault="00581542" w:rsidP="00A250F3">
      <w:pPr>
        <w:rPr>
          <w:rFonts w:eastAsiaTheme="minorEastAsia"/>
          <w:b/>
          <w:color w:val="4472C4" w:themeColor="accent1"/>
          <w:spacing w:val="15"/>
          <w:lang w:val="en-US"/>
        </w:rPr>
      </w:pPr>
    </w:p>
    <w:p w14:paraId="0E681E9C" w14:textId="4B6AFE91" w:rsidR="00581542" w:rsidRPr="002C3CF3" w:rsidRDefault="00581542" w:rsidP="00A250F3">
      <w:pPr>
        <w:rPr>
          <w:rFonts w:eastAsiaTheme="minorEastAsia"/>
          <w:b/>
          <w:color w:val="4472C4" w:themeColor="accent1"/>
          <w:spacing w:val="15"/>
          <w:lang w:val="en-US"/>
        </w:rPr>
      </w:pPr>
    </w:p>
    <w:p w14:paraId="62B4EDD8" w14:textId="52156A42" w:rsidR="00581542" w:rsidRPr="002C3CF3" w:rsidRDefault="00581542" w:rsidP="00A250F3">
      <w:pPr>
        <w:rPr>
          <w:rFonts w:eastAsiaTheme="minorEastAsia"/>
          <w:b/>
          <w:color w:val="4472C4" w:themeColor="accent1"/>
          <w:spacing w:val="15"/>
          <w:lang w:val="en-US"/>
        </w:rPr>
      </w:pPr>
    </w:p>
    <w:p w14:paraId="1A9A4A4F" w14:textId="2C21747E" w:rsidR="00581542" w:rsidRPr="002C3CF3" w:rsidRDefault="00581542" w:rsidP="00A250F3">
      <w:pPr>
        <w:rPr>
          <w:rFonts w:eastAsiaTheme="minorEastAsia"/>
          <w:b/>
          <w:color w:val="4472C4" w:themeColor="accent1"/>
          <w:spacing w:val="15"/>
          <w:lang w:val="en-US"/>
        </w:rPr>
      </w:pPr>
    </w:p>
    <w:p w14:paraId="1A7EDDAB" w14:textId="77777777" w:rsidR="00581542" w:rsidRPr="002C3CF3" w:rsidRDefault="00581542" w:rsidP="00A250F3">
      <w:pPr>
        <w:rPr>
          <w:rFonts w:eastAsiaTheme="minorEastAsia"/>
          <w:b/>
          <w:color w:val="4472C4" w:themeColor="accent1"/>
          <w:spacing w:val="15"/>
          <w:lang w:val="en-US"/>
        </w:rPr>
      </w:pPr>
    </w:p>
    <w:p w14:paraId="289AD375" w14:textId="77777777" w:rsidR="00AA1520" w:rsidRPr="002C3CF3" w:rsidRDefault="00AA1520" w:rsidP="00A250F3">
      <w:pPr>
        <w:rPr>
          <w:rFonts w:eastAsiaTheme="minorEastAsia"/>
          <w:b/>
          <w:color w:val="4472C4" w:themeColor="accent1"/>
          <w:spacing w:val="15"/>
          <w:lang w:val="en-US"/>
        </w:rPr>
      </w:pPr>
    </w:p>
    <w:p w14:paraId="56AEE4ED" w14:textId="1E7241DA" w:rsidR="00AA1520" w:rsidRPr="002C3CF3" w:rsidRDefault="00AA1520" w:rsidP="00A250F3">
      <w:pPr>
        <w:rPr>
          <w:rFonts w:eastAsiaTheme="minorEastAsia"/>
          <w:b/>
          <w:color w:val="4472C4" w:themeColor="accent1"/>
          <w:spacing w:val="15"/>
          <w:lang w:val="en-US"/>
        </w:rPr>
      </w:pPr>
    </w:p>
    <w:p w14:paraId="0E91457F" w14:textId="77777777" w:rsidR="00AA1520" w:rsidRPr="002C3CF3" w:rsidRDefault="00AA1520" w:rsidP="00A250F3">
      <w:pPr>
        <w:rPr>
          <w:rFonts w:eastAsiaTheme="minorEastAsia"/>
          <w:b/>
          <w:color w:val="4472C4" w:themeColor="accent1"/>
          <w:spacing w:val="15"/>
          <w:lang w:val="en-US"/>
        </w:rPr>
      </w:pPr>
    </w:p>
    <w:p w14:paraId="7623D41A" w14:textId="215471B5" w:rsidR="00106FB4" w:rsidRPr="002C3CF3" w:rsidRDefault="00E73FFF" w:rsidP="00A250F3">
      <w:pPr>
        <w:rPr>
          <w:rFonts w:eastAsiaTheme="minorEastAsia"/>
          <w:b/>
          <w:color w:val="4472C4" w:themeColor="accent1"/>
          <w:spacing w:val="15"/>
          <w:lang w:val="en-US"/>
        </w:rPr>
      </w:pPr>
      <w:r w:rsidRPr="002C3CF3">
        <w:rPr>
          <w:noProof/>
          <w:sz w:val="20"/>
          <w:szCs w:val="20"/>
          <w:lang w:eastAsia="en-AU"/>
        </w:rPr>
        <mc:AlternateContent>
          <mc:Choice Requires="wps">
            <w:drawing>
              <wp:anchor distT="45720" distB="45720" distL="114300" distR="114300" simplePos="0" relativeHeight="251679744" behindDoc="0" locked="0" layoutInCell="1" allowOverlap="1" wp14:anchorId="5FF4EECD" wp14:editId="2FC485F9">
                <wp:simplePos x="0" y="0"/>
                <wp:positionH relativeFrom="margin">
                  <wp:posOffset>-170815</wp:posOffset>
                </wp:positionH>
                <wp:positionV relativeFrom="margin">
                  <wp:align>bottom</wp:align>
                </wp:positionV>
                <wp:extent cx="6105525" cy="17291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729105"/>
                        </a:xfrm>
                        <a:prstGeom prst="rect">
                          <a:avLst/>
                        </a:prstGeom>
                        <a:solidFill>
                          <a:srgbClr val="FFFFFF"/>
                        </a:solidFill>
                        <a:ln w="9525">
                          <a:noFill/>
                          <a:miter lim="800000"/>
                          <a:headEnd/>
                          <a:tailEnd/>
                        </a:ln>
                      </wps:spPr>
                      <wps:txbx>
                        <w:txbxContent>
                          <w:p w14:paraId="73683F4B" w14:textId="77777777" w:rsidR="00691B6D" w:rsidRPr="00BF3830" w:rsidRDefault="00691B6D" w:rsidP="00DB286A">
                            <w:pPr>
                              <w:rPr>
                                <w:sz w:val="22"/>
                                <w:szCs w:val="22"/>
                              </w:rPr>
                            </w:pPr>
                            <w:r w:rsidRPr="00BF3830">
                              <w:rPr>
                                <w:sz w:val="22"/>
                                <w:szCs w:val="22"/>
                              </w:rPr>
                              <w:t>ANU SMF / RSFAS / College of Business and Economics</w:t>
                            </w:r>
                          </w:p>
                          <w:p w14:paraId="01512626" w14:textId="77777777" w:rsidR="00691B6D" w:rsidRPr="00BF3830" w:rsidRDefault="00691B6D" w:rsidP="00DB286A">
                            <w:pPr>
                              <w:rPr>
                                <w:sz w:val="22"/>
                                <w:szCs w:val="22"/>
                              </w:rPr>
                            </w:pPr>
                            <w:r w:rsidRPr="00BF3830">
                              <w:rPr>
                                <w:sz w:val="22"/>
                                <w:szCs w:val="22"/>
                              </w:rPr>
                              <w:t>+61 2 6125 4626</w:t>
                            </w:r>
                          </w:p>
                          <w:p w14:paraId="213123B3" w14:textId="77777777" w:rsidR="00691B6D" w:rsidRPr="00BF3830" w:rsidRDefault="00691B6D" w:rsidP="00DB286A">
                            <w:pPr>
                              <w:spacing w:before="240" w:after="240"/>
                              <w:rPr>
                                <w:sz w:val="22"/>
                                <w:szCs w:val="22"/>
                              </w:rPr>
                            </w:pPr>
                            <w:r w:rsidRPr="00BF3830">
                              <w:rPr>
                                <w:sz w:val="22"/>
                                <w:szCs w:val="22"/>
                              </w:rPr>
                              <w:t>SMF email: smf.rsfas@anu.edu.au</w:t>
                            </w:r>
                          </w:p>
                          <w:p w14:paraId="75333DBA" w14:textId="77777777" w:rsidR="00691B6D" w:rsidRPr="00BF3830" w:rsidRDefault="00691B6D" w:rsidP="00DB286A">
                            <w:pPr>
                              <w:rPr>
                                <w:sz w:val="22"/>
                                <w:szCs w:val="22"/>
                              </w:rPr>
                            </w:pPr>
                            <w:r w:rsidRPr="00BF3830">
                              <w:rPr>
                                <w:sz w:val="22"/>
                                <w:szCs w:val="22"/>
                              </w:rPr>
                              <w:t>The Australian National University</w:t>
                            </w:r>
                          </w:p>
                          <w:p w14:paraId="49D3FAA6" w14:textId="77777777" w:rsidR="00691B6D" w:rsidRPr="00BF3830" w:rsidRDefault="00691B6D" w:rsidP="00DB286A">
                            <w:pPr>
                              <w:rPr>
                                <w:sz w:val="22"/>
                                <w:szCs w:val="22"/>
                              </w:rPr>
                            </w:pPr>
                            <w:r w:rsidRPr="00BF3830">
                              <w:rPr>
                                <w:sz w:val="22"/>
                                <w:szCs w:val="22"/>
                              </w:rPr>
                              <w:t>Canberra ACT 2601 Australia</w:t>
                            </w:r>
                          </w:p>
                          <w:p w14:paraId="64438E17" w14:textId="77777777" w:rsidR="00691B6D" w:rsidRPr="00BF3830" w:rsidRDefault="00911E9F" w:rsidP="00DB286A">
                            <w:pPr>
                              <w:rPr>
                                <w:b/>
                                <w:bCs/>
                                <w:sz w:val="22"/>
                                <w:szCs w:val="22"/>
                              </w:rPr>
                            </w:pPr>
                            <w:hyperlink r:id="rId16" w:history="1">
                              <w:r w:rsidR="00691B6D" w:rsidRPr="00BF3830">
                                <w:rPr>
                                  <w:rStyle w:val="Hyperlink"/>
                                  <w:b/>
                                  <w:bCs/>
                                  <w:sz w:val="22"/>
                                  <w:szCs w:val="22"/>
                                  <w:u w:val="none"/>
                                </w:rPr>
                                <w:t>www.anu.edu.au</w:t>
                              </w:r>
                            </w:hyperlink>
                          </w:p>
                          <w:p w14:paraId="0EAEF5C1" w14:textId="77777777" w:rsidR="00691B6D" w:rsidRPr="00BF3830" w:rsidRDefault="00691B6D" w:rsidP="00E354A7">
                            <w:pPr>
                              <w:rPr>
                                <w:sz w:val="22"/>
                                <w:szCs w:val="22"/>
                              </w:rPr>
                            </w:pPr>
                            <w:r w:rsidRPr="00BF3830">
                              <w:rPr>
                                <w:sz w:val="22"/>
                                <w:szCs w:val="22"/>
                              </w:rPr>
                              <w:t>CRICOS Provider No. 00120C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FF4EECD" id="_x0000_t202" coordsize="21600,21600" o:spt="202" path="m,l,21600r21600,l21600,xe">
                <v:stroke joinstyle="miter"/>
                <v:path gradientshapeok="t" o:connecttype="rect"/>
              </v:shapetype>
              <v:shape id="Text Box 2" o:spid="_x0000_s1026" type="#_x0000_t202" style="position:absolute;margin-left:-13.45pt;margin-top:0;width:480.75pt;height:136.15pt;z-index:251679744;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" stroked="f">
                <v:textbox style="mso-fit-shape-to-text:t">
                  <w:txbxContent>
                    <w:p w14:paraId="73683F4B" w14:textId="77777777" w:rsidR="00691B6D" w:rsidRPr="00BF3830" w:rsidRDefault="00691B6D" w:rsidP="00DB286A">
                      <w:pPr>
                        <w:rPr>
                          <w:sz w:val="22"/>
                          <w:szCs w:val="22"/>
                        </w:rPr>
                      </w:pPr>
                      <w:r w:rsidRPr="00BF3830">
                        <w:rPr>
                          <w:sz w:val="22"/>
                          <w:szCs w:val="22"/>
                        </w:rPr>
                        <w:t>ANU SMF / RSFAS / College of Business and Economics</w:t>
                      </w:r>
                    </w:p>
                    <w:p w14:paraId="01512626" w14:textId="77777777" w:rsidR="00691B6D" w:rsidRPr="00BF3830" w:rsidRDefault="00691B6D" w:rsidP="00DB286A">
                      <w:pPr>
                        <w:rPr>
                          <w:sz w:val="22"/>
                          <w:szCs w:val="22"/>
                        </w:rPr>
                      </w:pPr>
                      <w:r w:rsidRPr="00BF3830">
                        <w:rPr>
                          <w:sz w:val="22"/>
                          <w:szCs w:val="22"/>
                        </w:rPr>
                        <w:t>+61 2 6125 4626</w:t>
                      </w:r>
                    </w:p>
                    <w:p w14:paraId="213123B3" w14:textId="77777777" w:rsidR="00691B6D" w:rsidRPr="00BF3830" w:rsidRDefault="00691B6D" w:rsidP="00DB286A">
                      <w:pPr>
                        <w:spacing w:before="240" w:after="240"/>
                        <w:rPr>
                          <w:sz w:val="22"/>
                          <w:szCs w:val="22"/>
                        </w:rPr>
                      </w:pPr>
                      <w:r w:rsidRPr="00BF3830">
                        <w:rPr>
                          <w:sz w:val="22"/>
                          <w:szCs w:val="22"/>
                        </w:rPr>
                        <w:t>SMF email: smf.rsfas@anu.edu.au</w:t>
                      </w:r>
                    </w:p>
                    <w:p w14:paraId="75333DBA" w14:textId="77777777" w:rsidR="00691B6D" w:rsidRPr="00BF3830" w:rsidRDefault="00691B6D" w:rsidP="00DB286A">
                      <w:pPr>
                        <w:rPr>
                          <w:sz w:val="22"/>
                          <w:szCs w:val="22"/>
                        </w:rPr>
                      </w:pPr>
                      <w:r w:rsidRPr="00BF3830">
                        <w:rPr>
                          <w:sz w:val="22"/>
                          <w:szCs w:val="22"/>
                        </w:rPr>
                        <w:t>The Australian National University</w:t>
                      </w:r>
                    </w:p>
                    <w:p w14:paraId="49D3FAA6" w14:textId="77777777" w:rsidR="00691B6D" w:rsidRPr="00BF3830" w:rsidRDefault="00691B6D" w:rsidP="00DB286A">
                      <w:pPr>
                        <w:rPr>
                          <w:sz w:val="22"/>
                          <w:szCs w:val="22"/>
                        </w:rPr>
                      </w:pPr>
                      <w:r w:rsidRPr="00BF3830">
                        <w:rPr>
                          <w:sz w:val="22"/>
                          <w:szCs w:val="22"/>
                        </w:rPr>
                        <w:t>Canberra ACT 2601 Australia</w:t>
                      </w:r>
                    </w:p>
                    <w:p w14:paraId="64438E17" w14:textId="77777777" w:rsidR="00691B6D" w:rsidRPr="00BF3830" w:rsidRDefault="00691B6D" w:rsidP="00DB286A">
                      <w:pPr>
                        <w:rPr>
                          <w:b/>
                          <w:bCs/>
                          <w:sz w:val="22"/>
                          <w:szCs w:val="22"/>
                        </w:rPr>
                      </w:pPr>
                      <w:hyperlink r:id="rId19" w:history="1">
                        <w:r w:rsidRPr="00BF3830">
                          <w:rPr>
                            <w:rStyle w:val="Hyperlink"/>
                            <w:b/>
                            <w:bCs/>
                            <w:sz w:val="22"/>
                            <w:szCs w:val="22"/>
                            <w:u w:val="none"/>
                          </w:rPr>
                          <w:t>www.anu.edu.au</w:t>
                        </w:r>
                      </w:hyperlink>
                    </w:p>
                    <w:p w14:paraId="0EAEF5C1" w14:textId="77777777" w:rsidR="00691B6D" w:rsidRPr="00BF3830" w:rsidRDefault="00691B6D" w:rsidP="00E354A7">
                      <w:pPr>
                        <w:rPr>
                          <w:sz w:val="22"/>
                          <w:szCs w:val="22"/>
                        </w:rPr>
                      </w:pPr>
                      <w:r w:rsidRPr="00BF3830">
                        <w:rPr>
                          <w:sz w:val="22"/>
                          <w:szCs w:val="22"/>
                        </w:rPr>
                        <w:t>CRICOS Provider No. 00120C</w:t>
                      </w:r>
                    </w:p>
                  </w:txbxContent>
                </v:textbox>
                <w10:wrap type="square" anchorx="margin" anchory="margin"/>
              </v:shape>
            </w:pict>
          </mc:Fallback>
        </mc:AlternateContent>
      </w:r>
    </w:p>
    <w:sectPr w:rsidR="00106FB4" w:rsidRPr="002C3CF3" w:rsidSect="007D766D">
      <w:headerReference w:type="default" r:id="rId20"/>
      <w:footerReference w:type="default" r:id="rId21"/>
      <w:pgSz w:w="11906" w:h="16838" w:code="9"/>
      <w:pgMar w:top="1152" w:right="1152" w:bottom="1152" w:left="1152" w:header="432"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B1DD" w14:textId="77777777" w:rsidR="00911E9F" w:rsidRDefault="00911E9F" w:rsidP="003C2B26">
      <w:r>
        <w:separator/>
      </w:r>
    </w:p>
  </w:endnote>
  <w:endnote w:type="continuationSeparator" w:id="0">
    <w:p w14:paraId="17B5DE01" w14:textId="77777777" w:rsidR="00911E9F" w:rsidRDefault="00911E9F" w:rsidP="003C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4B53" w14:textId="429F8210" w:rsidR="00691B6D" w:rsidRDefault="00691B6D" w:rsidP="00BF3830">
    <w:pPr>
      <w:pStyle w:val="Footer"/>
      <w:tabs>
        <w:tab w:val="left" w:pos="8910"/>
      </w:tabs>
      <w:jc w:val="left"/>
    </w:pPr>
    <w:r>
      <w:t xml:space="preserve">ANU SMF: Mid-Semester Report, Semester 1, 2019 </w:t>
    </w:r>
    <w:r>
      <w:tab/>
      <w:t xml:space="preserve">Page </w:t>
    </w:r>
    <w:sdt>
      <w:sdtPr>
        <w:id w:val="-774936795"/>
        <w:docPartObj>
          <w:docPartGallery w:val="Page Numbers (Bottom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sidR="00632107">
          <w:rPr>
            <w:noProof/>
          </w:rPr>
          <w:t>1</w:t>
        </w:r>
        <w:r>
          <w:rPr>
            <w:noProof/>
          </w:rPr>
          <w:fldChar w:fldCharType="end"/>
        </w:r>
      </w:sdtContent>
    </w:sdt>
  </w:p>
  <w:p w14:paraId="062E7810" w14:textId="77777777" w:rsidR="00691B6D" w:rsidRPr="00063CBE" w:rsidRDefault="00691B6D" w:rsidP="00BF3830">
    <w:pPr>
      <w:pStyle w:val="Footer"/>
      <w:tabs>
        <w:tab w:val="left" w:pos="83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D6554" w14:textId="77777777" w:rsidR="00911E9F" w:rsidRDefault="00911E9F" w:rsidP="003C2B26">
      <w:r>
        <w:separator/>
      </w:r>
    </w:p>
  </w:footnote>
  <w:footnote w:type="continuationSeparator" w:id="0">
    <w:p w14:paraId="57DA70E7" w14:textId="77777777" w:rsidR="00911E9F" w:rsidRDefault="00911E9F" w:rsidP="003C2B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3F1A" w14:textId="77777777" w:rsidR="00691B6D" w:rsidRDefault="00691B6D" w:rsidP="00380F71">
    <w:pPr>
      <w:pStyle w:val="Header"/>
      <w:tabs>
        <w:tab w:val="left" w:pos="360"/>
      </w:tabs>
      <w:spacing w:after="360"/>
      <w:jc w:val="left"/>
    </w:pPr>
    <w:r>
      <w:rPr>
        <w:noProof/>
        <w:lang w:eastAsia="en-AU"/>
      </w:rPr>
      <w:drawing>
        <wp:inline distT="0" distB="0" distL="0" distR="0" wp14:anchorId="38178ABD" wp14:editId="7A3236AB">
          <wp:extent cx="1658883" cy="57694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3829" cy="578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8CE15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D2607"/>
    <w:multiLevelType w:val="multilevel"/>
    <w:tmpl w:val="1FBCE51A"/>
    <w:numStyleLink w:val="BulletPoints"/>
  </w:abstractNum>
  <w:abstractNum w:abstractNumId="2" w15:restartNumberingAfterBreak="0">
    <w:nsid w:val="06FA62CD"/>
    <w:multiLevelType w:val="hybridMultilevel"/>
    <w:tmpl w:val="F2B6EAFC"/>
    <w:lvl w:ilvl="0" w:tplc="0C090001">
      <w:start w:val="1"/>
      <w:numFmt w:val="bullet"/>
      <w:lvlText w:val=""/>
      <w:lvlJc w:val="left"/>
      <w:pPr>
        <w:ind w:left="720" w:hanging="360"/>
      </w:pPr>
      <w:rPr>
        <w:rFonts w:ascii="Symbol" w:hAnsi="Symbol" w:hint="default"/>
      </w:rPr>
    </w:lvl>
    <w:lvl w:ilvl="1" w:tplc="F188B042">
      <w:start w:val="1"/>
      <w:numFmt w:val="bullet"/>
      <w:lvlText w:val="­"/>
      <w:lvlJc w:val="left"/>
      <w:pPr>
        <w:ind w:left="9810" w:hanging="360"/>
      </w:pPr>
      <w:rPr>
        <w:rFonts w:ascii="Times New Roman" w:hAnsi="Times New Roman" w:cs="Times New Roman" w:hint="default"/>
        <w:color w:val="000000" w:themeColor="text1"/>
      </w:rPr>
    </w:lvl>
    <w:lvl w:ilvl="2" w:tplc="0C090005">
      <w:start w:val="1"/>
      <w:numFmt w:val="bullet"/>
      <w:lvlText w:val=""/>
      <w:lvlJc w:val="left"/>
      <w:pPr>
        <w:ind w:left="2160" w:hanging="360"/>
      </w:pPr>
      <w:rPr>
        <w:rFonts w:ascii="Wingdings" w:hAnsi="Wingdings" w:hint="default"/>
      </w:rPr>
    </w:lvl>
    <w:lvl w:ilvl="3" w:tplc="F188B042">
      <w:start w:val="1"/>
      <w:numFmt w:val="bullet"/>
      <w:lvlText w:val="­"/>
      <w:lvlJc w:val="left"/>
      <w:pPr>
        <w:ind w:left="2880" w:hanging="360"/>
      </w:pPr>
      <w:rPr>
        <w:rFonts w:ascii="Times New Roman" w:hAnsi="Times New Roman" w:cs="Times New Roman" w:hint="default"/>
        <w:color w:val="000000" w:themeColor="text1"/>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A51C4"/>
    <w:multiLevelType w:val="multilevel"/>
    <w:tmpl w:val="0C09001D"/>
    <w:numStyleLink w:val="Style1"/>
  </w:abstractNum>
  <w:abstractNum w:abstractNumId="4" w15:restartNumberingAfterBreak="0">
    <w:nsid w:val="08624FB3"/>
    <w:multiLevelType w:val="hybridMultilevel"/>
    <w:tmpl w:val="9EFA44AE"/>
    <w:lvl w:ilvl="0" w:tplc="8062C9D2">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186CA3"/>
    <w:multiLevelType w:val="hybridMultilevel"/>
    <w:tmpl w:val="629438E0"/>
    <w:lvl w:ilvl="0" w:tplc="E73EE798">
      <w:start w:val="3"/>
      <w:numFmt w:val="bullet"/>
      <w:lvlText w:val=""/>
      <w:lvlJc w:val="left"/>
      <w:pPr>
        <w:ind w:left="720" w:hanging="360"/>
      </w:pPr>
      <w:rPr>
        <w:rFonts w:ascii="Symbol" w:eastAsia="SimSu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D531E5"/>
    <w:multiLevelType w:val="hybridMultilevel"/>
    <w:tmpl w:val="B70A7D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3D5F1B"/>
    <w:multiLevelType w:val="multilevel"/>
    <w:tmpl w:val="1FBCE51A"/>
    <w:numStyleLink w:val="BulletPoints"/>
  </w:abstractNum>
  <w:abstractNum w:abstractNumId="8" w15:restartNumberingAfterBreak="0">
    <w:nsid w:val="1E491ECB"/>
    <w:multiLevelType w:val="multilevel"/>
    <w:tmpl w:val="1FBCE51A"/>
    <w:numStyleLink w:val="BulletPoints"/>
  </w:abstractNum>
  <w:abstractNum w:abstractNumId="9" w15:restartNumberingAfterBreak="0">
    <w:nsid w:val="1F9B2E52"/>
    <w:multiLevelType w:val="hybridMultilevel"/>
    <w:tmpl w:val="5BC402B2"/>
    <w:lvl w:ilvl="0" w:tplc="CF28BE3A">
      <w:start w:val="1"/>
      <w:numFmt w:val="bullet"/>
      <w:pStyle w:val="2ndIndentation"/>
      <w:lvlText w:val="­"/>
      <w:lvlJc w:val="left"/>
      <w:pPr>
        <w:ind w:left="1440" w:hanging="360"/>
      </w:pPr>
      <w:rPr>
        <w:rFonts w:ascii="Times New Roman" w:hAnsi="Times New Roman" w:cs="Times New Roman"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5625ED1"/>
    <w:multiLevelType w:val="multilevel"/>
    <w:tmpl w:val="1FBCE51A"/>
    <w:numStyleLink w:val="BulletPoints"/>
  </w:abstractNum>
  <w:abstractNum w:abstractNumId="11" w15:restartNumberingAfterBreak="0">
    <w:nsid w:val="26FA0572"/>
    <w:multiLevelType w:val="hybridMultilevel"/>
    <w:tmpl w:val="4F026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361607"/>
    <w:multiLevelType w:val="hybridMultilevel"/>
    <w:tmpl w:val="8910BE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702BD4"/>
    <w:multiLevelType w:val="hybridMultilevel"/>
    <w:tmpl w:val="AA003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781E85"/>
    <w:multiLevelType w:val="hybridMultilevel"/>
    <w:tmpl w:val="C30E998E"/>
    <w:lvl w:ilvl="0" w:tplc="AF746DC0">
      <w:start w:val="1"/>
      <w:numFmt w:val="bullet"/>
      <w:lvlText w:val=""/>
      <w:lvlJc w:val="left"/>
      <w:pPr>
        <w:ind w:left="720" w:hanging="360"/>
      </w:pPr>
      <w:rPr>
        <w:rFonts w:ascii="Symbol" w:hAnsi="Symbol" w:hint="default"/>
        <w:color w:val="4472C4" w:themeColor="accent1"/>
      </w:rPr>
    </w:lvl>
    <w:lvl w:ilvl="1" w:tplc="67EADF1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C73F6F"/>
    <w:multiLevelType w:val="hybridMultilevel"/>
    <w:tmpl w:val="839C78AE"/>
    <w:lvl w:ilvl="0" w:tplc="08090003">
      <w:start w:val="1"/>
      <w:numFmt w:val="bullet"/>
      <w:lvlText w:val="o"/>
      <w:lvlJc w:val="left"/>
      <w:pPr>
        <w:ind w:left="778" w:hanging="360"/>
      </w:pPr>
      <w:rPr>
        <w:rFonts w:ascii="Courier New" w:hAnsi="Courier New" w:cs="Courier New"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16" w15:restartNumberingAfterBreak="0">
    <w:nsid w:val="30380990"/>
    <w:multiLevelType w:val="hybridMultilevel"/>
    <w:tmpl w:val="07A49F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F14782"/>
    <w:multiLevelType w:val="hybridMultilevel"/>
    <w:tmpl w:val="2CA66A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931C95"/>
    <w:multiLevelType w:val="multilevel"/>
    <w:tmpl w:val="15ACAC36"/>
    <w:lvl w:ilvl="0">
      <w:start w:val="1"/>
      <w:numFmt w:val="decimal"/>
      <w:lvlText w:val="%1."/>
      <w:lvlJc w:val="left"/>
      <w:pPr>
        <w:ind w:left="480" w:hanging="480"/>
      </w:pPr>
      <w:rPr>
        <w:rFonts w:hint="default"/>
        <w:color w:val="4472C4" w:themeColor="accent1"/>
      </w:rPr>
    </w:lvl>
    <w:lvl w:ilvl="1">
      <w:start w:val="1"/>
      <w:numFmt w:val="lowerLetter"/>
      <w:lvlText w:val="%2."/>
      <w:lvlJc w:val="left"/>
      <w:pPr>
        <w:ind w:left="480" w:hanging="480"/>
      </w:pPr>
      <w:rPr>
        <w:rFonts w:hint="default"/>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EB182A"/>
    <w:multiLevelType w:val="hybridMultilevel"/>
    <w:tmpl w:val="7264FB9E"/>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0F5162"/>
    <w:multiLevelType w:val="multilevel"/>
    <w:tmpl w:val="1EF273D0"/>
    <w:lvl w:ilvl="0">
      <w:start w:val="1"/>
      <w:numFmt w:val="upperLetter"/>
      <w:lvlText w:val="%1."/>
      <w:lvlJc w:val="left"/>
      <w:pPr>
        <w:ind w:left="720" w:hanging="360"/>
      </w:pPr>
      <w:rPr>
        <w:strike w:val="0"/>
        <w:dstrike w:val="0"/>
        <w:u w:val="none"/>
        <w:effect w:val="none"/>
      </w:rPr>
    </w:lvl>
    <w:lvl w:ilvl="1">
      <w:start w:val="1"/>
      <w:numFmt w:val="bullet"/>
      <w:lvlText w:val="-"/>
      <w:lvlJc w:val="left"/>
      <w:pPr>
        <w:ind w:left="1440" w:hanging="360"/>
      </w:pPr>
      <w:rPr>
        <w:rFonts w:ascii="Calibri" w:eastAsiaTheme="minorHAnsi" w:hAnsi="Calibri" w:cstheme="minorBidi" w:hint="default"/>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1" w15:restartNumberingAfterBreak="0">
    <w:nsid w:val="405A7252"/>
    <w:multiLevelType w:val="hybridMultilevel"/>
    <w:tmpl w:val="2D6E5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650EC7"/>
    <w:multiLevelType w:val="hybridMultilevel"/>
    <w:tmpl w:val="2606F7A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A573A"/>
    <w:multiLevelType w:val="hybridMultilevel"/>
    <w:tmpl w:val="D28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C62422"/>
    <w:multiLevelType w:val="multilevel"/>
    <w:tmpl w:val="BDEE01C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440363"/>
    <w:multiLevelType w:val="hybridMultilevel"/>
    <w:tmpl w:val="1FBCE51A"/>
    <w:lvl w:ilvl="0" w:tplc="CC207BDC">
      <w:start w:val="1"/>
      <w:numFmt w:val="bullet"/>
      <w:pStyle w:val="ListParagraph"/>
      <w:lvlText w:val=""/>
      <w:lvlJc w:val="left"/>
      <w:pPr>
        <w:ind w:left="644" w:hanging="360"/>
      </w:pPr>
      <w:rPr>
        <w:rFonts w:ascii="Symbol" w:hAnsi="Symbol" w:hint="default"/>
      </w:rPr>
    </w:lvl>
    <w:lvl w:ilvl="1" w:tplc="443289AE">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B6E7B5B"/>
    <w:multiLevelType w:val="multilevel"/>
    <w:tmpl w:val="0C09001D"/>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DC121D5"/>
    <w:multiLevelType w:val="hybridMultilevel"/>
    <w:tmpl w:val="1DE6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4C3EF9"/>
    <w:multiLevelType w:val="hybridMultilevel"/>
    <w:tmpl w:val="903A8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FF36AA"/>
    <w:multiLevelType w:val="hybridMultilevel"/>
    <w:tmpl w:val="D2B622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BB5624"/>
    <w:multiLevelType w:val="multilevel"/>
    <w:tmpl w:val="1FBCE51A"/>
    <w:numStyleLink w:val="BulletPoints"/>
  </w:abstractNum>
  <w:abstractNum w:abstractNumId="31" w15:restartNumberingAfterBreak="0">
    <w:nsid w:val="60E32581"/>
    <w:multiLevelType w:val="hybridMultilevel"/>
    <w:tmpl w:val="E5C0BB22"/>
    <w:lvl w:ilvl="0" w:tplc="058AEAB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8021C"/>
    <w:multiLevelType w:val="multilevel"/>
    <w:tmpl w:val="1FBCE51A"/>
    <w:numStyleLink w:val="BulletPoints"/>
  </w:abstractNum>
  <w:abstractNum w:abstractNumId="33" w15:restartNumberingAfterBreak="0">
    <w:nsid w:val="663F3F1A"/>
    <w:multiLevelType w:val="hybridMultilevel"/>
    <w:tmpl w:val="1C8C9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4504D"/>
    <w:multiLevelType w:val="multilevel"/>
    <w:tmpl w:val="1FBCE51A"/>
    <w:numStyleLink w:val="BulletPoints"/>
  </w:abstractNum>
  <w:abstractNum w:abstractNumId="35" w15:restartNumberingAfterBreak="0">
    <w:nsid w:val="68683197"/>
    <w:multiLevelType w:val="multilevel"/>
    <w:tmpl w:val="1FBCE51A"/>
    <w:numStyleLink w:val="BulletPoints"/>
  </w:abstractNum>
  <w:abstractNum w:abstractNumId="36" w15:restartNumberingAfterBreak="0">
    <w:nsid w:val="6BF614DE"/>
    <w:multiLevelType w:val="hybridMultilevel"/>
    <w:tmpl w:val="BA56FC54"/>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C601B0"/>
    <w:multiLevelType w:val="hybridMultilevel"/>
    <w:tmpl w:val="CC9E3F6C"/>
    <w:lvl w:ilvl="0" w:tplc="EDE05434">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15:restartNumberingAfterBreak="0">
    <w:nsid w:val="750807FC"/>
    <w:multiLevelType w:val="multilevel"/>
    <w:tmpl w:val="1FBCE51A"/>
    <w:styleLink w:val="BulletPoints"/>
    <w:lvl w:ilvl="0">
      <w:start w:val="1"/>
      <w:numFmt w:val="bullet"/>
      <w:lvlText w:val=""/>
      <w:lvlJc w:val="left"/>
      <w:pPr>
        <w:ind w:left="644" w:hanging="360"/>
      </w:pPr>
      <w:rPr>
        <w:rFonts w:ascii="Symbol" w:hAnsi="Symbol" w:hint="default"/>
      </w:rPr>
    </w:lvl>
    <w:lvl w:ilvl="1">
      <w:start w:val="1"/>
      <w:numFmt w:val="bullet"/>
      <w:lvlText w:val=""/>
      <w:lvlJc w:val="left"/>
      <w:pPr>
        <w:ind w:left="1080" w:hanging="360"/>
      </w:pPr>
      <w:rPr>
        <w:rFonts w:ascii="Symbol" w:hAnsi="Symbol" w:hint="default"/>
        <w:b w:val="0"/>
        <w:i w:val="0"/>
        <w:spacing w:val="0"/>
        <w:sz w:val="2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CEC4C05"/>
    <w:multiLevelType w:val="hybridMultilevel"/>
    <w:tmpl w:val="56CC52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F860C5A"/>
    <w:multiLevelType w:val="hybridMultilevel"/>
    <w:tmpl w:val="33246CAC"/>
    <w:lvl w:ilvl="0" w:tplc="4B22DD66">
      <w:start w:val="3"/>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5"/>
  </w:num>
  <w:num w:numId="4">
    <w:abstractNumId w:val="39"/>
  </w:num>
  <w:num w:numId="5">
    <w:abstractNumId w:val="12"/>
  </w:num>
  <w:num w:numId="6">
    <w:abstractNumId w:val="16"/>
  </w:num>
  <w:num w:numId="7">
    <w:abstractNumId w:val="17"/>
  </w:num>
  <w:num w:numId="8">
    <w:abstractNumId w:val="29"/>
  </w:num>
  <w:num w:numId="9">
    <w:abstractNumId w:val="19"/>
  </w:num>
  <w:num w:numId="10">
    <w:abstractNumId w:val="36"/>
  </w:num>
  <w:num w:numId="11">
    <w:abstractNumId w:val="9"/>
  </w:num>
  <w:num w:numId="12">
    <w:abstractNumId w:val="38"/>
  </w:num>
  <w:num w:numId="13">
    <w:abstractNumId w:val="8"/>
  </w:num>
  <w:num w:numId="14">
    <w:abstractNumId w:val="7"/>
  </w:num>
  <w:num w:numId="15">
    <w:abstractNumId w:val="26"/>
  </w:num>
  <w:num w:numId="16">
    <w:abstractNumId w:val="3"/>
  </w:num>
  <w:num w:numId="17">
    <w:abstractNumId w:val="34"/>
  </w:num>
  <w:num w:numId="18">
    <w:abstractNumId w:val="1"/>
  </w:num>
  <w:num w:numId="19">
    <w:abstractNumId w:val="30"/>
  </w:num>
  <w:num w:numId="20">
    <w:abstractNumId w:val="25"/>
  </w:num>
  <w:num w:numId="21">
    <w:abstractNumId w:val="35"/>
  </w:num>
  <w:num w:numId="22">
    <w:abstractNumId w:val="10"/>
  </w:num>
  <w:num w:numId="23">
    <w:abstractNumId w:val="33"/>
  </w:num>
  <w:num w:numId="24">
    <w:abstractNumId w:val="4"/>
  </w:num>
  <w:num w:numId="25">
    <w:abstractNumId w:val="23"/>
  </w:num>
  <w:num w:numId="26">
    <w:abstractNumId w:val="6"/>
  </w:num>
  <w:num w:numId="27">
    <w:abstractNumId w:val="22"/>
  </w:num>
  <w:num w:numId="2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4"/>
  </w:num>
  <w:num w:numId="31">
    <w:abstractNumId w:val="14"/>
  </w:num>
  <w:num w:numId="32">
    <w:abstractNumId w:val="18"/>
  </w:num>
  <w:num w:numId="33">
    <w:abstractNumId w:val="2"/>
  </w:num>
  <w:num w:numId="34">
    <w:abstractNumId w:val="28"/>
  </w:num>
  <w:num w:numId="35">
    <w:abstractNumId w:val="0"/>
  </w:num>
  <w:num w:numId="36">
    <w:abstractNumId w:val="37"/>
  </w:num>
  <w:num w:numId="37">
    <w:abstractNumId w:val="31"/>
  </w:num>
  <w:num w:numId="38">
    <w:abstractNumId w:val="5"/>
  </w:num>
  <w:num w:numId="39">
    <w:abstractNumId w:val="40"/>
  </w:num>
  <w:num w:numId="40">
    <w:abstractNumId w:val="13"/>
  </w:num>
  <w:num w:numId="41">
    <w:abstractNumId w:val="2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4C7DE7"/>
    <w:rsid w:val="000008E2"/>
    <w:rsid w:val="00001035"/>
    <w:rsid w:val="000033FA"/>
    <w:rsid w:val="000035B6"/>
    <w:rsid w:val="000048DC"/>
    <w:rsid w:val="00006E04"/>
    <w:rsid w:val="00007928"/>
    <w:rsid w:val="00011138"/>
    <w:rsid w:val="000118DF"/>
    <w:rsid w:val="000127F3"/>
    <w:rsid w:val="00013223"/>
    <w:rsid w:val="00014C63"/>
    <w:rsid w:val="000150BD"/>
    <w:rsid w:val="00015B77"/>
    <w:rsid w:val="000173A9"/>
    <w:rsid w:val="000204B2"/>
    <w:rsid w:val="00020500"/>
    <w:rsid w:val="00023DC6"/>
    <w:rsid w:val="000243E0"/>
    <w:rsid w:val="00024EC9"/>
    <w:rsid w:val="000305AA"/>
    <w:rsid w:val="00030717"/>
    <w:rsid w:val="00031006"/>
    <w:rsid w:val="000324E2"/>
    <w:rsid w:val="00032FD1"/>
    <w:rsid w:val="00034434"/>
    <w:rsid w:val="00034928"/>
    <w:rsid w:val="00034981"/>
    <w:rsid w:val="000351AB"/>
    <w:rsid w:val="0003600B"/>
    <w:rsid w:val="0003707C"/>
    <w:rsid w:val="0003772C"/>
    <w:rsid w:val="00037D2E"/>
    <w:rsid w:val="00041423"/>
    <w:rsid w:val="00044435"/>
    <w:rsid w:val="00044DD5"/>
    <w:rsid w:val="00045263"/>
    <w:rsid w:val="0004552B"/>
    <w:rsid w:val="00045D1E"/>
    <w:rsid w:val="000464A2"/>
    <w:rsid w:val="000468F8"/>
    <w:rsid w:val="000469C7"/>
    <w:rsid w:val="000513A4"/>
    <w:rsid w:val="0005147A"/>
    <w:rsid w:val="00051502"/>
    <w:rsid w:val="00052E24"/>
    <w:rsid w:val="00053175"/>
    <w:rsid w:val="00053B77"/>
    <w:rsid w:val="00054300"/>
    <w:rsid w:val="000560EC"/>
    <w:rsid w:val="00057378"/>
    <w:rsid w:val="00060972"/>
    <w:rsid w:val="0006259C"/>
    <w:rsid w:val="00062DAF"/>
    <w:rsid w:val="00062FC2"/>
    <w:rsid w:val="000633A0"/>
    <w:rsid w:val="000637EA"/>
    <w:rsid w:val="0006398D"/>
    <w:rsid w:val="00063CBE"/>
    <w:rsid w:val="00064032"/>
    <w:rsid w:val="00066FA4"/>
    <w:rsid w:val="000675EA"/>
    <w:rsid w:val="00073060"/>
    <w:rsid w:val="00074497"/>
    <w:rsid w:val="00074ABF"/>
    <w:rsid w:val="0007524F"/>
    <w:rsid w:val="000756F9"/>
    <w:rsid w:val="0008054D"/>
    <w:rsid w:val="00080912"/>
    <w:rsid w:val="00081FDA"/>
    <w:rsid w:val="000866A5"/>
    <w:rsid w:val="0008746E"/>
    <w:rsid w:val="00091CA7"/>
    <w:rsid w:val="00092B54"/>
    <w:rsid w:val="00094031"/>
    <w:rsid w:val="00096772"/>
    <w:rsid w:val="00097F8E"/>
    <w:rsid w:val="000A0EB7"/>
    <w:rsid w:val="000A270B"/>
    <w:rsid w:val="000A3549"/>
    <w:rsid w:val="000A50C6"/>
    <w:rsid w:val="000A59B3"/>
    <w:rsid w:val="000A5C76"/>
    <w:rsid w:val="000A6AEB"/>
    <w:rsid w:val="000A6F27"/>
    <w:rsid w:val="000A6F5B"/>
    <w:rsid w:val="000B15D1"/>
    <w:rsid w:val="000B23B7"/>
    <w:rsid w:val="000B25E8"/>
    <w:rsid w:val="000B4115"/>
    <w:rsid w:val="000B46C2"/>
    <w:rsid w:val="000C0139"/>
    <w:rsid w:val="000C0735"/>
    <w:rsid w:val="000C2957"/>
    <w:rsid w:val="000C2E79"/>
    <w:rsid w:val="000C3098"/>
    <w:rsid w:val="000C3D55"/>
    <w:rsid w:val="000C3E51"/>
    <w:rsid w:val="000C4E45"/>
    <w:rsid w:val="000C534C"/>
    <w:rsid w:val="000C78BD"/>
    <w:rsid w:val="000D08D6"/>
    <w:rsid w:val="000D2ACA"/>
    <w:rsid w:val="000D32E5"/>
    <w:rsid w:val="000D357B"/>
    <w:rsid w:val="000D4CCE"/>
    <w:rsid w:val="000D6E1E"/>
    <w:rsid w:val="000E2AFB"/>
    <w:rsid w:val="000E37AB"/>
    <w:rsid w:val="000E3A98"/>
    <w:rsid w:val="000E49C3"/>
    <w:rsid w:val="000E5171"/>
    <w:rsid w:val="000E548B"/>
    <w:rsid w:val="000E75DC"/>
    <w:rsid w:val="000E7D64"/>
    <w:rsid w:val="000F2315"/>
    <w:rsid w:val="000F2E88"/>
    <w:rsid w:val="000F38AF"/>
    <w:rsid w:val="000F3D7F"/>
    <w:rsid w:val="000F47F4"/>
    <w:rsid w:val="000F6DA8"/>
    <w:rsid w:val="000F7800"/>
    <w:rsid w:val="0010060C"/>
    <w:rsid w:val="00100A21"/>
    <w:rsid w:val="0010133A"/>
    <w:rsid w:val="00101739"/>
    <w:rsid w:val="00103C6C"/>
    <w:rsid w:val="001040F0"/>
    <w:rsid w:val="00104A16"/>
    <w:rsid w:val="00106365"/>
    <w:rsid w:val="00106571"/>
    <w:rsid w:val="00106FB4"/>
    <w:rsid w:val="00110B04"/>
    <w:rsid w:val="00111B39"/>
    <w:rsid w:val="0011363B"/>
    <w:rsid w:val="00116146"/>
    <w:rsid w:val="00117DFB"/>
    <w:rsid w:val="00124134"/>
    <w:rsid w:val="0012519F"/>
    <w:rsid w:val="00125276"/>
    <w:rsid w:val="00126B4E"/>
    <w:rsid w:val="00130F2D"/>
    <w:rsid w:val="00130F44"/>
    <w:rsid w:val="0013360F"/>
    <w:rsid w:val="00134166"/>
    <w:rsid w:val="0013572D"/>
    <w:rsid w:val="00136215"/>
    <w:rsid w:val="00136780"/>
    <w:rsid w:val="001374ED"/>
    <w:rsid w:val="00141975"/>
    <w:rsid w:val="00142ADC"/>
    <w:rsid w:val="00143391"/>
    <w:rsid w:val="001440D9"/>
    <w:rsid w:val="00145A04"/>
    <w:rsid w:val="001524E5"/>
    <w:rsid w:val="0015285B"/>
    <w:rsid w:val="0015331D"/>
    <w:rsid w:val="00154092"/>
    <w:rsid w:val="001546B1"/>
    <w:rsid w:val="00154EBE"/>
    <w:rsid w:val="001613A3"/>
    <w:rsid w:val="001619C5"/>
    <w:rsid w:val="00161F33"/>
    <w:rsid w:val="0016207A"/>
    <w:rsid w:val="0016293A"/>
    <w:rsid w:val="00162EAD"/>
    <w:rsid w:val="00166A4C"/>
    <w:rsid w:val="00166D01"/>
    <w:rsid w:val="0016751C"/>
    <w:rsid w:val="00167569"/>
    <w:rsid w:val="00172C3F"/>
    <w:rsid w:val="001739EB"/>
    <w:rsid w:val="00175143"/>
    <w:rsid w:val="0017536B"/>
    <w:rsid w:val="00180907"/>
    <w:rsid w:val="001813FA"/>
    <w:rsid w:val="001820E1"/>
    <w:rsid w:val="001827D2"/>
    <w:rsid w:val="001830BB"/>
    <w:rsid w:val="00185E8F"/>
    <w:rsid w:val="00186A0E"/>
    <w:rsid w:val="00187EC7"/>
    <w:rsid w:val="00190210"/>
    <w:rsid w:val="00190967"/>
    <w:rsid w:val="001918CE"/>
    <w:rsid w:val="00191C95"/>
    <w:rsid w:val="00192097"/>
    <w:rsid w:val="00192987"/>
    <w:rsid w:val="001938E9"/>
    <w:rsid w:val="00193954"/>
    <w:rsid w:val="00194147"/>
    <w:rsid w:val="001942A3"/>
    <w:rsid w:val="00194C2D"/>
    <w:rsid w:val="00194FBB"/>
    <w:rsid w:val="001953CD"/>
    <w:rsid w:val="0019559B"/>
    <w:rsid w:val="00195F3E"/>
    <w:rsid w:val="00197D7F"/>
    <w:rsid w:val="001A3E83"/>
    <w:rsid w:val="001A4A0C"/>
    <w:rsid w:val="001A4BC7"/>
    <w:rsid w:val="001A5A2A"/>
    <w:rsid w:val="001A5ADF"/>
    <w:rsid w:val="001A5F41"/>
    <w:rsid w:val="001A64FF"/>
    <w:rsid w:val="001A6D93"/>
    <w:rsid w:val="001A72A0"/>
    <w:rsid w:val="001B229F"/>
    <w:rsid w:val="001B2C22"/>
    <w:rsid w:val="001B5616"/>
    <w:rsid w:val="001B5878"/>
    <w:rsid w:val="001B73A8"/>
    <w:rsid w:val="001C0447"/>
    <w:rsid w:val="001C0B1C"/>
    <w:rsid w:val="001C16C0"/>
    <w:rsid w:val="001C22F4"/>
    <w:rsid w:val="001C2CA4"/>
    <w:rsid w:val="001C6F0F"/>
    <w:rsid w:val="001C7CD7"/>
    <w:rsid w:val="001D1757"/>
    <w:rsid w:val="001D2350"/>
    <w:rsid w:val="001D35E6"/>
    <w:rsid w:val="001D4CE6"/>
    <w:rsid w:val="001D4E42"/>
    <w:rsid w:val="001D53CF"/>
    <w:rsid w:val="001D6110"/>
    <w:rsid w:val="001D62B4"/>
    <w:rsid w:val="001D6B5D"/>
    <w:rsid w:val="001D76F0"/>
    <w:rsid w:val="001E0DBA"/>
    <w:rsid w:val="001E193F"/>
    <w:rsid w:val="001E36A9"/>
    <w:rsid w:val="001E4A6F"/>
    <w:rsid w:val="001E6E32"/>
    <w:rsid w:val="001E7ADA"/>
    <w:rsid w:val="001F0639"/>
    <w:rsid w:val="001F138E"/>
    <w:rsid w:val="001F3452"/>
    <w:rsid w:val="001F5D07"/>
    <w:rsid w:val="001F7E59"/>
    <w:rsid w:val="00200106"/>
    <w:rsid w:val="00200E8D"/>
    <w:rsid w:val="002027BE"/>
    <w:rsid w:val="00204040"/>
    <w:rsid w:val="00206CC1"/>
    <w:rsid w:val="00206EF0"/>
    <w:rsid w:val="00207A31"/>
    <w:rsid w:val="00207DD5"/>
    <w:rsid w:val="00207E27"/>
    <w:rsid w:val="00213CE2"/>
    <w:rsid w:val="00214922"/>
    <w:rsid w:val="00215C1A"/>
    <w:rsid w:val="00222466"/>
    <w:rsid w:val="0022486D"/>
    <w:rsid w:val="002301BD"/>
    <w:rsid w:val="00230E9C"/>
    <w:rsid w:val="00230EAD"/>
    <w:rsid w:val="002312F9"/>
    <w:rsid w:val="00231DE8"/>
    <w:rsid w:val="002334C6"/>
    <w:rsid w:val="00234DCB"/>
    <w:rsid w:val="00237CB1"/>
    <w:rsid w:val="00241597"/>
    <w:rsid w:val="0024196A"/>
    <w:rsid w:val="00241A22"/>
    <w:rsid w:val="00243164"/>
    <w:rsid w:val="00244253"/>
    <w:rsid w:val="002446FF"/>
    <w:rsid w:val="00244BF2"/>
    <w:rsid w:val="00245787"/>
    <w:rsid w:val="00246E78"/>
    <w:rsid w:val="0024797C"/>
    <w:rsid w:val="00250DAF"/>
    <w:rsid w:val="002511AB"/>
    <w:rsid w:val="0025176D"/>
    <w:rsid w:val="00252094"/>
    <w:rsid w:val="00252399"/>
    <w:rsid w:val="00252951"/>
    <w:rsid w:val="00253E13"/>
    <w:rsid w:val="00253FB0"/>
    <w:rsid w:val="00256601"/>
    <w:rsid w:val="0026207C"/>
    <w:rsid w:val="00262118"/>
    <w:rsid w:val="002636E9"/>
    <w:rsid w:val="00266247"/>
    <w:rsid w:val="00270551"/>
    <w:rsid w:val="00270995"/>
    <w:rsid w:val="00271152"/>
    <w:rsid w:val="002718C1"/>
    <w:rsid w:val="002753D8"/>
    <w:rsid w:val="00276564"/>
    <w:rsid w:val="00277648"/>
    <w:rsid w:val="00277953"/>
    <w:rsid w:val="00282969"/>
    <w:rsid w:val="00282C1E"/>
    <w:rsid w:val="002839EA"/>
    <w:rsid w:val="00285D30"/>
    <w:rsid w:val="0028764E"/>
    <w:rsid w:val="002918BE"/>
    <w:rsid w:val="00291C3F"/>
    <w:rsid w:val="00292FA5"/>
    <w:rsid w:val="00293AA6"/>
    <w:rsid w:val="00293C59"/>
    <w:rsid w:val="00293E59"/>
    <w:rsid w:val="00293FDB"/>
    <w:rsid w:val="00294038"/>
    <w:rsid w:val="00294A3F"/>
    <w:rsid w:val="00294C84"/>
    <w:rsid w:val="00297D60"/>
    <w:rsid w:val="002A05AB"/>
    <w:rsid w:val="002A0690"/>
    <w:rsid w:val="002A0C6D"/>
    <w:rsid w:val="002A1F7D"/>
    <w:rsid w:val="002A26E9"/>
    <w:rsid w:val="002A3AC7"/>
    <w:rsid w:val="002A3DE0"/>
    <w:rsid w:val="002A41B6"/>
    <w:rsid w:val="002A53D5"/>
    <w:rsid w:val="002A5CB2"/>
    <w:rsid w:val="002A66C9"/>
    <w:rsid w:val="002A73FC"/>
    <w:rsid w:val="002B07EA"/>
    <w:rsid w:val="002B0DB5"/>
    <w:rsid w:val="002B2122"/>
    <w:rsid w:val="002B2469"/>
    <w:rsid w:val="002B4512"/>
    <w:rsid w:val="002B490F"/>
    <w:rsid w:val="002B50F2"/>
    <w:rsid w:val="002B52BF"/>
    <w:rsid w:val="002B5820"/>
    <w:rsid w:val="002B6B47"/>
    <w:rsid w:val="002C11D0"/>
    <w:rsid w:val="002C138C"/>
    <w:rsid w:val="002C1CF7"/>
    <w:rsid w:val="002C3540"/>
    <w:rsid w:val="002C3C8B"/>
    <w:rsid w:val="002C3CF3"/>
    <w:rsid w:val="002C4A6F"/>
    <w:rsid w:val="002C5178"/>
    <w:rsid w:val="002C73AA"/>
    <w:rsid w:val="002D0099"/>
    <w:rsid w:val="002D31FF"/>
    <w:rsid w:val="002D41C2"/>
    <w:rsid w:val="002D48E4"/>
    <w:rsid w:val="002D72BA"/>
    <w:rsid w:val="002E0F6A"/>
    <w:rsid w:val="002E2F3E"/>
    <w:rsid w:val="002E3DA2"/>
    <w:rsid w:val="002E42BC"/>
    <w:rsid w:val="002E4353"/>
    <w:rsid w:val="002E6CA5"/>
    <w:rsid w:val="002F0426"/>
    <w:rsid w:val="002F047F"/>
    <w:rsid w:val="002F07E0"/>
    <w:rsid w:val="002F1534"/>
    <w:rsid w:val="002F156B"/>
    <w:rsid w:val="002F1A15"/>
    <w:rsid w:val="002F1E7D"/>
    <w:rsid w:val="002F7099"/>
    <w:rsid w:val="0030012E"/>
    <w:rsid w:val="00301A7E"/>
    <w:rsid w:val="00302A9A"/>
    <w:rsid w:val="00303884"/>
    <w:rsid w:val="00304243"/>
    <w:rsid w:val="0030741C"/>
    <w:rsid w:val="00307E61"/>
    <w:rsid w:val="00307FB3"/>
    <w:rsid w:val="00313D4A"/>
    <w:rsid w:val="0031627A"/>
    <w:rsid w:val="00316D9D"/>
    <w:rsid w:val="003207A1"/>
    <w:rsid w:val="00320BEA"/>
    <w:rsid w:val="00321303"/>
    <w:rsid w:val="00322A0D"/>
    <w:rsid w:val="003231B8"/>
    <w:rsid w:val="00323F87"/>
    <w:rsid w:val="00324FD1"/>
    <w:rsid w:val="003257C4"/>
    <w:rsid w:val="00326EA3"/>
    <w:rsid w:val="003274FE"/>
    <w:rsid w:val="00330B1D"/>
    <w:rsid w:val="00331C4C"/>
    <w:rsid w:val="00331D3A"/>
    <w:rsid w:val="00333E10"/>
    <w:rsid w:val="00334D21"/>
    <w:rsid w:val="00335781"/>
    <w:rsid w:val="00340ACF"/>
    <w:rsid w:val="00341044"/>
    <w:rsid w:val="0034279E"/>
    <w:rsid w:val="0034357A"/>
    <w:rsid w:val="003439A1"/>
    <w:rsid w:val="00343BE1"/>
    <w:rsid w:val="00343EF0"/>
    <w:rsid w:val="00344A36"/>
    <w:rsid w:val="00345E3C"/>
    <w:rsid w:val="00346039"/>
    <w:rsid w:val="0034607B"/>
    <w:rsid w:val="00351779"/>
    <w:rsid w:val="00351C80"/>
    <w:rsid w:val="0035229A"/>
    <w:rsid w:val="00354D15"/>
    <w:rsid w:val="00355314"/>
    <w:rsid w:val="003553F2"/>
    <w:rsid w:val="0035553C"/>
    <w:rsid w:val="003600A7"/>
    <w:rsid w:val="00362564"/>
    <w:rsid w:val="00362AF8"/>
    <w:rsid w:val="00362F97"/>
    <w:rsid w:val="003630D2"/>
    <w:rsid w:val="00363D06"/>
    <w:rsid w:val="00363E2D"/>
    <w:rsid w:val="00365CB5"/>
    <w:rsid w:val="003672AD"/>
    <w:rsid w:val="0037112D"/>
    <w:rsid w:val="003715AF"/>
    <w:rsid w:val="00373B5C"/>
    <w:rsid w:val="00375262"/>
    <w:rsid w:val="00375C49"/>
    <w:rsid w:val="0038060A"/>
    <w:rsid w:val="003809F1"/>
    <w:rsid w:val="00380F71"/>
    <w:rsid w:val="003810FD"/>
    <w:rsid w:val="003837EC"/>
    <w:rsid w:val="003850E3"/>
    <w:rsid w:val="00387039"/>
    <w:rsid w:val="00387259"/>
    <w:rsid w:val="00390F2B"/>
    <w:rsid w:val="00392029"/>
    <w:rsid w:val="003924CF"/>
    <w:rsid w:val="00393293"/>
    <w:rsid w:val="0039419C"/>
    <w:rsid w:val="00396F19"/>
    <w:rsid w:val="00397DD0"/>
    <w:rsid w:val="003A0D5E"/>
    <w:rsid w:val="003A1ECE"/>
    <w:rsid w:val="003A24F7"/>
    <w:rsid w:val="003A4744"/>
    <w:rsid w:val="003A74C7"/>
    <w:rsid w:val="003A77D3"/>
    <w:rsid w:val="003A793C"/>
    <w:rsid w:val="003A7E80"/>
    <w:rsid w:val="003B07AD"/>
    <w:rsid w:val="003B3EAD"/>
    <w:rsid w:val="003B4366"/>
    <w:rsid w:val="003B5862"/>
    <w:rsid w:val="003B5E4A"/>
    <w:rsid w:val="003B73B3"/>
    <w:rsid w:val="003B7518"/>
    <w:rsid w:val="003C0810"/>
    <w:rsid w:val="003C1684"/>
    <w:rsid w:val="003C2B26"/>
    <w:rsid w:val="003C2C86"/>
    <w:rsid w:val="003C2D30"/>
    <w:rsid w:val="003C4636"/>
    <w:rsid w:val="003C53D3"/>
    <w:rsid w:val="003C59F1"/>
    <w:rsid w:val="003C7A5D"/>
    <w:rsid w:val="003C7DCD"/>
    <w:rsid w:val="003D2006"/>
    <w:rsid w:val="003D43F9"/>
    <w:rsid w:val="003D4B4A"/>
    <w:rsid w:val="003D4EB5"/>
    <w:rsid w:val="003D67B6"/>
    <w:rsid w:val="003D6AE7"/>
    <w:rsid w:val="003E0817"/>
    <w:rsid w:val="003E0CE2"/>
    <w:rsid w:val="003E264B"/>
    <w:rsid w:val="003E4982"/>
    <w:rsid w:val="003E4DFD"/>
    <w:rsid w:val="003E5096"/>
    <w:rsid w:val="003E5366"/>
    <w:rsid w:val="003E5B56"/>
    <w:rsid w:val="003E6CDB"/>
    <w:rsid w:val="003F025B"/>
    <w:rsid w:val="003F129C"/>
    <w:rsid w:val="003F1C7F"/>
    <w:rsid w:val="003F1E37"/>
    <w:rsid w:val="003F2FB2"/>
    <w:rsid w:val="003F3054"/>
    <w:rsid w:val="003F4F26"/>
    <w:rsid w:val="00403808"/>
    <w:rsid w:val="004050B2"/>
    <w:rsid w:val="0040562D"/>
    <w:rsid w:val="00406DC8"/>
    <w:rsid w:val="00406EF4"/>
    <w:rsid w:val="00407A1D"/>
    <w:rsid w:val="00410225"/>
    <w:rsid w:val="00411B50"/>
    <w:rsid w:val="004125C9"/>
    <w:rsid w:val="00420486"/>
    <w:rsid w:val="00423AB8"/>
    <w:rsid w:val="004256AA"/>
    <w:rsid w:val="00427FDE"/>
    <w:rsid w:val="00430097"/>
    <w:rsid w:val="004300A6"/>
    <w:rsid w:val="00431F0F"/>
    <w:rsid w:val="00432317"/>
    <w:rsid w:val="00434815"/>
    <w:rsid w:val="00434E5B"/>
    <w:rsid w:val="0043519F"/>
    <w:rsid w:val="00435874"/>
    <w:rsid w:val="00437E17"/>
    <w:rsid w:val="004403AD"/>
    <w:rsid w:val="004405F4"/>
    <w:rsid w:val="0044418D"/>
    <w:rsid w:val="0044483F"/>
    <w:rsid w:val="004448A0"/>
    <w:rsid w:val="00444B57"/>
    <w:rsid w:val="00444F9A"/>
    <w:rsid w:val="00445BEA"/>
    <w:rsid w:val="00446C28"/>
    <w:rsid w:val="00446F6F"/>
    <w:rsid w:val="00447910"/>
    <w:rsid w:val="00447E65"/>
    <w:rsid w:val="0045356E"/>
    <w:rsid w:val="004539F6"/>
    <w:rsid w:val="00453EC3"/>
    <w:rsid w:val="004546CF"/>
    <w:rsid w:val="004562AE"/>
    <w:rsid w:val="00456AD0"/>
    <w:rsid w:val="00457409"/>
    <w:rsid w:val="00457B04"/>
    <w:rsid w:val="004609B0"/>
    <w:rsid w:val="00460A5A"/>
    <w:rsid w:val="004616E9"/>
    <w:rsid w:val="00461C51"/>
    <w:rsid w:val="00462E50"/>
    <w:rsid w:val="00464263"/>
    <w:rsid w:val="00464EDD"/>
    <w:rsid w:val="00466F52"/>
    <w:rsid w:val="00467049"/>
    <w:rsid w:val="0047143A"/>
    <w:rsid w:val="004734B9"/>
    <w:rsid w:val="00474F1F"/>
    <w:rsid w:val="00476B72"/>
    <w:rsid w:val="00476C58"/>
    <w:rsid w:val="00480FF5"/>
    <w:rsid w:val="0048393A"/>
    <w:rsid w:val="00483D6D"/>
    <w:rsid w:val="0048492A"/>
    <w:rsid w:val="004854C7"/>
    <w:rsid w:val="00486335"/>
    <w:rsid w:val="00486FAD"/>
    <w:rsid w:val="0048706E"/>
    <w:rsid w:val="004870A9"/>
    <w:rsid w:val="00487F4A"/>
    <w:rsid w:val="00490FA5"/>
    <w:rsid w:val="004923C3"/>
    <w:rsid w:val="00493635"/>
    <w:rsid w:val="004969DF"/>
    <w:rsid w:val="004A21F8"/>
    <w:rsid w:val="004A2F52"/>
    <w:rsid w:val="004A7A7C"/>
    <w:rsid w:val="004B3FDD"/>
    <w:rsid w:val="004B474E"/>
    <w:rsid w:val="004B75BF"/>
    <w:rsid w:val="004C0DBC"/>
    <w:rsid w:val="004C1192"/>
    <w:rsid w:val="004C3B4B"/>
    <w:rsid w:val="004C4BD6"/>
    <w:rsid w:val="004C52E1"/>
    <w:rsid w:val="004C7DE7"/>
    <w:rsid w:val="004D109C"/>
    <w:rsid w:val="004D3A58"/>
    <w:rsid w:val="004D414E"/>
    <w:rsid w:val="004D769E"/>
    <w:rsid w:val="004E02AC"/>
    <w:rsid w:val="004E05A9"/>
    <w:rsid w:val="004E1855"/>
    <w:rsid w:val="004E18C8"/>
    <w:rsid w:val="004E4F67"/>
    <w:rsid w:val="004E54B4"/>
    <w:rsid w:val="004E6241"/>
    <w:rsid w:val="004E6580"/>
    <w:rsid w:val="004E67DA"/>
    <w:rsid w:val="004E7E92"/>
    <w:rsid w:val="004F00DA"/>
    <w:rsid w:val="004F00F2"/>
    <w:rsid w:val="004F039C"/>
    <w:rsid w:val="004F27DF"/>
    <w:rsid w:val="004F2886"/>
    <w:rsid w:val="004F3046"/>
    <w:rsid w:val="004F3B45"/>
    <w:rsid w:val="004F5205"/>
    <w:rsid w:val="004F6057"/>
    <w:rsid w:val="004F6251"/>
    <w:rsid w:val="004F629B"/>
    <w:rsid w:val="004F7045"/>
    <w:rsid w:val="004F7D92"/>
    <w:rsid w:val="00501339"/>
    <w:rsid w:val="005046A5"/>
    <w:rsid w:val="005047C6"/>
    <w:rsid w:val="00505665"/>
    <w:rsid w:val="00506528"/>
    <w:rsid w:val="00506DF6"/>
    <w:rsid w:val="00506F52"/>
    <w:rsid w:val="005079DE"/>
    <w:rsid w:val="00507C3D"/>
    <w:rsid w:val="00515130"/>
    <w:rsid w:val="00517767"/>
    <w:rsid w:val="00517A26"/>
    <w:rsid w:val="0052018F"/>
    <w:rsid w:val="0052198F"/>
    <w:rsid w:val="005220C5"/>
    <w:rsid w:val="0052236C"/>
    <w:rsid w:val="0052505E"/>
    <w:rsid w:val="00525C47"/>
    <w:rsid w:val="00530235"/>
    <w:rsid w:val="005307E0"/>
    <w:rsid w:val="00531540"/>
    <w:rsid w:val="00533071"/>
    <w:rsid w:val="005335A9"/>
    <w:rsid w:val="00536F5D"/>
    <w:rsid w:val="005405E4"/>
    <w:rsid w:val="00541B05"/>
    <w:rsid w:val="0054287E"/>
    <w:rsid w:val="0054435B"/>
    <w:rsid w:val="005462FB"/>
    <w:rsid w:val="00546FAB"/>
    <w:rsid w:val="00551D89"/>
    <w:rsid w:val="00551DD8"/>
    <w:rsid w:val="00552DDA"/>
    <w:rsid w:val="00552EF9"/>
    <w:rsid w:val="005536EC"/>
    <w:rsid w:val="0055464B"/>
    <w:rsid w:val="00556A2B"/>
    <w:rsid w:val="00556F1A"/>
    <w:rsid w:val="0055705C"/>
    <w:rsid w:val="005572D1"/>
    <w:rsid w:val="005620C5"/>
    <w:rsid w:val="0056236C"/>
    <w:rsid w:val="005634A2"/>
    <w:rsid w:val="005659DE"/>
    <w:rsid w:val="005660BE"/>
    <w:rsid w:val="0056635D"/>
    <w:rsid w:val="0057142D"/>
    <w:rsid w:val="00573714"/>
    <w:rsid w:val="00573F0C"/>
    <w:rsid w:val="0058056F"/>
    <w:rsid w:val="00581542"/>
    <w:rsid w:val="00581C04"/>
    <w:rsid w:val="00582E57"/>
    <w:rsid w:val="005834F4"/>
    <w:rsid w:val="00584257"/>
    <w:rsid w:val="0058627D"/>
    <w:rsid w:val="00590995"/>
    <w:rsid w:val="00591EC8"/>
    <w:rsid w:val="00591EE3"/>
    <w:rsid w:val="00593621"/>
    <w:rsid w:val="00593804"/>
    <w:rsid w:val="00594CE5"/>
    <w:rsid w:val="005961AA"/>
    <w:rsid w:val="00597143"/>
    <w:rsid w:val="005A0E24"/>
    <w:rsid w:val="005A1AD4"/>
    <w:rsid w:val="005A1E24"/>
    <w:rsid w:val="005A3930"/>
    <w:rsid w:val="005A3DC5"/>
    <w:rsid w:val="005A5507"/>
    <w:rsid w:val="005A57CD"/>
    <w:rsid w:val="005A612A"/>
    <w:rsid w:val="005A6721"/>
    <w:rsid w:val="005A7126"/>
    <w:rsid w:val="005A7ECC"/>
    <w:rsid w:val="005B134A"/>
    <w:rsid w:val="005B23CE"/>
    <w:rsid w:val="005C1B9A"/>
    <w:rsid w:val="005C34DB"/>
    <w:rsid w:val="005C534C"/>
    <w:rsid w:val="005C767D"/>
    <w:rsid w:val="005C7F7F"/>
    <w:rsid w:val="005D1639"/>
    <w:rsid w:val="005D4ACE"/>
    <w:rsid w:val="005D5144"/>
    <w:rsid w:val="005D6AAA"/>
    <w:rsid w:val="005D6F8E"/>
    <w:rsid w:val="005D7952"/>
    <w:rsid w:val="005D7B1B"/>
    <w:rsid w:val="005E54E3"/>
    <w:rsid w:val="005F0A3B"/>
    <w:rsid w:val="005F1229"/>
    <w:rsid w:val="005F1839"/>
    <w:rsid w:val="005F32AE"/>
    <w:rsid w:val="005F6BE6"/>
    <w:rsid w:val="005F7287"/>
    <w:rsid w:val="0060176B"/>
    <w:rsid w:val="0060323A"/>
    <w:rsid w:val="00603E4B"/>
    <w:rsid w:val="00604D28"/>
    <w:rsid w:val="0060673D"/>
    <w:rsid w:val="006103EC"/>
    <w:rsid w:val="00610E25"/>
    <w:rsid w:val="00610FAB"/>
    <w:rsid w:val="00611FD9"/>
    <w:rsid w:val="00612A42"/>
    <w:rsid w:val="00613365"/>
    <w:rsid w:val="00613874"/>
    <w:rsid w:val="00614BB4"/>
    <w:rsid w:val="00614BDE"/>
    <w:rsid w:val="006165F3"/>
    <w:rsid w:val="00621195"/>
    <w:rsid w:val="0062203B"/>
    <w:rsid w:val="006234A8"/>
    <w:rsid w:val="006235D5"/>
    <w:rsid w:val="0062360D"/>
    <w:rsid w:val="00623E20"/>
    <w:rsid w:val="00624FB2"/>
    <w:rsid w:val="00626F2A"/>
    <w:rsid w:val="00627737"/>
    <w:rsid w:val="00630EC7"/>
    <w:rsid w:val="00631A09"/>
    <w:rsid w:val="00631B23"/>
    <w:rsid w:val="00632107"/>
    <w:rsid w:val="00632243"/>
    <w:rsid w:val="00633084"/>
    <w:rsid w:val="00634806"/>
    <w:rsid w:val="00634A3D"/>
    <w:rsid w:val="006365E1"/>
    <w:rsid w:val="00636F8E"/>
    <w:rsid w:val="00637545"/>
    <w:rsid w:val="00640034"/>
    <w:rsid w:val="00640473"/>
    <w:rsid w:val="0064262E"/>
    <w:rsid w:val="0064311C"/>
    <w:rsid w:val="00644F73"/>
    <w:rsid w:val="00645524"/>
    <w:rsid w:val="00645DB8"/>
    <w:rsid w:val="00646DE8"/>
    <w:rsid w:val="0064707E"/>
    <w:rsid w:val="00647304"/>
    <w:rsid w:val="006479D1"/>
    <w:rsid w:val="00650741"/>
    <w:rsid w:val="0065204A"/>
    <w:rsid w:val="006528BA"/>
    <w:rsid w:val="00652C25"/>
    <w:rsid w:val="00652E3C"/>
    <w:rsid w:val="00653AAE"/>
    <w:rsid w:val="00653EC3"/>
    <w:rsid w:val="00654568"/>
    <w:rsid w:val="00654B31"/>
    <w:rsid w:val="00656C1A"/>
    <w:rsid w:val="00657B4E"/>
    <w:rsid w:val="00657F64"/>
    <w:rsid w:val="006614C2"/>
    <w:rsid w:val="006620FE"/>
    <w:rsid w:val="006634D0"/>
    <w:rsid w:val="0066393E"/>
    <w:rsid w:val="00666001"/>
    <w:rsid w:val="006675A0"/>
    <w:rsid w:val="00672320"/>
    <w:rsid w:val="00672B4D"/>
    <w:rsid w:val="006738F1"/>
    <w:rsid w:val="00675A53"/>
    <w:rsid w:val="006771EF"/>
    <w:rsid w:val="006816C7"/>
    <w:rsid w:val="006825C7"/>
    <w:rsid w:val="006825EB"/>
    <w:rsid w:val="0068344F"/>
    <w:rsid w:val="006842B5"/>
    <w:rsid w:val="0069138D"/>
    <w:rsid w:val="00691B6D"/>
    <w:rsid w:val="00693ECF"/>
    <w:rsid w:val="00694EE5"/>
    <w:rsid w:val="006952B5"/>
    <w:rsid w:val="006955D2"/>
    <w:rsid w:val="006A09D9"/>
    <w:rsid w:val="006A1391"/>
    <w:rsid w:val="006A34B9"/>
    <w:rsid w:val="006A3518"/>
    <w:rsid w:val="006A3CEB"/>
    <w:rsid w:val="006A4579"/>
    <w:rsid w:val="006A7EF7"/>
    <w:rsid w:val="006B000B"/>
    <w:rsid w:val="006B0B54"/>
    <w:rsid w:val="006B1461"/>
    <w:rsid w:val="006B1EE3"/>
    <w:rsid w:val="006B483E"/>
    <w:rsid w:val="006B4D08"/>
    <w:rsid w:val="006B6B8C"/>
    <w:rsid w:val="006C374D"/>
    <w:rsid w:val="006C4354"/>
    <w:rsid w:val="006D0A67"/>
    <w:rsid w:val="006D1145"/>
    <w:rsid w:val="006D530E"/>
    <w:rsid w:val="006E14F1"/>
    <w:rsid w:val="006E20CD"/>
    <w:rsid w:val="006E2B5E"/>
    <w:rsid w:val="006E2D40"/>
    <w:rsid w:val="006E2E93"/>
    <w:rsid w:val="006E40EA"/>
    <w:rsid w:val="006E6677"/>
    <w:rsid w:val="006E7272"/>
    <w:rsid w:val="006E76B7"/>
    <w:rsid w:val="006F0224"/>
    <w:rsid w:val="006F0D55"/>
    <w:rsid w:val="006F555E"/>
    <w:rsid w:val="006F707A"/>
    <w:rsid w:val="00700DED"/>
    <w:rsid w:val="00701264"/>
    <w:rsid w:val="007038E8"/>
    <w:rsid w:val="007052B5"/>
    <w:rsid w:val="00705D70"/>
    <w:rsid w:val="007066CE"/>
    <w:rsid w:val="00706DCD"/>
    <w:rsid w:val="00706F98"/>
    <w:rsid w:val="0070736A"/>
    <w:rsid w:val="00707EB8"/>
    <w:rsid w:val="0071137F"/>
    <w:rsid w:val="00711CCA"/>
    <w:rsid w:val="00712246"/>
    <w:rsid w:val="00716996"/>
    <w:rsid w:val="00716C65"/>
    <w:rsid w:val="00720257"/>
    <w:rsid w:val="00724B7B"/>
    <w:rsid w:val="00724D60"/>
    <w:rsid w:val="00725F28"/>
    <w:rsid w:val="007269E3"/>
    <w:rsid w:val="00733205"/>
    <w:rsid w:val="00733FAC"/>
    <w:rsid w:val="00735505"/>
    <w:rsid w:val="0073714B"/>
    <w:rsid w:val="0073784E"/>
    <w:rsid w:val="00741369"/>
    <w:rsid w:val="00742814"/>
    <w:rsid w:val="007435A8"/>
    <w:rsid w:val="00743C04"/>
    <w:rsid w:val="007445EE"/>
    <w:rsid w:val="00744F4F"/>
    <w:rsid w:val="00746ADC"/>
    <w:rsid w:val="00747662"/>
    <w:rsid w:val="00750305"/>
    <w:rsid w:val="0075321E"/>
    <w:rsid w:val="0075433C"/>
    <w:rsid w:val="007544FE"/>
    <w:rsid w:val="00754CBA"/>
    <w:rsid w:val="007551C7"/>
    <w:rsid w:val="007553CE"/>
    <w:rsid w:val="00755556"/>
    <w:rsid w:val="007555F7"/>
    <w:rsid w:val="00757F7E"/>
    <w:rsid w:val="00760E75"/>
    <w:rsid w:val="00761333"/>
    <w:rsid w:val="00762AF8"/>
    <w:rsid w:val="00762F49"/>
    <w:rsid w:val="0076304F"/>
    <w:rsid w:val="00763160"/>
    <w:rsid w:val="007632AA"/>
    <w:rsid w:val="007638BA"/>
    <w:rsid w:val="007665AF"/>
    <w:rsid w:val="007670E0"/>
    <w:rsid w:val="007674AA"/>
    <w:rsid w:val="00770000"/>
    <w:rsid w:val="007706CE"/>
    <w:rsid w:val="00770B09"/>
    <w:rsid w:val="00770BE9"/>
    <w:rsid w:val="0077175B"/>
    <w:rsid w:val="00771B03"/>
    <w:rsid w:val="007728C6"/>
    <w:rsid w:val="00772F66"/>
    <w:rsid w:val="0077433F"/>
    <w:rsid w:val="007753A3"/>
    <w:rsid w:val="007766EB"/>
    <w:rsid w:val="00780FAD"/>
    <w:rsid w:val="007824B1"/>
    <w:rsid w:val="00782F22"/>
    <w:rsid w:val="00783127"/>
    <w:rsid w:val="00783FB8"/>
    <w:rsid w:val="00784605"/>
    <w:rsid w:val="00784A7B"/>
    <w:rsid w:val="0078560F"/>
    <w:rsid w:val="00786116"/>
    <w:rsid w:val="00786F36"/>
    <w:rsid w:val="007872F4"/>
    <w:rsid w:val="0078790E"/>
    <w:rsid w:val="00790E88"/>
    <w:rsid w:val="007926C3"/>
    <w:rsid w:val="00792E7A"/>
    <w:rsid w:val="00793208"/>
    <w:rsid w:val="007933C9"/>
    <w:rsid w:val="00793D7D"/>
    <w:rsid w:val="00795378"/>
    <w:rsid w:val="00796C3F"/>
    <w:rsid w:val="007973E9"/>
    <w:rsid w:val="007976A3"/>
    <w:rsid w:val="00797F87"/>
    <w:rsid w:val="007A16CD"/>
    <w:rsid w:val="007A1D96"/>
    <w:rsid w:val="007A3ACE"/>
    <w:rsid w:val="007A56FB"/>
    <w:rsid w:val="007B2C1A"/>
    <w:rsid w:val="007B3CF7"/>
    <w:rsid w:val="007B472F"/>
    <w:rsid w:val="007B5B54"/>
    <w:rsid w:val="007B6083"/>
    <w:rsid w:val="007B6843"/>
    <w:rsid w:val="007B6D12"/>
    <w:rsid w:val="007B760A"/>
    <w:rsid w:val="007C05C2"/>
    <w:rsid w:val="007C4E4F"/>
    <w:rsid w:val="007C515F"/>
    <w:rsid w:val="007C6EC6"/>
    <w:rsid w:val="007C6FE4"/>
    <w:rsid w:val="007C7E60"/>
    <w:rsid w:val="007D1000"/>
    <w:rsid w:val="007D1958"/>
    <w:rsid w:val="007D650D"/>
    <w:rsid w:val="007D6985"/>
    <w:rsid w:val="007D699B"/>
    <w:rsid w:val="007D7584"/>
    <w:rsid w:val="007D766D"/>
    <w:rsid w:val="007D7FC2"/>
    <w:rsid w:val="007E14E6"/>
    <w:rsid w:val="007E2AA1"/>
    <w:rsid w:val="007E3023"/>
    <w:rsid w:val="007E569E"/>
    <w:rsid w:val="007E64A2"/>
    <w:rsid w:val="007F06F5"/>
    <w:rsid w:val="007F0CA0"/>
    <w:rsid w:val="007F4794"/>
    <w:rsid w:val="007F6270"/>
    <w:rsid w:val="007F7592"/>
    <w:rsid w:val="00801818"/>
    <w:rsid w:val="00803149"/>
    <w:rsid w:val="00803706"/>
    <w:rsid w:val="00804BAE"/>
    <w:rsid w:val="00804DA2"/>
    <w:rsid w:val="0080676D"/>
    <w:rsid w:val="0080761D"/>
    <w:rsid w:val="008078D4"/>
    <w:rsid w:val="00810704"/>
    <w:rsid w:val="00812048"/>
    <w:rsid w:val="008136F9"/>
    <w:rsid w:val="00813981"/>
    <w:rsid w:val="00813D5E"/>
    <w:rsid w:val="008140E5"/>
    <w:rsid w:val="00814C40"/>
    <w:rsid w:val="00814C66"/>
    <w:rsid w:val="00815C94"/>
    <w:rsid w:val="00817FF5"/>
    <w:rsid w:val="0082226E"/>
    <w:rsid w:val="00822F96"/>
    <w:rsid w:val="00823AFD"/>
    <w:rsid w:val="00824468"/>
    <w:rsid w:val="00825093"/>
    <w:rsid w:val="00825F71"/>
    <w:rsid w:val="00826426"/>
    <w:rsid w:val="00830FE3"/>
    <w:rsid w:val="008330B2"/>
    <w:rsid w:val="00834C17"/>
    <w:rsid w:val="008354AE"/>
    <w:rsid w:val="008403C0"/>
    <w:rsid w:val="00841502"/>
    <w:rsid w:val="00841936"/>
    <w:rsid w:val="008424F1"/>
    <w:rsid w:val="008444D6"/>
    <w:rsid w:val="0084472D"/>
    <w:rsid w:val="008479FB"/>
    <w:rsid w:val="00847C99"/>
    <w:rsid w:val="00852375"/>
    <w:rsid w:val="008537F6"/>
    <w:rsid w:val="00854E87"/>
    <w:rsid w:val="008567DB"/>
    <w:rsid w:val="00856825"/>
    <w:rsid w:val="00860545"/>
    <w:rsid w:val="00860B43"/>
    <w:rsid w:val="0086103E"/>
    <w:rsid w:val="0086135B"/>
    <w:rsid w:val="008619F8"/>
    <w:rsid w:val="0086207A"/>
    <w:rsid w:val="00867405"/>
    <w:rsid w:val="00871AA5"/>
    <w:rsid w:val="008737F8"/>
    <w:rsid w:val="00873B71"/>
    <w:rsid w:val="00882D6F"/>
    <w:rsid w:val="008848C1"/>
    <w:rsid w:val="008855D4"/>
    <w:rsid w:val="008865C5"/>
    <w:rsid w:val="008866EB"/>
    <w:rsid w:val="00887156"/>
    <w:rsid w:val="0088757C"/>
    <w:rsid w:val="00887E70"/>
    <w:rsid w:val="00887FA7"/>
    <w:rsid w:val="008909D4"/>
    <w:rsid w:val="00890E9D"/>
    <w:rsid w:val="00891B0D"/>
    <w:rsid w:val="00891BBD"/>
    <w:rsid w:val="00892526"/>
    <w:rsid w:val="00892E15"/>
    <w:rsid w:val="00892F7C"/>
    <w:rsid w:val="0089543F"/>
    <w:rsid w:val="00897B6A"/>
    <w:rsid w:val="008A0559"/>
    <w:rsid w:val="008A2574"/>
    <w:rsid w:val="008A47BC"/>
    <w:rsid w:val="008A4AA3"/>
    <w:rsid w:val="008A4D3D"/>
    <w:rsid w:val="008A6E69"/>
    <w:rsid w:val="008B0BA3"/>
    <w:rsid w:val="008B24A4"/>
    <w:rsid w:val="008B4A0A"/>
    <w:rsid w:val="008B63A8"/>
    <w:rsid w:val="008C1E49"/>
    <w:rsid w:val="008C22CE"/>
    <w:rsid w:val="008C3BD6"/>
    <w:rsid w:val="008C5F30"/>
    <w:rsid w:val="008D1973"/>
    <w:rsid w:val="008D262D"/>
    <w:rsid w:val="008D4171"/>
    <w:rsid w:val="008D4435"/>
    <w:rsid w:val="008D6578"/>
    <w:rsid w:val="008D72D5"/>
    <w:rsid w:val="008D7D6B"/>
    <w:rsid w:val="008E14CB"/>
    <w:rsid w:val="008E216B"/>
    <w:rsid w:val="008E5A0D"/>
    <w:rsid w:val="008F0CA8"/>
    <w:rsid w:val="008F0D50"/>
    <w:rsid w:val="008F1375"/>
    <w:rsid w:val="008F14B7"/>
    <w:rsid w:val="008F2693"/>
    <w:rsid w:val="008F27E5"/>
    <w:rsid w:val="008F51E8"/>
    <w:rsid w:val="008F5289"/>
    <w:rsid w:val="008F575A"/>
    <w:rsid w:val="008F61CE"/>
    <w:rsid w:val="008F63AB"/>
    <w:rsid w:val="008F6B05"/>
    <w:rsid w:val="008F6F7A"/>
    <w:rsid w:val="009003E2"/>
    <w:rsid w:val="00900470"/>
    <w:rsid w:val="0090050E"/>
    <w:rsid w:val="009015C2"/>
    <w:rsid w:val="00902D74"/>
    <w:rsid w:val="0090663B"/>
    <w:rsid w:val="00906A96"/>
    <w:rsid w:val="009079C9"/>
    <w:rsid w:val="00911E9F"/>
    <w:rsid w:val="009142CC"/>
    <w:rsid w:val="0091521A"/>
    <w:rsid w:val="009166F4"/>
    <w:rsid w:val="00916759"/>
    <w:rsid w:val="00920383"/>
    <w:rsid w:val="0092189B"/>
    <w:rsid w:val="00923493"/>
    <w:rsid w:val="00923FA5"/>
    <w:rsid w:val="009254CD"/>
    <w:rsid w:val="009277F5"/>
    <w:rsid w:val="00927BCD"/>
    <w:rsid w:val="00930A38"/>
    <w:rsid w:val="009318BC"/>
    <w:rsid w:val="00932293"/>
    <w:rsid w:val="00932B02"/>
    <w:rsid w:val="0093404B"/>
    <w:rsid w:val="00936987"/>
    <w:rsid w:val="00937132"/>
    <w:rsid w:val="00937D57"/>
    <w:rsid w:val="00941CE1"/>
    <w:rsid w:val="009427CB"/>
    <w:rsid w:val="00944922"/>
    <w:rsid w:val="00945929"/>
    <w:rsid w:val="009479F4"/>
    <w:rsid w:val="00951674"/>
    <w:rsid w:val="00954340"/>
    <w:rsid w:val="00954345"/>
    <w:rsid w:val="00954407"/>
    <w:rsid w:val="009568C0"/>
    <w:rsid w:val="00957E37"/>
    <w:rsid w:val="00960B82"/>
    <w:rsid w:val="00961521"/>
    <w:rsid w:val="00962B71"/>
    <w:rsid w:val="00962E83"/>
    <w:rsid w:val="0096327E"/>
    <w:rsid w:val="00963862"/>
    <w:rsid w:val="0096546E"/>
    <w:rsid w:val="00967777"/>
    <w:rsid w:val="00967B6C"/>
    <w:rsid w:val="009720B3"/>
    <w:rsid w:val="00972BEE"/>
    <w:rsid w:val="00973FCE"/>
    <w:rsid w:val="00974CE6"/>
    <w:rsid w:val="009760A0"/>
    <w:rsid w:val="00981823"/>
    <w:rsid w:val="00982364"/>
    <w:rsid w:val="009847DB"/>
    <w:rsid w:val="0098486A"/>
    <w:rsid w:val="00984C5A"/>
    <w:rsid w:val="00985F0B"/>
    <w:rsid w:val="009866C0"/>
    <w:rsid w:val="00986ED0"/>
    <w:rsid w:val="00987781"/>
    <w:rsid w:val="009900EA"/>
    <w:rsid w:val="009907D9"/>
    <w:rsid w:val="0099117D"/>
    <w:rsid w:val="009914C2"/>
    <w:rsid w:val="009916C9"/>
    <w:rsid w:val="00992174"/>
    <w:rsid w:val="00997F4C"/>
    <w:rsid w:val="009A05B8"/>
    <w:rsid w:val="009A2BF2"/>
    <w:rsid w:val="009A37EB"/>
    <w:rsid w:val="009A3BDB"/>
    <w:rsid w:val="009A4DC2"/>
    <w:rsid w:val="009A4E88"/>
    <w:rsid w:val="009A542E"/>
    <w:rsid w:val="009A663C"/>
    <w:rsid w:val="009A6910"/>
    <w:rsid w:val="009B135E"/>
    <w:rsid w:val="009B2320"/>
    <w:rsid w:val="009B2444"/>
    <w:rsid w:val="009B28F6"/>
    <w:rsid w:val="009B2FB2"/>
    <w:rsid w:val="009B4FDC"/>
    <w:rsid w:val="009B6593"/>
    <w:rsid w:val="009C0ADD"/>
    <w:rsid w:val="009C1BFE"/>
    <w:rsid w:val="009C2F5B"/>
    <w:rsid w:val="009C40C1"/>
    <w:rsid w:val="009C54FC"/>
    <w:rsid w:val="009C6530"/>
    <w:rsid w:val="009C6E36"/>
    <w:rsid w:val="009C7B4E"/>
    <w:rsid w:val="009D078D"/>
    <w:rsid w:val="009D1919"/>
    <w:rsid w:val="009D2BB3"/>
    <w:rsid w:val="009D3038"/>
    <w:rsid w:val="009D3DC0"/>
    <w:rsid w:val="009D71D2"/>
    <w:rsid w:val="009D73C9"/>
    <w:rsid w:val="009D7496"/>
    <w:rsid w:val="009D78C1"/>
    <w:rsid w:val="009E2493"/>
    <w:rsid w:val="009E3FC3"/>
    <w:rsid w:val="009E4370"/>
    <w:rsid w:val="009E7708"/>
    <w:rsid w:val="009F00DF"/>
    <w:rsid w:val="009F1146"/>
    <w:rsid w:val="009F285C"/>
    <w:rsid w:val="009F390C"/>
    <w:rsid w:val="009F4661"/>
    <w:rsid w:val="00A02F55"/>
    <w:rsid w:val="00A03F1F"/>
    <w:rsid w:val="00A04C99"/>
    <w:rsid w:val="00A055ED"/>
    <w:rsid w:val="00A06542"/>
    <w:rsid w:val="00A0690A"/>
    <w:rsid w:val="00A06941"/>
    <w:rsid w:val="00A06DB7"/>
    <w:rsid w:val="00A1020D"/>
    <w:rsid w:val="00A10EEB"/>
    <w:rsid w:val="00A12F13"/>
    <w:rsid w:val="00A159A4"/>
    <w:rsid w:val="00A16DE2"/>
    <w:rsid w:val="00A17406"/>
    <w:rsid w:val="00A21102"/>
    <w:rsid w:val="00A22398"/>
    <w:rsid w:val="00A227E4"/>
    <w:rsid w:val="00A2330C"/>
    <w:rsid w:val="00A24055"/>
    <w:rsid w:val="00A24D7D"/>
    <w:rsid w:val="00A250F3"/>
    <w:rsid w:val="00A25F7A"/>
    <w:rsid w:val="00A26025"/>
    <w:rsid w:val="00A262FE"/>
    <w:rsid w:val="00A302DD"/>
    <w:rsid w:val="00A318F8"/>
    <w:rsid w:val="00A325C8"/>
    <w:rsid w:val="00A3369F"/>
    <w:rsid w:val="00A34898"/>
    <w:rsid w:val="00A364A6"/>
    <w:rsid w:val="00A37531"/>
    <w:rsid w:val="00A37C03"/>
    <w:rsid w:val="00A403A4"/>
    <w:rsid w:val="00A4056E"/>
    <w:rsid w:val="00A41D7D"/>
    <w:rsid w:val="00A42D46"/>
    <w:rsid w:val="00A44A30"/>
    <w:rsid w:val="00A45238"/>
    <w:rsid w:val="00A47E3C"/>
    <w:rsid w:val="00A47FFA"/>
    <w:rsid w:val="00A504B6"/>
    <w:rsid w:val="00A522D4"/>
    <w:rsid w:val="00A52461"/>
    <w:rsid w:val="00A53EC5"/>
    <w:rsid w:val="00A540A7"/>
    <w:rsid w:val="00A567C4"/>
    <w:rsid w:val="00A574A3"/>
    <w:rsid w:val="00A61BF4"/>
    <w:rsid w:val="00A62057"/>
    <w:rsid w:val="00A6284C"/>
    <w:rsid w:val="00A63456"/>
    <w:rsid w:val="00A647DD"/>
    <w:rsid w:val="00A650ED"/>
    <w:rsid w:val="00A6537D"/>
    <w:rsid w:val="00A654AE"/>
    <w:rsid w:val="00A65704"/>
    <w:rsid w:val="00A6605D"/>
    <w:rsid w:val="00A703D8"/>
    <w:rsid w:val="00A713C7"/>
    <w:rsid w:val="00A74669"/>
    <w:rsid w:val="00A75848"/>
    <w:rsid w:val="00A8029A"/>
    <w:rsid w:val="00A80558"/>
    <w:rsid w:val="00A808B5"/>
    <w:rsid w:val="00A82B16"/>
    <w:rsid w:val="00A83DAF"/>
    <w:rsid w:val="00A86AF8"/>
    <w:rsid w:val="00A86F18"/>
    <w:rsid w:val="00A870BE"/>
    <w:rsid w:val="00A91FA0"/>
    <w:rsid w:val="00A931E9"/>
    <w:rsid w:val="00A9589A"/>
    <w:rsid w:val="00A95D1C"/>
    <w:rsid w:val="00A96614"/>
    <w:rsid w:val="00A966B2"/>
    <w:rsid w:val="00A97652"/>
    <w:rsid w:val="00AA1520"/>
    <w:rsid w:val="00AA15C8"/>
    <w:rsid w:val="00AA294F"/>
    <w:rsid w:val="00AA3293"/>
    <w:rsid w:val="00AA34FB"/>
    <w:rsid w:val="00AA3BA4"/>
    <w:rsid w:val="00AA3EBF"/>
    <w:rsid w:val="00AA47ED"/>
    <w:rsid w:val="00AA5EF4"/>
    <w:rsid w:val="00AA6C20"/>
    <w:rsid w:val="00AB1D2C"/>
    <w:rsid w:val="00AB2382"/>
    <w:rsid w:val="00AB3604"/>
    <w:rsid w:val="00AB52BB"/>
    <w:rsid w:val="00AB58A2"/>
    <w:rsid w:val="00AB5C07"/>
    <w:rsid w:val="00AB66E4"/>
    <w:rsid w:val="00AB76B3"/>
    <w:rsid w:val="00AC02DE"/>
    <w:rsid w:val="00AC06BE"/>
    <w:rsid w:val="00AC1811"/>
    <w:rsid w:val="00AC3240"/>
    <w:rsid w:val="00AC520E"/>
    <w:rsid w:val="00AC5666"/>
    <w:rsid w:val="00AC697D"/>
    <w:rsid w:val="00AD3A6F"/>
    <w:rsid w:val="00AD68C8"/>
    <w:rsid w:val="00AD6938"/>
    <w:rsid w:val="00AD6ECF"/>
    <w:rsid w:val="00AD7311"/>
    <w:rsid w:val="00AE005C"/>
    <w:rsid w:val="00AE008F"/>
    <w:rsid w:val="00AE103E"/>
    <w:rsid w:val="00AE2A52"/>
    <w:rsid w:val="00AE2BE4"/>
    <w:rsid w:val="00AE3A6F"/>
    <w:rsid w:val="00AE4266"/>
    <w:rsid w:val="00AE4DE4"/>
    <w:rsid w:val="00AE5D6A"/>
    <w:rsid w:val="00AE74E4"/>
    <w:rsid w:val="00AF2318"/>
    <w:rsid w:val="00AF286F"/>
    <w:rsid w:val="00AF31D4"/>
    <w:rsid w:val="00AF3D38"/>
    <w:rsid w:val="00AF4224"/>
    <w:rsid w:val="00AF60A4"/>
    <w:rsid w:val="00AF7F55"/>
    <w:rsid w:val="00B019FF"/>
    <w:rsid w:val="00B01B02"/>
    <w:rsid w:val="00B05589"/>
    <w:rsid w:val="00B0610A"/>
    <w:rsid w:val="00B063EF"/>
    <w:rsid w:val="00B07F0C"/>
    <w:rsid w:val="00B10414"/>
    <w:rsid w:val="00B12D74"/>
    <w:rsid w:val="00B1487A"/>
    <w:rsid w:val="00B14F0C"/>
    <w:rsid w:val="00B15806"/>
    <w:rsid w:val="00B15DE4"/>
    <w:rsid w:val="00B17F26"/>
    <w:rsid w:val="00B20709"/>
    <w:rsid w:val="00B21241"/>
    <w:rsid w:val="00B213FF"/>
    <w:rsid w:val="00B22275"/>
    <w:rsid w:val="00B23B4A"/>
    <w:rsid w:val="00B26FDB"/>
    <w:rsid w:val="00B31A3B"/>
    <w:rsid w:val="00B329CC"/>
    <w:rsid w:val="00B331FD"/>
    <w:rsid w:val="00B346AB"/>
    <w:rsid w:val="00B34DF6"/>
    <w:rsid w:val="00B35F2D"/>
    <w:rsid w:val="00B37E41"/>
    <w:rsid w:val="00B403F3"/>
    <w:rsid w:val="00B4286A"/>
    <w:rsid w:val="00B43743"/>
    <w:rsid w:val="00B43EB4"/>
    <w:rsid w:val="00B44466"/>
    <w:rsid w:val="00B45F9B"/>
    <w:rsid w:val="00B466C9"/>
    <w:rsid w:val="00B4769A"/>
    <w:rsid w:val="00B5066D"/>
    <w:rsid w:val="00B51B89"/>
    <w:rsid w:val="00B51CE2"/>
    <w:rsid w:val="00B52269"/>
    <w:rsid w:val="00B52F0C"/>
    <w:rsid w:val="00B54E5B"/>
    <w:rsid w:val="00B55867"/>
    <w:rsid w:val="00B55D32"/>
    <w:rsid w:val="00B55E3E"/>
    <w:rsid w:val="00B56C26"/>
    <w:rsid w:val="00B60351"/>
    <w:rsid w:val="00B61A9B"/>
    <w:rsid w:val="00B654CA"/>
    <w:rsid w:val="00B66D5B"/>
    <w:rsid w:val="00B730E1"/>
    <w:rsid w:val="00B734BC"/>
    <w:rsid w:val="00B739AD"/>
    <w:rsid w:val="00B754C7"/>
    <w:rsid w:val="00B761EF"/>
    <w:rsid w:val="00B76460"/>
    <w:rsid w:val="00B76CC0"/>
    <w:rsid w:val="00B779E2"/>
    <w:rsid w:val="00B82A6C"/>
    <w:rsid w:val="00B8737F"/>
    <w:rsid w:val="00B87ED7"/>
    <w:rsid w:val="00B9030D"/>
    <w:rsid w:val="00B90674"/>
    <w:rsid w:val="00B910AF"/>
    <w:rsid w:val="00B91665"/>
    <w:rsid w:val="00B91CDD"/>
    <w:rsid w:val="00B9224F"/>
    <w:rsid w:val="00B94761"/>
    <w:rsid w:val="00B94B3C"/>
    <w:rsid w:val="00B94C83"/>
    <w:rsid w:val="00B94E49"/>
    <w:rsid w:val="00B97635"/>
    <w:rsid w:val="00BA0147"/>
    <w:rsid w:val="00BA1264"/>
    <w:rsid w:val="00BA2148"/>
    <w:rsid w:val="00BA5CB2"/>
    <w:rsid w:val="00BA6BFA"/>
    <w:rsid w:val="00BB078C"/>
    <w:rsid w:val="00BB07B6"/>
    <w:rsid w:val="00BB0AF0"/>
    <w:rsid w:val="00BB0AF1"/>
    <w:rsid w:val="00BB278C"/>
    <w:rsid w:val="00BB377B"/>
    <w:rsid w:val="00BB3D59"/>
    <w:rsid w:val="00BB46E2"/>
    <w:rsid w:val="00BB4C63"/>
    <w:rsid w:val="00BB5C46"/>
    <w:rsid w:val="00BB72B3"/>
    <w:rsid w:val="00BC15A9"/>
    <w:rsid w:val="00BC337F"/>
    <w:rsid w:val="00BC4F52"/>
    <w:rsid w:val="00BC62F7"/>
    <w:rsid w:val="00BD0A7C"/>
    <w:rsid w:val="00BD1224"/>
    <w:rsid w:val="00BD1B82"/>
    <w:rsid w:val="00BD202E"/>
    <w:rsid w:val="00BD6801"/>
    <w:rsid w:val="00BD7951"/>
    <w:rsid w:val="00BD7A47"/>
    <w:rsid w:val="00BE08BF"/>
    <w:rsid w:val="00BE3F9B"/>
    <w:rsid w:val="00BE40D3"/>
    <w:rsid w:val="00BE4D3F"/>
    <w:rsid w:val="00BE5F69"/>
    <w:rsid w:val="00BE7D82"/>
    <w:rsid w:val="00BF0112"/>
    <w:rsid w:val="00BF3758"/>
    <w:rsid w:val="00BF3830"/>
    <w:rsid w:val="00BF44DF"/>
    <w:rsid w:val="00BF50E1"/>
    <w:rsid w:val="00BF59EA"/>
    <w:rsid w:val="00BF5BC0"/>
    <w:rsid w:val="00BF63AC"/>
    <w:rsid w:val="00BF7386"/>
    <w:rsid w:val="00C01083"/>
    <w:rsid w:val="00C014B2"/>
    <w:rsid w:val="00C01BC9"/>
    <w:rsid w:val="00C05A3B"/>
    <w:rsid w:val="00C06D37"/>
    <w:rsid w:val="00C129C0"/>
    <w:rsid w:val="00C13243"/>
    <w:rsid w:val="00C170EF"/>
    <w:rsid w:val="00C174F3"/>
    <w:rsid w:val="00C17C05"/>
    <w:rsid w:val="00C17CD5"/>
    <w:rsid w:val="00C20FDE"/>
    <w:rsid w:val="00C211F9"/>
    <w:rsid w:val="00C22C5C"/>
    <w:rsid w:val="00C22D8E"/>
    <w:rsid w:val="00C24127"/>
    <w:rsid w:val="00C243AB"/>
    <w:rsid w:val="00C25D62"/>
    <w:rsid w:val="00C25EF7"/>
    <w:rsid w:val="00C26DB7"/>
    <w:rsid w:val="00C26F78"/>
    <w:rsid w:val="00C27A9C"/>
    <w:rsid w:val="00C27DB5"/>
    <w:rsid w:val="00C32082"/>
    <w:rsid w:val="00C350BB"/>
    <w:rsid w:val="00C36DA7"/>
    <w:rsid w:val="00C41EB8"/>
    <w:rsid w:val="00C42BED"/>
    <w:rsid w:val="00C43657"/>
    <w:rsid w:val="00C43F53"/>
    <w:rsid w:val="00C44B6A"/>
    <w:rsid w:val="00C44ED0"/>
    <w:rsid w:val="00C479AE"/>
    <w:rsid w:val="00C535E5"/>
    <w:rsid w:val="00C536E4"/>
    <w:rsid w:val="00C54513"/>
    <w:rsid w:val="00C54DB5"/>
    <w:rsid w:val="00C54FAD"/>
    <w:rsid w:val="00C57A0D"/>
    <w:rsid w:val="00C60F7F"/>
    <w:rsid w:val="00C626BE"/>
    <w:rsid w:val="00C6321C"/>
    <w:rsid w:val="00C640D1"/>
    <w:rsid w:val="00C660EB"/>
    <w:rsid w:val="00C661E0"/>
    <w:rsid w:val="00C66578"/>
    <w:rsid w:val="00C66F9D"/>
    <w:rsid w:val="00C67C62"/>
    <w:rsid w:val="00C72066"/>
    <w:rsid w:val="00C735B3"/>
    <w:rsid w:val="00C73960"/>
    <w:rsid w:val="00C74594"/>
    <w:rsid w:val="00C74611"/>
    <w:rsid w:val="00C82055"/>
    <w:rsid w:val="00C83B7B"/>
    <w:rsid w:val="00C875FF"/>
    <w:rsid w:val="00C87FA0"/>
    <w:rsid w:val="00C9161C"/>
    <w:rsid w:val="00C91C2A"/>
    <w:rsid w:val="00C92CA9"/>
    <w:rsid w:val="00C94097"/>
    <w:rsid w:val="00C967E1"/>
    <w:rsid w:val="00CA1115"/>
    <w:rsid w:val="00CA1234"/>
    <w:rsid w:val="00CA13B9"/>
    <w:rsid w:val="00CA23E4"/>
    <w:rsid w:val="00CA3591"/>
    <w:rsid w:val="00CA3D05"/>
    <w:rsid w:val="00CA3E1F"/>
    <w:rsid w:val="00CA5F1F"/>
    <w:rsid w:val="00CA62FB"/>
    <w:rsid w:val="00CA6807"/>
    <w:rsid w:val="00CA7B41"/>
    <w:rsid w:val="00CB0A27"/>
    <w:rsid w:val="00CB270A"/>
    <w:rsid w:val="00CB2AAA"/>
    <w:rsid w:val="00CB2BFA"/>
    <w:rsid w:val="00CB4612"/>
    <w:rsid w:val="00CB4F14"/>
    <w:rsid w:val="00CB56D2"/>
    <w:rsid w:val="00CB60F6"/>
    <w:rsid w:val="00CB62C5"/>
    <w:rsid w:val="00CB6BF2"/>
    <w:rsid w:val="00CC029E"/>
    <w:rsid w:val="00CC05D0"/>
    <w:rsid w:val="00CC22A9"/>
    <w:rsid w:val="00CC2B60"/>
    <w:rsid w:val="00CC2D2E"/>
    <w:rsid w:val="00CC346C"/>
    <w:rsid w:val="00CC4FEA"/>
    <w:rsid w:val="00CC6F1B"/>
    <w:rsid w:val="00CD04E3"/>
    <w:rsid w:val="00CD3EE6"/>
    <w:rsid w:val="00CD513E"/>
    <w:rsid w:val="00CD5932"/>
    <w:rsid w:val="00CD6ABA"/>
    <w:rsid w:val="00CE09C7"/>
    <w:rsid w:val="00CE1A20"/>
    <w:rsid w:val="00CE26DC"/>
    <w:rsid w:val="00CE27AF"/>
    <w:rsid w:val="00CE2E1E"/>
    <w:rsid w:val="00CE3511"/>
    <w:rsid w:val="00CE4844"/>
    <w:rsid w:val="00CE4F72"/>
    <w:rsid w:val="00CE6431"/>
    <w:rsid w:val="00CE667F"/>
    <w:rsid w:val="00CE66AF"/>
    <w:rsid w:val="00CE75B7"/>
    <w:rsid w:val="00CE7A67"/>
    <w:rsid w:val="00CF3F4C"/>
    <w:rsid w:val="00CF468F"/>
    <w:rsid w:val="00CF4C5D"/>
    <w:rsid w:val="00CF4C62"/>
    <w:rsid w:val="00CF60E6"/>
    <w:rsid w:val="00CF6640"/>
    <w:rsid w:val="00CF72CF"/>
    <w:rsid w:val="00D0000D"/>
    <w:rsid w:val="00D00196"/>
    <w:rsid w:val="00D01D4B"/>
    <w:rsid w:val="00D04A06"/>
    <w:rsid w:val="00D061FF"/>
    <w:rsid w:val="00D07F7F"/>
    <w:rsid w:val="00D103A9"/>
    <w:rsid w:val="00D10577"/>
    <w:rsid w:val="00D1235D"/>
    <w:rsid w:val="00D1292D"/>
    <w:rsid w:val="00D1515A"/>
    <w:rsid w:val="00D17B76"/>
    <w:rsid w:val="00D201B0"/>
    <w:rsid w:val="00D20689"/>
    <w:rsid w:val="00D20ADF"/>
    <w:rsid w:val="00D2199F"/>
    <w:rsid w:val="00D222EC"/>
    <w:rsid w:val="00D22FCC"/>
    <w:rsid w:val="00D23552"/>
    <w:rsid w:val="00D2366E"/>
    <w:rsid w:val="00D24EF8"/>
    <w:rsid w:val="00D25AC3"/>
    <w:rsid w:val="00D2676F"/>
    <w:rsid w:val="00D2712F"/>
    <w:rsid w:val="00D27A9A"/>
    <w:rsid w:val="00D27D0A"/>
    <w:rsid w:val="00D323AC"/>
    <w:rsid w:val="00D330BA"/>
    <w:rsid w:val="00D33B1A"/>
    <w:rsid w:val="00D34922"/>
    <w:rsid w:val="00D35018"/>
    <w:rsid w:val="00D35F58"/>
    <w:rsid w:val="00D36C79"/>
    <w:rsid w:val="00D3737C"/>
    <w:rsid w:val="00D411AE"/>
    <w:rsid w:val="00D41E59"/>
    <w:rsid w:val="00D43E40"/>
    <w:rsid w:val="00D44777"/>
    <w:rsid w:val="00D44B75"/>
    <w:rsid w:val="00D45997"/>
    <w:rsid w:val="00D50015"/>
    <w:rsid w:val="00D501FD"/>
    <w:rsid w:val="00D54A38"/>
    <w:rsid w:val="00D55C1A"/>
    <w:rsid w:val="00D56472"/>
    <w:rsid w:val="00D56725"/>
    <w:rsid w:val="00D56A1A"/>
    <w:rsid w:val="00D57955"/>
    <w:rsid w:val="00D601DC"/>
    <w:rsid w:val="00D61028"/>
    <w:rsid w:val="00D64CAA"/>
    <w:rsid w:val="00D65D83"/>
    <w:rsid w:val="00D67527"/>
    <w:rsid w:val="00D713BE"/>
    <w:rsid w:val="00D719BE"/>
    <w:rsid w:val="00D71F79"/>
    <w:rsid w:val="00D72001"/>
    <w:rsid w:val="00D73885"/>
    <w:rsid w:val="00D765AF"/>
    <w:rsid w:val="00D7692B"/>
    <w:rsid w:val="00D76DDF"/>
    <w:rsid w:val="00D77D25"/>
    <w:rsid w:val="00D80E0F"/>
    <w:rsid w:val="00D8181A"/>
    <w:rsid w:val="00D83FC7"/>
    <w:rsid w:val="00D84D41"/>
    <w:rsid w:val="00D8595B"/>
    <w:rsid w:val="00D85ABF"/>
    <w:rsid w:val="00D9113A"/>
    <w:rsid w:val="00D91762"/>
    <w:rsid w:val="00D92385"/>
    <w:rsid w:val="00D92DC7"/>
    <w:rsid w:val="00D939AC"/>
    <w:rsid w:val="00D944FC"/>
    <w:rsid w:val="00D95427"/>
    <w:rsid w:val="00D955D9"/>
    <w:rsid w:val="00D96F74"/>
    <w:rsid w:val="00D97999"/>
    <w:rsid w:val="00DA0F9D"/>
    <w:rsid w:val="00DA1284"/>
    <w:rsid w:val="00DA2885"/>
    <w:rsid w:val="00DA4CC1"/>
    <w:rsid w:val="00DA5F80"/>
    <w:rsid w:val="00DB008C"/>
    <w:rsid w:val="00DB0F42"/>
    <w:rsid w:val="00DB110D"/>
    <w:rsid w:val="00DB1A5D"/>
    <w:rsid w:val="00DB1C64"/>
    <w:rsid w:val="00DB286A"/>
    <w:rsid w:val="00DB2E3C"/>
    <w:rsid w:val="00DB2F82"/>
    <w:rsid w:val="00DB3178"/>
    <w:rsid w:val="00DB4D11"/>
    <w:rsid w:val="00DB6913"/>
    <w:rsid w:val="00DB7030"/>
    <w:rsid w:val="00DB7791"/>
    <w:rsid w:val="00DB7838"/>
    <w:rsid w:val="00DC0726"/>
    <w:rsid w:val="00DC1048"/>
    <w:rsid w:val="00DC1622"/>
    <w:rsid w:val="00DC1AA9"/>
    <w:rsid w:val="00DC2C08"/>
    <w:rsid w:val="00DC2E70"/>
    <w:rsid w:val="00DC406C"/>
    <w:rsid w:val="00DC4242"/>
    <w:rsid w:val="00DC49D6"/>
    <w:rsid w:val="00DC5952"/>
    <w:rsid w:val="00DC7A53"/>
    <w:rsid w:val="00DD0B68"/>
    <w:rsid w:val="00DD12EC"/>
    <w:rsid w:val="00DD1B73"/>
    <w:rsid w:val="00DD27EB"/>
    <w:rsid w:val="00DD2EE3"/>
    <w:rsid w:val="00DD3A94"/>
    <w:rsid w:val="00DD3D86"/>
    <w:rsid w:val="00DD43C4"/>
    <w:rsid w:val="00DD448F"/>
    <w:rsid w:val="00DD5EF9"/>
    <w:rsid w:val="00DD6DC7"/>
    <w:rsid w:val="00DD7337"/>
    <w:rsid w:val="00DE0258"/>
    <w:rsid w:val="00DE03C7"/>
    <w:rsid w:val="00DE1C2C"/>
    <w:rsid w:val="00DE51D0"/>
    <w:rsid w:val="00DE599D"/>
    <w:rsid w:val="00DE5C23"/>
    <w:rsid w:val="00DE67CC"/>
    <w:rsid w:val="00DF138C"/>
    <w:rsid w:val="00DF1423"/>
    <w:rsid w:val="00DF3AAF"/>
    <w:rsid w:val="00DF402A"/>
    <w:rsid w:val="00DF4A03"/>
    <w:rsid w:val="00DF50B1"/>
    <w:rsid w:val="00DF6E90"/>
    <w:rsid w:val="00E006C0"/>
    <w:rsid w:val="00E00E74"/>
    <w:rsid w:val="00E01772"/>
    <w:rsid w:val="00E02AC4"/>
    <w:rsid w:val="00E031B9"/>
    <w:rsid w:val="00E03DB9"/>
    <w:rsid w:val="00E070AD"/>
    <w:rsid w:val="00E073BE"/>
    <w:rsid w:val="00E10C29"/>
    <w:rsid w:val="00E11F84"/>
    <w:rsid w:val="00E14AC5"/>
    <w:rsid w:val="00E15FBA"/>
    <w:rsid w:val="00E1764A"/>
    <w:rsid w:val="00E17875"/>
    <w:rsid w:val="00E17B3D"/>
    <w:rsid w:val="00E212A4"/>
    <w:rsid w:val="00E21F80"/>
    <w:rsid w:val="00E26A95"/>
    <w:rsid w:val="00E27876"/>
    <w:rsid w:val="00E3163C"/>
    <w:rsid w:val="00E319F2"/>
    <w:rsid w:val="00E31D5C"/>
    <w:rsid w:val="00E32D45"/>
    <w:rsid w:val="00E340DF"/>
    <w:rsid w:val="00E346F1"/>
    <w:rsid w:val="00E347CC"/>
    <w:rsid w:val="00E354A7"/>
    <w:rsid w:val="00E40139"/>
    <w:rsid w:val="00E419DD"/>
    <w:rsid w:val="00E41E08"/>
    <w:rsid w:val="00E42D94"/>
    <w:rsid w:val="00E46470"/>
    <w:rsid w:val="00E51358"/>
    <w:rsid w:val="00E51749"/>
    <w:rsid w:val="00E53627"/>
    <w:rsid w:val="00E604B8"/>
    <w:rsid w:val="00E60C6B"/>
    <w:rsid w:val="00E60C88"/>
    <w:rsid w:val="00E62385"/>
    <w:rsid w:val="00E62D21"/>
    <w:rsid w:val="00E62E5E"/>
    <w:rsid w:val="00E634AF"/>
    <w:rsid w:val="00E645CE"/>
    <w:rsid w:val="00E66133"/>
    <w:rsid w:val="00E700A2"/>
    <w:rsid w:val="00E706A8"/>
    <w:rsid w:val="00E70CD3"/>
    <w:rsid w:val="00E7114E"/>
    <w:rsid w:val="00E73FFF"/>
    <w:rsid w:val="00E74876"/>
    <w:rsid w:val="00E75E0D"/>
    <w:rsid w:val="00E75E15"/>
    <w:rsid w:val="00E76AAD"/>
    <w:rsid w:val="00E80B45"/>
    <w:rsid w:val="00E82EAA"/>
    <w:rsid w:val="00E8386E"/>
    <w:rsid w:val="00E84F0E"/>
    <w:rsid w:val="00E876F3"/>
    <w:rsid w:val="00E900C7"/>
    <w:rsid w:val="00E913B9"/>
    <w:rsid w:val="00E96035"/>
    <w:rsid w:val="00E97758"/>
    <w:rsid w:val="00EA0F4D"/>
    <w:rsid w:val="00EA7BEA"/>
    <w:rsid w:val="00EA7BF0"/>
    <w:rsid w:val="00EB07F5"/>
    <w:rsid w:val="00EB48C8"/>
    <w:rsid w:val="00EB580F"/>
    <w:rsid w:val="00EB6E25"/>
    <w:rsid w:val="00EC07D0"/>
    <w:rsid w:val="00EC0FC5"/>
    <w:rsid w:val="00EC1A3F"/>
    <w:rsid w:val="00EC2147"/>
    <w:rsid w:val="00EC5617"/>
    <w:rsid w:val="00EC7CFA"/>
    <w:rsid w:val="00ED0C51"/>
    <w:rsid w:val="00ED28A8"/>
    <w:rsid w:val="00ED35A3"/>
    <w:rsid w:val="00ED4E5D"/>
    <w:rsid w:val="00ED6111"/>
    <w:rsid w:val="00ED645A"/>
    <w:rsid w:val="00ED6E16"/>
    <w:rsid w:val="00ED6FCC"/>
    <w:rsid w:val="00ED7515"/>
    <w:rsid w:val="00EE0689"/>
    <w:rsid w:val="00EE1A81"/>
    <w:rsid w:val="00EE2652"/>
    <w:rsid w:val="00EE36ED"/>
    <w:rsid w:val="00EE4017"/>
    <w:rsid w:val="00EE494B"/>
    <w:rsid w:val="00EE5136"/>
    <w:rsid w:val="00EE6377"/>
    <w:rsid w:val="00EF1F79"/>
    <w:rsid w:val="00EF5A01"/>
    <w:rsid w:val="00F015C3"/>
    <w:rsid w:val="00F01DC2"/>
    <w:rsid w:val="00F02164"/>
    <w:rsid w:val="00F02423"/>
    <w:rsid w:val="00F02678"/>
    <w:rsid w:val="00F05B73"/>
    <w:rsid w:val="00F06872"/>
    <w:rsid w:val="00F069FC"/>
    <w:rsid w:val="00F074D6"/>
    <w:rsid w:val="00F1052C"/>
    <w:rsid w:val="00F10D6E"/>
    <w:rsid w:val="00F1156B"/>
    <w:rsid w:val="00F123D4"/>
    <w:rsid w:val="00F1370E"/>
    <w:rsid w:val="00F13A2B"/>
    <w:rsid w:val="00F15BD7"/>
    <w:rsid w:val="00F16C38"/>
    <w:rsid w:val="00F16C41"/>
    <w:rsid w:val="00F178DC"/>
    <w:rsid w:val="00F20086"/>
    <w:rsid w:val="00F21C23"/>
    <w:rsid w:val="00F226D6"/>
    <w:rsid w:val="00F227E4"/>
    <w:rsid w:val="00F22905"/>
    <w:rsid w:val="00F23619"/>
    <w:rsid w:val="00F245E4"/>
    <w:rsid w:val="00F25224"/>
    <w:rsid w:val="00F26681"/>
    <w:rsid w:val="00F27A02"/>
    <w:rsid w:val="00F309C1"/>
    <w:rsid w:val="00F30D67"/>
    <w:rsid w:val="00F32E9E"/>
    <w:rsid w:val="00F34698"/>
    <w:rsid w:val="00F350AB"/>
    <w:rsid w:val="00F35760"/>
    <w:rsid w:val="00F43BCA"/>
    <w:rsid w:val="00F43D6E"/>
    <w:rsid w:val="00F44E5A"/>
    <w:rsid w:val="00F47D1F"/>
    <w:rsid w:val="00F47F89"/>
    <w:rsid w:val="00F54FE3"/>
    <w:rsid w:val="00F55170"/>
    <w:rsid w:val="00F55649"/>
    <w:rsid w:val="00F56BE1"/>
    <w:rsid w:val="00F56E4C"/>
    <w:rsid w:val="00F615E9"/>
    <w:rsid w:val="00F6193C"/>
    <w:rsid w:val="00F6216B"/>
    <w:rsid w:val="00F627EC"/>
    <w:rsid w:val="00F62983"/>
    <w:rsid w:val="00F649E2"/>
    <w:rsid w:val="00F65E99"/>
    <w:rsid w:val="00F67A32"/>
    <w:rsid w:val="00F67E6F"/>
    <w:rsid w:val="00F7048B"/>
    <w:rsid w:val="00F70942"/>
    <w:rsid w:val="00F70F62"/>
    <w:rsid w:val="00F72E02"/>
    <w:rsid w:val="00F7321E"/>
    <w:rsid w:val="00F7335E"/>
    <w:rsid w:val="00F738A5"/>
    <w:rsid w:val="00F739BA"/>
    <w:rsid w:val="00F73BAB"/>
    <w:rsid w:val="00F74F97"/>
    <w:rsid w:val="00F76151"/>
    <w:rsid w:val="00F802FF"/>
    <w:rsid w:val="00F80C06"/>
    <w:rsid w:val="00F82154"/>
    <w:rsid w:val="00F82166"/>
    <w:rsid w:val="00F8254E"/>
    <w:rsid w:val="00F82EF9"/>
    <w:rsid w:val="00F90DE0"/>
    <w:rsid w:val="00F927AE"/>
    <w:rsid w:val="00F92D0B"/>
    <w:rsid w:val="00F92F25"/>
    <w:rsid w:val="00F93672"/>
    <w:rsid w:val="00F9472F"/>
    <w:rsid w:val="00F97CE3"/>
    <w:rsid w:val="00FA079A"/>
    <w:rsid w:val="00FA112D"/>
    <w:rsid w:val="00FA45A2"/>
    <w:rsid w:val="00FA4F79"/>
    <w:rsid w:val="00FA5618"/>
    <w:rsid w:val="00FA669A"/>
    <w:rsid w:val="00FB079F"/>
    <w:rsid w:val="00FB2261"/>
    <w:rsid w:val="00FB3904"/>
    <w:rsid w:val="00FB6928"/>
    <w:rsid w:val="00FB7794"/>
    <w:rsid w:val="00FC0EAC"/>
    <w:rsid w:val="00FC30D2"/>
    <w:rsid w:val="00FC3AAC"/>
    <w:rsid w:val="00FC477C"/>
    <w:rsid w:val="00FC5DCE"/>
    <w:rsid w:val="00FC750F"/>
    <w:rsid w:val="00FD18F7"/>
    <w:rsid w:val="00FD197C"/>
    <w:rsid w:val="00FD2449"/>
    <w:rsid w:val="00FD3376"/>
    <w:rsid w:val="00FD373E"/>
    <w:rsid w:val="00FD63CF"/>
    <w:rsid w:val="00FD735E"/>
    <w:rsid w:val="00FD7385"/>
    <w:rsid w:val="00FD7420"/>
    <w:rsid w:val="00FD7983"/>
    <w:rsid w:val="00FE061D"/>
    <w:rsid w:val="00FE064D"/>
    <w:rsid w:val="00FE13EC"/>
    <w:rsid w:val="00FE2685"/>
    <w:rsid w:val="00FE571A"/>
    <w:rsid w:val="00FF31DC"/>
    <w:rsid w:val="00FF5D30"/>
    <w:rsid w:val="00FF704E"/>
    <w:rsid w:val="4A516FEF"/>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61748"/>
  <w15:docId w15:val="{622374E8-AFC0-42AD-9D9F-89827E1A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AU" w:eastAsia="en-US" w:bidi="ar-SA"/>
      </w:rPr>
    </w:rPrDefault>
    <w:pPrDefault>
      <w:pPr>
        <w:spacing w:before="120" w:after="12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2DD"/>
    <w:pPr>
      <w:spacing w:before="0"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43F53"/>
    <w:pPr>
      <w:keepNext/>
      <w:keepLines/>
      <w:widowControl w:val="0"/>
      <w:tabs>
        <w:tab w:val="left" w:pos="220"/>
        <w:tab w:val="left" w:pos="720"/>
      </w:tabs>
      <w:spacing w:before="240" w:line="252" w:lineRule="auto"/>
      <w:jc w:val="both"/>
      <w:outlineLvl w:val="0"/>
    </w:pPr>
    <w:rPr>
      <w:rFonts w:eastAsiaTheme="minorEastAsia"/>
      <w:b/>
      <w:color w:val="4472C4" w:themeColor="accent1"/>
      <w:spacing w:val="15"/>
      <w:sz w:val="32"/>
      <w:szCs w:val="32"/>
    </w:rPr>
  </w:style>
  <w:style w:type="paragraph" w:styleId="Heading2">
    <w:name w:val="heading 2"/>
    <w:basedOn w:val="Normal"/>
    <w:next w:val="Normal"/>
    <w:link w:val="Heading2Char"/>
    <w:autoRedefine/>
    <w:uiPriority w:val="9"/>
    <w:qFormat/>
    <w:rsid w:val="00C32082"/>
    <w:pPr>
      <w:keepNext/>
      <w:keepLines/>
      <w:widowControl w:val="0"/>
      <w:tabs>
        <w:tab w:val="left" w:pos="220"/>
        <w:tab w:val="left" w:pos="720"/>
      </w:tabs>
      <w:spacing w:before="240"/>
      <w:jc w:val="both"/>
      <w:outlineLvl w:val="1"/>
    </w:pPr>
    <w:rPr>
      <w:rFonts w:eastAsiaTheme="minorEastAsia"/>
      <w:b/>
      <w:color w:val="4472C4" w:themeColor="accent1"/>
      <w:spacing w:val="15"/>
      <w:sz w:val="22"/>
      <w:szCs w:val="22"/>
      <w:lang w:eastAsia="zh-CN"/>
    </w:rPr>
  </w:style>
  <w:style w:type="paragraph" w:styleId="Heading3">
    <w:name w:val="heading 3"/>
    <w:basedOn w:val="Heading2"/>
    <w:next w:val="Normal"/>
    <w:link w:val="Heading3Char"/>
    <w:uiPriority w:val="9"/>
    <w:qFormat/>
    <w:rsid w:val="00C43F53"/>
    <w:pPr>
      <w:outlineLvl w:val="2"/>
    </w:pPr>
  </w:style>
  <w:style w:type="paragraph" w:styleId="Heading4">
    <w:name w:val="heading 4"/>
    <w:basedOn w:val="Normal"/>
    <w:next w:val="Normal"/>
    <w:link w:val="Heading4Char"/>
    <w:uiPriority w:val="9"/>
    <w:qFormat/>
    <w:rsid w:val="000048DC"/>
    <w:pPr>
      <w:keepNext/>
      <w:keepLines/>
      <w:widowControl w:val="0"/>
      <w:tabs>
        <w:tab w:val="left" w:pos="220"/>
        <w:tab w:val="left" w:pos="720"/>
      </w:tabs>
      <w:spacing w:before="240" w:line="252" w:lineRule="auto"/>
      <w:jc w:val="both"/>
      <w:outlineLvl w:val="3"/>
    </w:pPr>
    <w:rPr>
      <w:rFonts w:eastAsia="Calibri"/>
      <w:b/>
      <w:i/>
      <w:lang w:val="en-US" w:eastAsia="en-GB"/>
    </w:rPr>
  </w:style>
  <w:style w:type="paragraph" w:styleId="Heading5">
    <w:name w:val="heading 5"/>
    <w:basedOn w:val="Normal"/>
    <w:next w:val="Normal"/>
    <w:link w:val="Heading5Char"/>
    <w:autoRedefine/>
    <w:uiPriority w:val="9"/>
    <w:unhideWhenUsed/>
    <w:qFormat/>
    <w:rsid w:val="003C2B26"/>
    <w:pPr>
      <w:widowControl w:val="0"/>
      <w:spacing w:before="240" w:after="120" w:line="252" w:lineRule="auto"/>
      <w:jc w:val="both"/>
      <w:outlineLvl w:val="4"/>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2FD1"/>
    <w:pPr>
      <w:widowControl w:val="0"/>
      <w:numPr>
        <w:numId w:val="1"/>
      </w:numPr>
      <w:spacing w:before="120" w:after="120" w:line="252" w:lineRule="auto"/>
      <w:contextualSpacing/>
      <w:jc w:val="both"/>
    </w:pPr>
    <w:rPr>
      <w:rFonts w:eastAsia="SimSun"/>
    </w:rPr>
  </w:style>
  <w:style w:type="character" w:customStyle="1" w:styleId="Heading1Char">
    <w:name w:val="Heading 1 Char"/>
    <w:basedOn w:val="DefaultParagraphFont"/>
    <w:link w:val="Heading1"/>
    <w:uiPriority w:val="9"/>
    <w:rsid w:val="00C43F53"/>
    <w:rPr>
      <w:rFonts w:ascii="Times New Roman" w:eastAsiaTheme="minorEastAsia" w:hAnsi="Times New Roman" w:cs="Times New Roman"/>
      <w:b/>
      <w:color w:val="4472C4" w:themeColor="accent1"/>
      <w:spacing w:val="15"/>
      <w:sz w:val="32"/>
      <w:szCs w:val="32"/>
    </w:rPr>
  </w:style>
  <w:style w:type="character" w:customStyle="1" w:styleId="Heading2Char">
    <w:name w:val="Heading 2 Char"/>
    <w:basedOn w:val="DefaultParagraphFont"/>
    <w:link w:val="Heading2"/>
    <w:uiPriority w:val="9"/>
    <w:rsid w:val="00C32082"/>
    <w:rPr>
      <w:rFonts w:ascii="Times New Roman" w:eastAsiaTheme="minorEastAsia" w:hAnsi="Times New Roman" w:cs="Times New Roman"/>
      <w:b/>
      <w:color w:val="4472C4" w:themeColor="accent1"/>
      <w:spacing w:val="15"/>
      <w:sz w:val="22"/>
      <w:szCs w:val="22"/>
      <w:lang w:eastAsia="zh-CN"/>
    </w:rPr>
  </w:style>
  <w:style w:type="character" w:customStyle="1" w:styleId="Heading3Char">
    <w:name w:val="Heading 3 Char"/>
    <w:basedOn w:val="DefaultParagraphFont"/>
    <w:link w:val="Heading3"/>
    <w:uiPriority w:val="9"/>
    <w:rsid w:val="00C43F53"/>
    <w:rPr>
      <w:rFonts w:ascii="Times New Roman" w:eastAsiaTheme="minorEastAsia" w:hAnsi="Times New Roman" w:cs="Times New Roman"/>
      <w:b/>
      <w:color w:val="4472C4" w:themeColor="accent1"/>
      <w:spacing w:val="15"/>
    </w:rPr>
  </w:style>
  <w:style w:type="character" w:customStyle="1" w:styleId="Heading4Char">
    <w:name w:val="Heading 4 Char"/>
    <w:basedOn w:val="DefaultParagraphFont"/>
    <w:link w:val="Heading4"/>
    <w:uiPriority w:val="9"/>
    <w:rsid w:val="00406DC8"/>
    <w:rPr>
      <w:rFonts w:ascii="Times New Roman" w:eastAsia="Calibri" w:hAnsi="Times New Roman" w:cs="Times New Roman"/>
      <w:b/>
      <w:i/>
      <w:lang w:val="en-US" w:eastAsia="en-GB"/>
    </w:rPr>
  </w:style>
  <w:style w:type="paragraph" w:styleId="Title">
    <w:name w:val="Title"/>
    <w:basedOn w:val="Normal"/>
    <w:next w:val="Normal"/>
    <w:link w:val="TitleChar"/>
    <w:uiPriority w:val="10"/>
    <w:qFormat/>
    <w:rsid w:val="003C53D3"/>
    <w:pPr>
      <w:widowControl w:val="0"/>
      <w:spacing w:after="120" w:line="252" w:lineRule="auto"/>
      <w:jc w:val="center"/>
    </w:pPr>
    <w:rPr>
      <w:rFonts w:eastAsiaTheme="majorEastAsia" w:cstheme="majorBidi"/>
      <w:b/>
      <w:spacing w:val="-10"/>
      <w:kern w:val="28"/>
      <w:sz w:val="48"/>
      <w:szCs w:val="48"/>
    </w:rPr>
  </w:style>
  <w:style w:type="character" w:customStyle="1" w:styleId="TitleChar">
    <w:name w:val="Title Char"/>
    <w:basedOn w:val="DefaultParagraphFont"/>
    <w:link w:val="Title"/>
    <w:uiPriority w:val="10"/>
    <w:rsid w:val="003C53D3"/>
    <w:rPr>
      <w:rFonts w:ascii="Times New Roman" w:eastAsiaTheme="majorEastAsia" w:hAnsi="Times New Roman" w:cstheme="majorBidi"/>
      <w:b/>
      <w:spacing w:val="-10"/>
      <w:kern w:val="28"/>
      <w:sz w:val="48"/>
      <w:szCs w:val="48"/>
    </w:rPr>
  </w:style>
  <w:style w:type="paragraph" w:styleId="Subtitle">
    <w:name w:val="Subtitle"/>
    <w:basedOn w:val="Normal"/>
    <w:next w:val="Normal"/>
    <w:link w:val="SubtitleChar"/>
    <w:uiPriority w:val="11"/>
    <w:qFormat/>
    <w:rsid w:val="003C53D3"/>
    <w:pPr>
      <w:widowControl w:val="0"/>
      <w:spacing w:after="120" w:line="252" w:lineRule="auto"/>
      <w:jc w:val="center"/>
    </w:pPr>
    <w:rPr>
      <w:rFonts w:eastAsiaTheme="minorEastAsia" w:cstheme="minorBidi"/>
      <w:b/>
      <w:color w:val="4472C4" w:themeColor="accent1"/>
      <w:spacing w:val="15"/>
      <w:sz w:val="48"/>
      <w:szCs w:val="22"/>
    </w:rPr>
  </w:style>
  <w:style w:type="character" w:customStyle="1" w:styleId="SubtitleChar">
    <w:name w:val="Subtitle Char"/>
    <w:basedOn w:val="DefaultParagraphFont"/>
    <w:link w:val="Subtitle"/>
    <w:uiPriority w:val="11"/>
    <w:rsid w:val="003C53D3"/>
    <w:rPr>
      <w:rFonts w:ascii="Times New Roman" w:eastAsiaTheme="minorEastAsia" w:hAnsi="Times New Roman"/>
      <w:b/>
      <w:color w:val="4472C4" w:themeColor="accent1"/>
      <w:spacing w:val="15"/>
      <w:sz w:val="48"/>
      <w:szCs w:val="22"/>
    </w:rPr>
  </w:style>
  <w:style w:type="paragraph" w:styleId="Header">
    <w:name w:val="header"/>
    <w:basedOn w:val="Normal"/>
    <w:link w:val="HeaderChar"/>
    <w:uiPriority w:val="99"/>
    <w:qFormat/>
    <w:rsid w:val="00CE2E1E"/>
    <w:pPr>
      <w:widowControl w:val="0"/>
      <w:tabs>
        <w:tab w:val="center" w:pos="4513"/>
        <w:tab w:val="right" w:pos="9026"/>
      </w:tabs>
      <w:jc w:val="right"/>
    </w:pPr>
    <w:rPr>
      <w:rFonts w:eastAsia="SimSun"/>
      <w:sz w:val="20"/>
    </w:rPr>
  </w:style>
  <w:style w:type="character" w:customStyle="1" w:styleId="HeaderChar">
    <w:name w:val="Header Char"/>
    <w:basedOn w:val="DefaultParagraphFont"/>
    <w:link w:val="Header"/>
    <w:uiPriority w:val="99"/>
    <w:rsid w:val="00CE2E1E"/>
    <w:rPr>
      <w:sz w:val="20"/>
    </w:rPr>
  </w:style>
  <w:style w:type="paragraph" w:styleId="Footer">
    <w:name w:val="footer"/>
    <w:basedOn w:val="FootnoteText"/>
    <w:link w:val="FooterChar"/>
    <w:uiPriority w:val="99"/>
    <w:qFormat/>
    <w:rsid w:val="00C43F53"/>
  </w:style>
  <w:style w:type="character" w:customStyle="1" w:styleId="FooterChar">
    <w:name w:val="Footer Char"/>
    <w:basedOn w:val="DefaultParagraphFont"/>
    <w:link w:val="Footer"/>
    <w:uiPriority w:val="99"/>
    <w:rsid w:val="00C43F53"/>
    <w:rPr>
      <w:rFonts w:ascii="Times New Roman" w:eastAsia="Times New Roman" w:hAnsi="Times New Roman" w:cs="Times New Roman"/>
      <w:color w:val="000000"/>
      <w:sz w:val="20"/>
      <w:szCs w:val="20"/>
      <w:lang w:val="en-US" w:eastAsia="en-GB"/>
    </w:rPr>
  </w:style>
  <w:style w:type="paragraph" w:styleId="TOCHeading">
    <w:name w:val="TOC Heading"/>
    <w:basedOn w:val="Heading1"/>
    <w:next w:val="Normal"/>
    <w:uiPriority w:val="39"/>
    <w:unhideWhenUsed/>
    <w:qFormat/>
    <w:rsid w:val="00782F22"/>
    <w:pPr>
      <w:outlineLvl w:val="9"/>
    </w:pPr>
  </w:style>
  <w:style w:type="character" w:styleId="Strong">
    <w:name w:val="Strong"/>
    <w:basedOn w:val="DefaultParagraphFont"/>
    <w:uiPriority w:val="22"/>
    <w:unhideWhenUsed/>
    <w:rsid w:val="00032FD1"/>
    <w:rPr>
      <w:rFonts w:asciiTheme="minorHAnsi" w:hAnsiTheme="minorHAnsi"/>
      <w:b/>
      <w:bCs/>
      <w:sz w:val="20"/>
    </w:rPr>
  </w:style>
  <w:style w:type="character" w:styleId="Emphasis">
    <w:name w:val="Emphasis"/>
    <w:uiPriority w:val="20"/>
    <w:unhideWhenUsed/>
    <w:rsid w:val="003C2B26"/>
    <w:rPr>
      <w:rFonts w:ascii="Times New Roman" w:hAnsi="Times New Roman"/>
      <w:b/>
      <w:sz w:val="24"/>
    </w:rPr>
  </w:style>
  <w:style w:type="character" w:styleId="Hyperlink">
    <w:name w:val="Hyperlink"/>
    <w:basedOn w:val="DefaultParagraphFont"/>
    <w:uiPriority w:val="99"/>
    <w:unhideWhenUsed/>
    <w:rsid w:val="003D4B4A"/>
    <w:rPr>
      <w:color w:val="0563C1" w:themeColor="hyperlink"/>
      <w:u w:val="single"/>
    </w:rPr>
  </w:style>
  <w:style w:type="paragraph" w:styleId="BalloonText">
    <w:name w:val="Balloon Text"/>
    <w:basedOn w:val="Normal"/>
    <w:link w:val="BalloonTextChar"/>
    <w:uiPriority w:val="99"/>
    <w:semiHidden/>
    <w:unhideWhenUsed/>
    <w:rsid w:val="00476B72"/>
    <w:pPr>
      <w:widowControl w:val="0"/>
      <w:jc w:val="both"/>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476B72"/>
    <w:rPr>
      <w:rFonts w:ascii="Segoe UI" w:hAnsi="Segoe UI" w:cs="Segoe UI"/>
      <w:sz w:val="18"/>
      <w:szCs w:val="18"/>
    </w:rPr>
  </w:style>
  <w:style w:type="paragraph" w:styleId="TOC1">
    <w:name w:val="toc 1"/>
    <w:basedOn w:val="Normal"/>
    <w:next w:val="Normal"/>
    <w:autoRedefine/>
    <w:uiPriority w:val="39"/>
    <w:unhideWhenUsed/>
    <w:rsid w:val="00E62D21"/>
    <w:pPr>
      <w:widowControl w:val="0"/>
      <w:tabs>
        <w:tab w:val="right" w:pos="9592"/>
      </w:tabs>
      <w:spacing w:before="120" w:after="100" w:line="252" w:lineRule="auto"/>
      <w:jc w:val="both"/>
    </w:pPr>
    <w:rPr>
      <w:rFonts w:eastAsia="SimSun"/>
      <w:noProof/>
      <w:lang w:eastAsia="zh-CN"/>
    </w:rPr>
  </w:style>
  <w:style w:type="paragraph" w:styleId="TOC2">
    <w:name w:val="toc 2"/>
    <w:basedOn w:val="Normal"/>
    <w:next w:val="Normal"/>
    <w:autoRedefine/>
    <w:uiPriority w:val="39"/>
    <w:unhideWhenUsed/>
    <w:rsid w:val="00FE2685"/>
    <w:pPr>
      <w:widowControl w:val="0"/>
      <w:tabs>
        <w:tab w:val="right" w:pos="9592"/>
      </w:tabs>
      <w:spacing w:before="120" w:after="100"/>
      <w:ind w:left="200"/>
      <w:jc w:val="both"/>
    </w:pPr>
    <w:rPr>
      <w:rFonts w:eastAsia="SimSun"/>
    </w:rPr>
  </w:style>
  <w:style w:type="paragraph" w:styleId="TOC3">
    <w:name w:val="toc 3"/>
    <w:basedOn w:val="Normal"/>
    <w:next w:val="Normal"/>
    <w:autoRedefine/>
    <w:uiPriority w:val="39"/>
    <w:unhideWhenUsed/>
    <w:rsid w:val="004E67DA"/>
    <w:pPr>
      <w:widowControl w:val="0"/>
      <w:spacing w:before="120" w:after="100" w:line="252" w:lineRule="auto"/>
      <w:ind w:left="400"/>
      <w:jc w:val="both"/>
    </w:pPr>
    <w:rPr>
      <w:rFonts w:eastAsia="SimSun"/>
    </w:rPr>
  </w:style>
  <w:style w:type="paragraph" w:styleId="Caption">
    <w:name w:val="caption"/>
    <w:basedOn w:val="Normal"/>
    <w:next w:val="Normal"/>
    <w:uiPriority w:val="35"/>
    <w:unhideWhenUsed/>
    <w:qFormat/>
    <w:rsid w:val="00581C04"/>
    <w:pPr>
      <w:widowControl w:val="0"/>
      <w:spacing w:before="120" w:after="120"/>
      <w:jc w:val="both"/>
    </w:pPr>
    <w:rPr>
      <w:rFonts w:eastAsia="SimSun"/>
      <w:iCs/>
      <w:color w:val="595959" w:themeColor="text1" w:themeTint="A6"/>
      <w:sz w:val="20"/>
      <w:szCs w:val="18"/>
    </w:rPr>
  </w:style>
  <w:style w:type="table" w:styleId="TableGrid">
    <w:name w:val="Table Grid"/>
    <w:basedOn w:val="TableNormal"/>
    <w:uiPriority w:val="39"/>
    <w:rsid w:val="00581C0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Ustandard">
    <w:name w:val="ANU standard"/>
    <w:basedOn w:val="TableNormal"/>
    <w:uiPriority w:val="99"/>
    <w:rsid w:val="0028296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customStyle="1" w:styleId="ANUrowheader">
    <w:name w:val="ANU row header"/>
    <w:basedOn w:val="ANUstandard"/>
    <w:uiPriority w:val="99"/>
    <w:rsid w:val="002E3DA2"/>
    <w:rPr>
      <w:rFonts w:ascii="Times New Roman" w:hAnsi="Times New Roman"/>
    </w:rPr>
    <w:tblPr/>
    <w:tcPr>
      <w:shd w:val="clear" w:color="auto" w:fill="auto"/>
    </w:tcPr>
    <w:tblStylePr w:type="firstRow">
      <w:rPr>
        <w:b/>
      </w:rPr>
      <w:tblPr/>
      <w:tcPr>
        <w:shd w:val="clear" w:color="auto" w:fill="B4C6E7" w:themeFill="accent1" w:themeFillTint="66"/>
      </w:tcPr>
    </w:tblStylePr>
    <w:tblStylePr w:type="firstCol">
      <w:rPr>
        <w:b w:val="0"/>
      </w:rPr>
    </w:tblStylePr>
  </w:style>
  <w:style w:type="table" w:customStyle="1" w:styleId="ANUcolumnheader">
    <w:name w:val="ANU column header"/>
    <w:basedOn w:val="ANUstandard"/>
    <w:uiPriority w:val="99"/>
    <w:rsid w:val="00282969"/>
    <w:tblPr/>
    <w:tcPr>
      <w:shd w:val="clear" w:color="auto" w:fill="auto"/>
    </w:tcPr>
    <w:tblStylePr w:type="firstRow">
      <w:rPr>
        <w:b w:val="0"/>
      </w:rPr>
    </w:tblStylePr>
    <w:tblStylePr w:type="firstCol">
      <w:rPr>
        <w:b/>
      </w:rPr>
      <w:tblPr/>
      <w:tcPr>
        <w:shd w:val="clear" w:color="auto" w:fill="B4C6E7" w:themeFill="accent1" w:themeFillTint="66"/>
      </w:tcPr>
    </w:tblStylePr>
  </w:style>
  <w:style w:type="table" w:customStyle="1" w:styleId="ANUrowcolumnheader">
    <w:name w:val="ANU row/column header"/>
    <w:basedOn w:val="ANUstandard"/>
    <w:uiPriority w:val="99"/>
    <w:rsid w:val="00282969"/>
    <w:tblPr/>
    <w:tblStylePr w:type="firstRow">
      <w:rPr>
        <w:b/>
      </w:rPr>
      <w:tblPr/>
      <w:tcPr>
        <w:shd w:val="clear" w:color="auto" w:fill="B4C6E7" w:themeFill="accent1" w:themeFillTint="66"/>
      </w:tcPr>
    </w:tblStylePr>
    <w:tblStylePr w:type="firstCol">
      <w:rPr>
        <w:b/>
      </w:rPr>
      <w:tblPr/>
      <w:tcPr>
        <w:shd w:val="clear" w:color="auto" w:fill="B4C6E7" w:themeFill="accent1" w:themeFillTint="66"/>
      </w:tcPr>
    </w:tblStylePr>
  </w:style>
  <w:style w:type="paragraph" w:styleId="FootnoteText">
    <w:name w:val="footnote text"/>
    <w:basedOn w:val="Caption"/>
    <w:link w:val="FootnoteTextChar"/>
    <w:uiPriority w:val="99"/>
    <w:unhideWhenUsed/>
    <w:rsid w:val="00B01B02"/>
  </w:style>
  <w:style w:type="character" w:customStyle="1" w:styleId="FootnoteTextChar">
    <w:name w:val="Footnote Text Char"/>
    <w:basedOn w:val="DefaultParagraphFont"/>
    <w:link w:val="FootnoteText"/>
    <w:uiPriority w:val="99"/>
    <w:rsid w:val="00B01B02"/>
    <w:rPr>
      <w:rFonts w:ascii="Times New Roman" w:hAnsi="Times New Roman" w:cs="Times New Roman"/>
      <w:iCs/>
      <w:color w:val="595959" w:themeColor="text1" w:themeTint="A6"/>
      <w:sz w:val="20"/>
      <w:szCs w:val="18"/>
    </w:rPr>
  </w:style>
  <w:style w:type="character" w:customStyle="1" w:styleId="UnresolvedMention1">
    <w:name w:val="Unresolved Mention1"/>
    <w:basedOn w:val="DefaultParagraphFont"/>
    <w:uiPriority w:val="99"/>
    <w:rsid w:val="00E354A7"/>
    <w:rPr>
      <w:color w:val="808080"/>
      <w:shd w:val="clear" w:color="auto" w:fill="E6E6E6"/>
    </w:rPr>
  </w:style>
  <w:style w:type="character" w:styleId="FootnoteReference">
    <w:name w:val="footnote reference"/>
    <w:basedOn w:val="DefaultParagraphFont"/>
    <w:uiPriority w:val="99"/>
    <w:semiHidden/>
    <w:unhideWhenUsed/>
    <w:rsid w:val="009E2493"/>
    <w:rPr>
      <w:vertAlign w:val="superscript"/>
    </w:rPr>
  </w:style>
  <w:style w:type="paragraph" w:styleId="Quote">
    <w:name w:val="Quote"/>
    <w:basedOn w:val="Normal"/>
    <w:next w:val="Normal"/>
    <w:link w:val="QuoteChar"/>
    <w:uiPriority w:val="29"/>
    <w:qFormat/>
    <w:rsid w:val="00230EAD"/>
    <w:pPr>
      <w:widowControl w:val="0"/>
      <w:spacing w:before="120" w:after="120" w:line="252" w:lineRule="auto"/>
      <w:ind w:left="220"/>
      <w:jc w:val="both"/>
    </w:pPr>
    <w:rPr>
      <w:rFonts w:eastAsia="SimSun"/>
      <w:i/>
    </w:rPr>
  </w:style>
  <w:style w:type="character" w:customStyle="1" w:styleId="QuoteChar">
    <w:name w:val="Quote Char"/>
    <w:basedOn w:val="DefaultParagraphFont"/>
    <w:link w:val="Quote"/>
    <w:uiPriority w:val="29"/>
    <w:rsid w:val="00230EAD"/>
    <w:rPr>
      <w:rFonts w:ascii="Times New Roman" w:hAnsi="Times New Roman" w:cs="Times New Roman"/>
      <w:i/>
    </w:rPr>
  </w:style>
  <w:style w:type="paragraph" w:customStyle="1" w:styleId="TableFigure">
    <w:name w:val="Table/Figure"/>
    <w:basedOn w:val="Normal"/>
    <w:link w:val="TableFigureChar"/>
    <w:qFormat/>
    <w:rsid w:val="00013223"/>
    <w:pPr>
      <w:widowControl w:val="0"/>
      <w:spacing w:before="120" w:after="120" w:line="252" w:lineRule="auto"/>
      <w:jc w:val="both"/>
    </w:pPr>
    <w:rPr>
      <w:rFonts w:eastAsia="SimSun"/>
      <w:b/>
      <w:sz w:val="28"/>
      <w:szCs w:val="28"/>
    </w:rPr>
  </w:style>
  <w:style w:type="table" w:customStyle="1" w:styleId="GridTable4-Accent51">
    <w:name w:val="Grid Table 4 - Accent 51"/>
    <w:basedOn w:val="TableNormal"/>
    <w:uiPriority w:val="49"/>
    <w:rsid w:val="00882D6F"/>
    <w:pPr>
      <w:spacing w:before="0" w:after="0" w:line="240" w:lineRule="auto"/>
    </w:pPr>
    <w:rPr>
      <w:rFonts w:eastAsiaTheme="minorEastAsia"/>
      <w:sz w:val="22"/>
      <w:szCs w:val="22"/>
      <w:lang w:eastAsia="zh-C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ableFigureChar">
    <w:name w:val="Table/Figure Char"/>
    <w:basedOn w:val="DefaultParagraphFont"/>
    <w:link w:val="TableFigure"/>
    <w:rsid w:val="00013223"/>
    <w:rPr>
      <w:rFonts w:ascii="Times New Roman" w:hAnsi="Times New Roman" w:cs="Times New Roman"/>
      <w:b/>
      <w:sz w:val="28"/>
      <w:szCs w:val="28"/>
    </w:rPr>
  </w:style>
  <w:style w:type="paragraph" w:customStyle="1" w:styleId="2ndIndentation">
    <w:name w:val="2nd Indentation"/>
    <w:basedOn w:val="ListParagraph"/>
    <w:link w:val="2ndIndentationChar"/>
    <w:uiPriority w:val="99"/>
    <w:rsid w:val="00406DC8"/>
    <w:pPr>
      <w:numPr>
        <w:numId w:val="11"/>
      </w:numPr>
      <w:tabs>
        <w:tab w:val="left" w:pos="720"/>
      </w:tabs>
      <w:spacing w:before="0" w:after="160"/>
      <w:ind w:left="1170" w:hanging="180"/>
    </w:pPr>
  </w:style>
  <w:style w:type="numbering" w:customStyle="1" w:styleId="BulletPoints">
    <w:name w:val="Bullet Points"/>
    <w:basedOn w:val="NoList"/>
    <w:uiPriority w:val="99"/>
    <w:rsid w:val="00406DC8"/>
    <w:pPr>
      <w:numPr>
        <w:numId w:val="12"/>
      </w:numPr>
    </w:pPr>
  </w:style>
  <w:style w:type="character" w:customStyle="1" w:styleId="ListParagraphChar">
    <w:name w:val="List Paragraph Char"/>
    <w:basedOn w:val="DefaultParagraphFont"/>
    <w:link w:val="ListParagraph"/>
    <w:uiPriority w:val="34"/>
    <w:rsid w:val="00406DC8"/>
    <w:rPr>
      <w:rFonts w:ascii="Times New Roman" w:hAnsi="Times New Roman" w:cs="Times New Roman"/>
    </w:rPr>
  </w:style>
  <w:style w:type="character" w:customStyle="1" w:styleId="2ndIndentationChar">
    <w:name w:val="2nd Indentation Char"/>
    <w:basedOn w:val="ListParagraphChar"/>
    <w:link w:val="2ndIndentation"/>
    <w:uiPriority w:val="99"/>
    <w:rsid w:val="002F0426"/>
    <w:rPr>
      <w:rFonts w:ascii="Times New Roman" w:hAnsi="Times New Roman" w:cs="Times New Roman"/>
    </w:rPr>
  </w:style>
  <w:style w:type="numbering" w:customStyle="1" w:styleId="Style1">
    <w:name w:val="Style1"/>
    <w:basedOn w:val="BulletPoints"/>
    <w:uiPriority w:val="99"/>
    <w:rsid w:val="002F0426"/>
    <w:pPr>
      <w:numPr>
        <w:numId w:val="15"/>
      </w:numPr>
    </w:pPr>
  </w:style>
  <w:style w:type="character" w:customStyle="1" w:styleId="Heading5Char">
    <w:name w:val="Heading 5 Char"/>
    <w:basedOn w:val="DefaultParagraphFont"/>
    <w:link w:val="Heading5"/>
    <w:uiPriority w:val="9"/>
    <w:rsid w:val="003C2B26"/>
    <w:rPr>
      <w:rFonts w:ascii="Times New Roman" w:hAnsi="Times New Roman" w:cs="Times New Roman"/>
    </w:rPr>
  </w:style>
  <w:style w:type="character" w:styleId="SubtleEmphasis">
    <w:name w:val="Subtle Emphasis"/>
    <w:uiPriority w:val="19"/>
    <w:qFormat/>
    <w:rsid w:val="003C2B26"/>
    <w:rPr>
      <w:rFonts w:ascii="Times New Roman" w:hAnsi="Times New Roman"/>
      <w:caps/>
      <w:smallCaps w:val="0"/>
      <w:vanish w:val="0"/>
      <w:sz w:val="24"/>
    </w:rPr>
  </w:style>
  <w:style w:type="character" w:styleId="IntenseEmphasis">
    <w:name w:val="Intense Emphasis"/>
    <w:basedOn w:val="DefaultParagraphFont"/>
    <w:uiPriority w:val="21"/>
    <w:qFormat/>
    <w:rsid w:val="003C2B26"/>
    <w:rPr>
      <w:rFonts w:ascii="Times New Roman" w:hAnsi="Times New Roman"/>
      <w:b/>
      <w:i w:val="0"/>
      <w:iCs/>
      <w:caps/>
      <w:smallCaps w:val="0"/>
      <w:vanish w:val="0"/>
      <w:sz w:val="24"/>
    </w:rPr>
  </w:style>
  <w:style w:type="character" w:styleId="BookTitle">
    <w:name w:val="Book Title"/>
    <w:uiPriority w:val="33"/>
    <w:qFormat/>
    <w:rsid w:val="003C2B26"/>
    <w:rPr>
      <w:i/>
      <w:noProof/>
    </w:rPr>
  </w:style>
  <w:style w:type="character" w:styleId="PlaceholderText">
    <w:name w:val="Placeholder Text"/>
    <w:basedOn w:val="DefaultParagraphFont"/>
    <w:uiPriority w:val="99"/>
    <w:semiHidden/>
    <w:rsid w:val="0008746E"/>
    <w:rPr>
      <w:color w:val="808080"/>
    </w:rPr>
  </w:style>
  <w:style w:type="paragraph" w:customStyle="1" w:styleId="paragraph">
    <w:name w:val="paragraph"/>
    <w:basedOn w:val="Normal"/>
    <w:rsid w:val="00C66578"/>
    <w:pPr>
      <w:spacing w:before="100" w:beforeAutospacing="1" w:after="100" w:afterAutospacing="1"/>
    </w:pPr>
    <w:rPr>
      <w:lang w:eastAsia="zh-CN"/>
    </w:rPr>
  </w:style>
  <w:style w:type="character" w:customStyle="1" w:styleId="normaltextrun">
    <w:name w:val="normaltextrun"/>
    <w:basedOn w:val="DefaultParagraphFont"/>
    <w:rsid w:val="00C66578"/>
  </w:style>
  <w:style w:type="character" w:customStyle="1" w:styleId="eop">
    <w:name w:val="eop"/>
    <w:basedOn w:val="DefaultParagraphFont"/>
    <w:rsid w:val="00C66578"/>
  </w:style>
  <w:style w:type="character" w:customStyle="1" w:styleId="apple-converted-space">
    <w:name w:val="apple-converted-space"/>
    <w:basedOn w:val="DefaultParagraphFont"/>
    <w:rsid w:val="00C66578"/>
  </w:style>
  <w:style w:type="character" w:customStyle="1" w:styleId="contextualspellingandgrammarerror">
    <w:name w:val="contextualspellingandgrammarerror"/>
    <w:basedOn w:val="DefaultParagraphFont"/>
    <w:rsid w:val="00C66578"/>
  </w:style>
  <w:style w:type="paragraph" w:styleId="NormalWeb">
    <w:name w:val="Normal (Web)"/>
    <w:basedOn w:val="Normal"/>
    <w:uiPriority w:val="99"/>
    <w:unhideWhenUsed/>
    <w:rsid w:val="006C4354"/>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9914C2"/>
    <w:rPr>
      <w:sz w:val="18"/>
      <w:szCs w:val="18"/>
    </w:rPr>
  </w:style>
  <w:style w:type="paragraph" w:styleId="CommentText">
    <w:name w:val="annotation text"/>
    <w:basedOn w:val="Normal"/>
    <w:link w:val="CommentTextChar"/>
    <w:uiPriority w:val="99"/>
    <w:semiHidden/>
    <w:unhideWhenUsed/>
    <w:rsid w:val="009914C2"/>
    <w:pPr>
      <w:widowControl w:val="0"/>
      <w:spacing w:before="120" w:after="120"/>
      <w:jc w:val="both"/>
    </w:pPr>
    <w:rPr>
      <w:rFonts w:eastAsia="SimSun"/>
    </w:rPr>
  </w:style>
  <w:style w:type="character" w:customStyle="1" w:styleId="CommentTextChar">
    <w:name w:val="Comment Text Char"/>
    <w:basedOn w:val="DefaultParagraphFont"/>
    <w:link w:val="CommentText"/>
    <w:uiPriority w:val="99"/>
    <w:semiHidden/>
    <w:rsid w:val="009914C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14C2"/>
    <w:rPr>
      <w:b/>
      <w:bCs/>
      <w:sz w:val="20"/>
      <w:szCs w:val="20"/>
    </w:rPr>
  </w:style>
  <w:style w:type="character" w:customStyle="1" w:styleId="CommentSubjectChar">
    <w:name w:val="Comment Subject Char"/>
    <w:basedOn w:val="CommentTextChar"/>
    <w:link w:val="CommentSubject"/>
    <w:uiPriority w:val="99"/>
    <w:semiHidden/>
    <w:rsid w:val="009914C2"/>
    <w:rPr>
      <w:rFonts w:ascii="Times New Roman" w:hAnsi="Times New Roman" w:cs="Times New Roman"/>
      <w:b/>
      <w:bCs/>
      <w:sz w:val="20"/>
      <w:szCs w:val="20"/>
    </w:rPr>
  </w:style>
  <w:style w:type="paragraph" w:styleId="Revision">
    <w:name w:val="Revision"/>
    <w:hidden/>
    <w:uiPriority w:val="99"/>
    <w:semiHidden/>
    <w:rsid w:val="00813981"/>
    <w:pPr>
      <w:spacing w:before="0" w:after="0" w:line="240" w:lineRule="auto"/>
    </w:pPr>
    <w:rPr>
      <w:rFonts w:ascii="Times New Roman" w:hAnsi="Times New Roman" w:cs="Times New Roman"/>
    </w:rPr>
  </w:style>
  <w:style w:type="table" w:customStyle="1" w:styleId="TableGrid1">
    <w:name w:val="Table Grid1"/>
    <w:basedOn w:val="TableNormal"/>
    <w:next w:val="TableGrid"/>
    <w:uiPriority w:val="39"/>
    <w:rsid w:val="004D41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5516">
      <w:bodyDiv w:val="1"/>
      <w:marLeft w:val="0"/>
      <w:marRight w:val="0"/>
      <w:marTop w:val="0"/>
      <w:marBottom w:val="0"/>
      <w:divBdr>
        <w:top w:val="none" w:sz="0" w:space="0" w:color="auto"/>
        <w:left w:val="none" w:sz="0" w:space="0" w:color="auto"/>
        <w:bottom w:val="none" w:sz="0" w:space="0" w:color="auto"/>
        <w:right w:val="none" w:sz="0" w:space="0" w:color="auto"/>
      </w:divBdr>
    </w:div>
    <w:div w:id="214974989">
      <w:bodyDiv w:val="1"/>
      <w:marLeft w:val="0"/>
      <w:marRight w:val="0"/>
      <w:marTop w:val="0"/>
      <w:marBottom w:val="0"/>
      <w:divBdr>
        <w:top w:val="none" w:sz="0" w:space="0" w:color="auto"/>
        <w:left w:val="none" w:sz="0" w:space="0" w:color="auto"/>
        <w:bottom w:val="none" w:sz="0" w:space="0" w:color="auto"/>
        <w:right w:val="none" w:sz="0" w:space="0" w:color="auto"/>
      </w:divBdr>
    </w:div>
    <w:div w:id="236136812">
      <w:bodyDiv w:val="1"/>
      <w:marLeft w:val="0"/>
      <w:marRight w:val="0"/>
      <w:marTop w:val="0"/>
      <w:marBottom w:val="0"/>
      <w:divBdr>
        <w:top w:val="none" w:sz="0" w:space="0" w:color="auto"/>
        <w:left w:val="none" w:sz="0" w:space="0" w:color="auto"/>
        <w:bottom w:val="none" w:sz="0" w:space="0" w:color="auto"/>
        <w:right w:val="none" w:sz="0" w:space="0" w:color="auto"/>
      </w:divBdr>
    </w:div>
    <w:div w:id="302395892">
      <w:bodyDiv w:val="1"/>
      <w:marLeft w:val="0"/>
      <w:marRight w:val="0"/>
      <w:marTop w:val="0"/>
      <w:marBottom w:val="0"/>
      <w:divBdr>
        <w:top w:val="none" w:sz="0" w:space="0" w:color="auto"/>
        <w:left w:val="none" w:sz="0" w:space="0" w:color="auto"/>
        <w:bottom w:val="none" w:sz="0" w:space="0" w:color="auto"/>
        <w:right w:val="none" w:sz="0" w:space="0" w:color="auto"/>
      </w:divBdr>
    </w:div>
    <w:div w:id="374043638">
      <w:bodyDiv w:val="1"/>
      <w:marLeft w:val="0"/>
      <w:marRight w:val="0"/>
      <w:marTop w:val="0"/>
      <w:marBottom w:val="0"/>
      <w:divBdr>
        <w:top w:val="none" w:sz="0" w:space="0" w:color="auto"/>
        <w:left w:val="none" w:sz="0" w:space="0" w:color="auto"/>
        <w:bottom w:val="none" w:sz="0" w:space="0" w:color="auto"/>
        <w:right w:val="none" w:sz="0" w:space="0" w:color="auto"/>
      </w:divBdr>
    </w:div>
    <w:div w:id="417024019">
      <w:bodyDiv w:val="1"/>
      <w:marLeft w:val="0"/>
      <w:marRight w:val="0"/>
      <w:marTop w:val="0"/>
      <w:marBottom w:val="0"/>
      <w:divBdr>
        <w:top w:val="none" w:sz="0" w:space="0" w:color="auto"/>
        <w:left w:val="none" w:sz="0" w:space="0" w:color="auto"/>
        <w:bottom w:val="none" w:sz="0" w:space="0" w:color="auto"/>
        <w:right w:val="none" w:sz="0" w:space="0" w:color="auto"/>
      </w:divBdr>
    </w:div>
    <w:div w:id="447630591">
      <w:bodyDiv w:val="1"/>
      <w:marLeft w:val="0"/>
      <w:marRight w:val="0"/>
      <w:marTop w:val="0"/>
      <w:marBottom w:val="0"/>
      <w:divBdr>
        <w:top w:val="none" w:sz="0" w:space="0" w:color="auto"/>
        <w:left w:val="none" w:sz="0" w:space="0" w:color="auto"/>
        <w:bottom w:val="none" w:sz="0" w:space="0" w:color="auto"/>
        <w:right w:val="none" w:sz="0" w:space="0" w:color="auto"/>
      </w:divBdr>
    </w:div>
    <w:div w:id="469523475">
      <w:bodyDiv w:val="1"/>
      <w:marLeft w:val="0"/>
      <w:marRight w:val="0"/>
      <w:marTop w:val="0"/>
      <w:marBottom w:val="0"/>
      <w:divBdr>
        <w:top w:val="none" w:sz="0" w:space="0" w:color="auto"/>
        <w:left w:val="none" w:sz="0" w:space="0" w:color="auto"/>
        <w:bottom w:val="none" w:sz="0" w:space="0" w:color="auto"/>
        <w:right w:val="none" w:sz="0" w:space="0" w:color="auto"/>
      </w:divBdr>
    </w:div>
    <w:div w:id="476260025">
      <w:bodyDiv w:val="1"/>
      <w:marLeft w:val="0"/>
      <w:marRight w:val="0"/>
      <w:marTop w:val="0"/>
      <w:marBottom w:val="0"/>
      <w:divBdr>
        <w:top w:val="none" w:sz="0" w:space="0" w:color="auto"/>
        <w:left w:val="none" w:sz="0" w:space="0" w:color="auto"/>
        <w:bottom w:val="none" w:sz="0" w:space="0" w:color="auto"/>
        <w:right w:val="none" w:sz="0" w:space="0" w:color="auto"/>
      </w:divBdr>
    </w:div>
    <w:div w:id="644313970">
      <w:bodyDiv w:val="1"/>
      <w:marLeft w:val="0"/>
      <w:marRight w:val="0"/>
      <w:marTop w:val="0"/>
      <w:marBottom w:val="0"/>
      <w:divBdr>
        <w:top w:val="none" w:sz="0" w:space="0" w:color="auto"/>
        <w:left w:val="none" w:sz="0" w:space="0" w:color="auto"/>
        <w:bottom w:val="none" w:sz="0" w:space="0" w:color="auto"/>
        <w:right w:val="none" w:sz="0" w:space="0" w:color="auto"/>
      </w:divBdr>
    </w:div>
    <w:div w:id="656615019">
      <w:bodyDiv w:val="1"/>
      <w:marLeft w:val="0"/>
      <w:marRight w:val="0"/>
      <w:marTop w:val="0"/>
      <w:marBottom w:val="0"/>
      <w:divBdr>
        <w:top w:val="none" w:sz="0" w:space="0" w:color="auto"/>
        <w:left w:val="none" w:sz="0" w:space="0" w:color="auto"/>
        <w:bottom w:val="none" w:sz="0" w:space="0" w:color="auto"/>
        <w:right w:val="none" w:sz="0" w:space="0" w:color="auto"/>
      </w:divBdr>
    </w:div>
    <w:div w:id="736173087">
      <w:bodyDiv w:val="1"/>
      <w:marLeft w:val="0"/>
      <w:marRight w:val="0"/>
      <w:marTop w:val="0"/>
      <w:marBottom w:val="0"/>
      <w:divBdr>
        <w:top w:val="none" w:sz="0" w:space="0" w:color="auto"/>
        <w:left w:val="none" w:sz="0" w:space="0" w:color="auto"/>
        <w:bottom w:val="none" w:sz="0" w:space="0" w:color="auto"/>
        <w:right w:val="none" w:sz="0" w:space="0" w:color="auto"/>
      </w:divBdr>
    </w:div>
    <w:div w:id="749929240">
      <w:bodyDiv w:val="1"/>
      <w:marLeft w:val="0"/>
      <w:marRight w:val="0"/>
      <w:marTop w:val="0"/>
      <w:marBottom w:val="0"/>
      <w:divBdr>
        <w:top w:val="none" w:sz="0" w:space="0" w:color="auto"/>
        <w:left w:val="none" w:sz="0" w:space="0" w:color="auto"/>
        <w:bottom w:val="none" w:sz="0" w:space="0" w:color="auto"/>
        <w:right w:val="none" w:sz="0" w:space="0" w:color="auto"/>
      </w:divBdr>
    </w:div>
    <w:div w:id="810362203">
      <w:bodyDiv w:val="1"/>
      <w:marLeft w:val="0"/>
      <w:marRight w:val="0"/>
      <w:marTop w:val="0"/>
      <w:marBottom w:val="0"/>
      <w:divBdr>
        <w:top w:val="none" w:sz="0" w:space="0" w:color="auto"/>
        <w:left w:val="none" w:sz="0" w:space="0" w:color="auto"/>
        <w:bottom w:val="none" w:sz="0" w:space="0" w:color="auto"/>
        <w:right w:val="none" w:sz="0" w:space="0" w:color="auto"/>
      </w:divBdr>
    </w:div>
    <w:div w:id="846989745">
      <w:bodyDiv w:val="1"/>
      <w:marLeft w:val="0"/>
      <w:marRight w:val="0"/>
      <w:marTop w:val="0"/>
      <w:marBottom w:val="0"/>
      <w:divBdr>
        <w:top w:val="none" w:sz="0" w:space="0" w:color="auto"/>
        <w:left w:val="none" w:sz="0" w:space="0" w:color="auto"/>
        <w:bottom w:val="none" w:sz="0" w:space="0" w:color="auto"/>
        <w:right w:val="none" w:sz="0" w:space="0" w:color="auto"/>
      </w:divBdr>
    </w:div>
    <w:div w:id="925454930">
      <w:bodyDiv w:val="1"/>
      <w:marLeft w:val="0"/>
      <w:marRight w:val="0"/>
      <w:marTop w:val="0"/>
      <w:marBottom w:val="0"/>
      <w:divBdr>
        <w:top w:val="none" w:sz="0" w:space="0" w:color="auto"/>
        <w:left w:val="none" w:sz="0" w:space="0" w:color="auto"/>
        <w:bottom w:val="none" w:sz="0" w:space="0" w:color="auto"/>
        <w:right w:val="none" w:sz="0" w:space="0" w:color="auto"/>
      </w:divBdr>
    </w:div>
    <w:div w:id="988945167">
      <w:bodyDiv w:val="1"/>
      <w:marLeft w:val="0"/>
      <w:marRight w:val="0"/>
      <w:marTop w:val="0"/>
      <w:marBottom w:val="0"/>
      <w:divBdr>
        <w:top w:val="none" w:sz="0" w:space="0" w:color="auto"/>
        <w:left w:val="none" w:sz="0" w:space="0" w:color="auto"/>
        <w:bottom w:val="none" w:sz="0" w:space="0" w:color="auto"/>
        <w:right w:val="none" w:sz="0" w:space="0" w:color="auto"/>
      </w:divBdr>
    </w:div>
    <w:div w:id="1052190893">
      <w:bodyDiv w:val="1"/>
      <w:marLeft w:val="0"/>
      <w:marRight w:val="0"/>
      <w:marTop w:val="0"/>
      <w:marBottom w:val="0"/>
      <w:divBdr>
        <w:top w:val="none" w:sz="0" w:space="0" w:color="auto"/>
        <w:left w:val="none" w:sz="0" w:space="0" w:color="auto"/>
        <w:bottom w:val="none" w:sz="0" w:space="0" w:color="auto"/>
        <w:right w:val="none" w:sz="0" w:space="0" w:color="auto"/>
      </w:divBdr>
    </w:div>
    <w:div w:id="1079865963">
      <w:bodyDiv w:val="1"/>
      <w:marLeft w:val="0"/>
      <w:marRight w:val="0"/>
      <w:marTop w:val="0"/>
      <w:marBottom w:val="0"/>
      <w:divBdr>
        <w:top w:val="none" w:sz="0" w:space="0" w:color="auto"/>
        <w:left w:val="none" w:sz="0" w:space="0" w:color="auto"/>
        <w:bottom w:val="none" w:sz="0" w:space="0" w:color="auto"/>
        <w:right w:val="none" w:sz="0" w:space="0" w:color="auto"/>
      </w:divBdr>
    </w:div>
    <w:div w:id="1086342930">
      <w:bodyDiv w:val="1"/>
      <w:marLeft w:val="0"/>
      <w:marRight w:val="0"/>
      <w:marTop w:val="0"/>
      <w:marBottom w:val="0"/>
      <w:divBdr>
        <w:top w:val="none" w:sz="0" w:space="0" w:color="auto"/>
        <w:left w:val="none" w:sz="0" w:space="0" w:color="auto"/>
        <w:bottom w:val="none" w:sz="0" w:space="0" w:color="auto"/>
        <w:right w:val="none" w:sz="0" w:space="0" w:color="auto"/>
      </w:divBdr>
    </w:div>
    <w:div w:id="1171069652">
      <w:bodyDiv w:val="1"/>
      <w:marLeft w:val="0"/>
      <w:marRight w:val="0"/>
      <w:marTop w:val="0"/>
      <w:marBottom w:val="0"/>
      <w:divBdr>
        <w:top w:val="none" w:sz="0" w:space="0" w:color="auto"/>
        <w:left w:val="none" w:sz="0" w:space="0" w:color="auto"/>
        <w:bottom w:val="none" w:sz="0" w:space="0" w:color="auto"/>
        <w:right w:val="none" w:sz="0" w:space="0" w:color="auto"/>
      </w:divBdr>
    </w:div>
    <w:div w:id="1252199944">
      <w:bodyDiv w:val="1"/>
      <w:marLeft w:val="0"/>
      <w:marRight w:val="0"/>
      <w:marTop w:val="0"/>
      <w:marBottom w:val="0"/>
      <w:divBdr>
        <w:top w:val="none" w:sz="0" w:space="0" w:color="auto"/>
        <w:left w:val="none" w:sz="0" w:space="0" w:color="auto"/>
        <w:bottom w:val="none" w:sz="0" w:space="0" w:color="auto"/>
        <w:right w:val="none" w:sz="0" w:space="0" w:color="auto"/>
      </w:divBdr>
    </w:div>
    <w:div w:id="1313681429">
      <w:bodyDiv w:val="1"/>
      <w:marLeft w:val="0"/>
      <w:marRight w:val="0"/>
      <w:marTop w:val="0"/>
      <w:marBottom w:val="0"/>
      <w:divBdr>
        <w:top w:val="none" w:sz="0" w:space="0" w:color="auto"/>
        <w:left w:val="none" w:sz="0" w:space="0" w:color="auto"/>
        <w:bottom w:val="none" w:sz="0" w:space="0" w:color="auto"/>
        <w:right w:val="none" w:sz="0" w:space="0" w:color="auto"/>
      </w:divBdr>
    </w:div>
    <w:div w:id="1466853828">
      <w:bodyDiv w:val="1"/>
      <w:marLeft w:val="0"/>
      <w:marRight w:val="0"/>
      <w:marTop w:val="0"/>
      <w:marBottom w:val="0"/>
      <w:divBdr>
        <w:top w:val="none" w:sz="0" w:space="0" w:color="auto"/>
        <w:left w:val="none" w:sz="0" w:space="0" w:color="auto"/>
        <w:bottom w:val="none" w:sz="0" w:space="0" w:color="auto"/>
        <w:right w:val="none" w:sz="0" w:space="0" w:color="auto"/>
      </w:divBdr>
    </w:div>
    <w:div w:id="1474172265">
      <w:bodyDiv w:val="1"/>
      <w:marLeft w:val="0"/>
      <w:marRight w:val="0"/>
      <w:marTop w:val="0"/>
      <w:marBottom w:val="0"/>
      <w:divBdr>
        <w:top w:val="none" w:sz="0" w:space="0" w:color="auto"/>
        <w:left w:val="none" w:sz="0" w:space="0" w:color="auto"/>
        <w:bottom w:val="none" w:sz="0" w:space="0" w:color="auto"/>
        <w:right w:val="none" w:sz="0" w:space="0" w:color="auto"/>
      </w:divBdr>
    </w:div>
    <w:div w:id="1552229143">
      <w:bodyDiv w:val="1"/>
      <w:marLeft w:val="0"/>
      <w:marRight w:val="0"/>
      <w:marTop w:val="0"/>
      <w:marBottom w:val="0"/>
      <w:divBdr>
        <w:top w:val="none" w:sz="0" w:space="0" w:color="auto"/>
        <w:left w:val="none" w:sz="0" w:space="0" w:color="auto"/>
        <w:bottom w:val="none" w:sz="0" w:space="0" w:color="auto"/>
        <w:right w:val="none" w:sz="0" w:space="0" w:color="auto"/>
      </w:divBdr>
    </w:div>
    <w:div w:id="1628967326">
      <w:bodyDiv w:val="1"/>
      <w:marLeft w:val="0"/>
      <w:marRight w:val="0"/>
      <w:marTop w:val="0"/>
      <w:marBottom w:val="0"/>
      <w:divBdr>
        <w:top w:val="none" w:sz="0" w:space="0" w:color="auto"/>
        <w:left w:val="none" w:sz="0" w:space="0" w:color="auto"/>
        <w:bottom w:val="none" w:sz="0" w:space="0" w:color="auto"/>
        <w:right w:val="none" w:sz="0" w:space="0" w:color="auto"/>
      </w:divBdr>
    </w:div>
    <w:div w:id="1681423379">
      <w:bodyDiv w:val="1"/>
      <w:marLeft w:val="0"/>
      <w:marRight w:val="0"/>
      <w:marTop w:val="0"/>
      <w:marBottom w:val="0"/>
      <w:divBdr>
        <w:top w:val="none" w:sz="0" w:space="0" w:color="auto"/>
        <w:left w:val="none" w:sz="0" w:space="0" w:color="auto"/>
        <w:bottom w:val="none" w:sz="0" w:space="0" w:color="auto"/>
        <w:right w:val="none" w:sz="0" w:space="0" w:color="auto"/>
      </w:divBdr>
    </w:div>
    <w:div w:id="1764305109">
      <w:bodyDiv w:val="1"/>
      <w:marLeft w:val="0"/>
      <w:marRight w:val="0"/>
      <w:marTop w:val="0"/>
      <w:marBottom w:val="0"/>
      <w:divBdr>
        <w:top w:val="none" w:sz="0" w:space="0" w:color="auto"/>
        <w:left w:val="none" w:sz="0" w:space="0" w:color="auto"/>
        <w:bottom w:val="none" w:sz="0" w:space="0" w:color="auto"/>
        <w:right w:val="none" w:sz="0" w:space="0" w:color="auto"/>
      </w:divBdr>
    </w:div>
    <w:div w:id="1903170818">
      <w:bodyDiv w:val="1"/>
      <w:marLeft w:val="0"/>
      <w:marRight w:val="0"/>
      <w:marTop w:val="0"/>
      <w:marBottom w:val="0"/>
      <w:divBdr>
        <w:top w:val="none" w:sz="0" w:space="0" w:color="auto"/>
        <w:left w:val="none" w:sz="0" w:space="0" w:color="auto"/>
        <w:bottom w:val="none" w:sz="0" w:space="0" w:color="auto"/>
        <w:right w:val="none" w:sz="0" w:space="0" w:color="auto"/>
      </w:divBdr>
    </w:div>
    <w:div w:id="20234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mf.rsfas@anu.edu.au" TargetMode="External"/><Relationship Id="rId2" Type="http://schemas.openxmlformats.org/officeDocument/2006/relationships/customXml" Target="../customXml/item2.xml"/><Relationship Id="rId16" Type="http://schemas.openxmlformats.org/officeDocument/2006/relationships/hyperlink" Target="http://www.anu.edu.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n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charts/_rels/chart1.xml.rels><?xml version="1.0" encoding="UTF-8" standalone="yes"?>
<Relationships xmlns="http://schemas.openxmlformats.org/package/2006/relationships"><Relationship Id="rId3" Type="http://schemas.openxmlformats.org/officeDocument/2006/relationships/oleObject" Target="file:///C:\Users\saura\OneDrive\School\ANU\Lecture%20Powerpoints,%20Notes%20&amp;%20Material\2019\Semester%201\FINM3009\R&amp;C%20Material\Performance%20Attribution\R&amp;C%20Performance%20Attribution%20-%20Mid-Semester%20Report%20S1%20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ura\OneDrive\School\ANU\Lecture%20Powerpoints,%20Notes%20&amp;%20Material\2019\Semester%201\FINM3009\R&amp;C%20Material\Performance%20Attribution\R&amp;C%20Performance%20Attribution%20-%20Mid-Semester%20Report%20S1%20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4235096786488169"/>
          <c:y val="9.9100949201433475E-2"/>
          <c:w val="0.79915493559340967"/>
          <c:h val="0.78741951189155746"/>
        </c:manualLayout>
      </c:layout>
      <c:ofPieChart>
        <c:ofPieType val="pie"/>
        <c:varyColors val="1"/>
        <c:ser>
          <c:idx val="0"/>
          <c:order val="0"/>
          <c:tx>
            <c:strRef>
              <c:f>'Portfolio Weights'!$B$87</c:f>
              <c:strCache>
                <c:ptCount val="1"/>
                <c:pt idx="0">
                  <c:v>Portfolio</c:v>
                </c:pt>
              </c:strCache>
            </c:strRef>
          </c:tx>
          <c:spPr>
            <a:ln w="19050">
              <a:solidFill>
                <a:schemeClr val="bg1"/>
              </a:solidFill>
            </a:ln>
            <a:effectLst>
              <a:outerShdw sx="1000" sy="1000" algn="ctr" rotWithShape="0">
                <a:prstClr val="black"/>
              </a:outerShdw>
            </a:effectLst>
          </c:spPr>
          <c:dPt>
            <c:idx val="0"/>
            <c:bubble3D val="0"/>
            <c:spPr>
              <a:solidFill>
                <a:srgbClr val="B4C7E7"/>
              </a:solidFill>
              <a:ln w="19050">
                <a:solidFill>
                  <a:schemeClr val="bg1"/>
                </a:solidFill>
              </a:ln>
              <a:effectLst>
                <a:outerShdw sx="1000" sy="1000" algn="ctr" rotWithShape="0">
                  <a:prstClr val="black"/>
                </a:outerShdw>
              </a:effectLst>
            </c:spPr>
            <c:extLst>
              <c:ext xmlns:c16="http://schemas.microsoft.com/office/drawing/2014/chart" uri="{C3380CC4-5D6E-409C-BE32-E72D297353CC}">
                <c16:uniqueId val="{00000001-E316-4D1A-86D6-D82699CDBF03}"/>
              </c:ext>
            </c:extLst>
          </c:dPt>
          <c:dPt>
            <c:idx val="1"/>
            <c:bubble3D val="0"/>
            <c:spPr>
              <a:solidFill>
                <a:srgbClr val="2E75B6"/>
              </a:solidFill>
              <a:ln w="19050">
                <a:solidFill>
                  <a:schemeClr val="bg1"/>
                </a:solidFill>
              </a:ln>
              <a:effectLst>
                <a:outerShdw sx="1000" sy="1000" algn="ctr" rotWithShape="0">
                  <a:prstClr val="black"/>
                </a:outerShdw>
              </a:effectLst>
            </c:spPr>
            <c:extLst>
              <c:ext xmlns:c16="http://schemas.microsoft.com/office/drawing/2014/chart" uri="{C3380CC4-5D6E-409C-BE32-E72D297353CC}">
                <c16:uniqueId val="{00000003-E316-4D1A-86D6-D82699CDBF03}"/>
              </c:ext>
            </c:extLst>
          </c:dPt>
          <c:dPt>
            <c:idx val="2"/>
            <c:bubble3D val="0"/>
            <c:spPr>
              <a:solidFill>
                <a:srgbClr val="8497B0"/>
              </a:solidFill>
              <a:ln w="19050">
                <a:solidFill>
                  <a:schemeClr val="bg1"/>
                </a:solidFill>
              </a:ln>
              <a:effectLst>
                <a:outerShdw sx="1000" sy="1000" algn="ctr" rotWithShape="0">
                  <a:prstClr val="black"/>
                </a:outerShdw>
              </a:effectLst>
            </c:spPr>
            <c:extLst>
              <c:ext xmlns:c16="http://schemas.microsoft.com/office/drawing/2014/chart" uri="{C3380CC4-5D6E-409C-BE32-E72D297353CC}">
                <c16:uniqueId val="{00000005-E316-4D1A-86D6-D82699CDBF03}"/>
              </c:ext>
            </c:extLst>
          </c:dPt>
          <c:dPt>
            <c:idx val="3"/>
            <c:bubble3D val="0"/>
            <c:spPr>
              <a:solidFill>
                <a:srgbClr val="404040"/>
              </a:solidFill>
              <a:ln w="19050">
                <a:solidFill>
                  <a:schemeClr val="bg1"/>
                </a:solidFill>
              </a:ln>
              <a:effectLst>
                <a:outerShdw sx="1000" sy="1000" algn="ctr" rotWithShape="0">
                  <a:prstClr val="black"/>
                </a:outerShdw>
              </a:effectLst>
            </c:spPr>
            <c:extLst>
              <c:ext xmlns:c16="http://schemas.microsoft.com/office/drawing/2014/chart" uri="{C3380CC4-5D6E-409C-BE32-E72D297353CC}">
                <c16:uniqueId val="{00000007-E316-4D1A-86D6-D82699CDBF03}"/>
              </c:ext>
            </c:extLst>
          </c:dPt>
          <c:dPt>
            <c:idx val="4"/>
            <c:bubble3D val="0"/>
            <c:spPr>
              <a:solidFill>
                <a:srgbClr val="7F7F7F"/>
              </a:solidFill>
              <a:ln w="19050">
                <a:solidFill>
                  <a:schemeClr val="bg1"/>
                </a:solidFill>
              </a:ln>
              <a:effectLst>
                <a:outerShdw sx="1000" sy="1000" algn="ctr" rotWithShape="0">
                  <a:prstClr val="black"/>
                </a:outerShdw>
              </a:effectLst>
            </c:spPr>
            <c:extLst>
              <c:ext xmlns:c16="http://schemas.microsoft.com/office/drawing/2014/chart" uri="{C3380CC4-5D6E-409C-BE32-E72D297353CC}">
                <c16:uniqueId val="{00000009-E316-4D1A-86D6-D82699CDBF03}"/>
              </c:ext>
            </c:extLst>
          </c:dPt>
          <c:dPt>
            <c:idx val="5"/>
            <c:bubble3D val="0"/>
            <c:spPr>
              <a:solidFill>
                <a:srgbClr val="9DC3E6"/>
              </a:solidFill>
              <a:ln w="19050">
                <a:solidFill>
                  <a:schemeClr val="bg1"/>
                </a:solidFill>
              </a:ln>
              <a:effectLst>
                <a:outerShdw sx="1000" sy="1000" algn="ctr" rotWithShape="0">
                  <a:prstClr val="black"/>
                </a:outerShdw>
              </a:effectLst>
            </c:spPr>
            <c:extLst>
              <c:ext xmlns:c16="http://schemas.microsoft.com/office/drawing/2014/chart" uri="{C3380CC4-5D6E-409C-BE32-E72D297353CC}">
                <c16:uniqueId val="{0000000B-E316-4D1A-86D6-D82699CDBF03}"/>
              </c:ext>
            </c:extLst>
          </c:dPt>
          <c:dPt>
            <c:idx val="6"/>
            <c:bubble3D val="0"/>
            <c:spPr>
              <a:solidFill>
                <a:srgbClr val="203864"/>
              </a:solidFill>
              <a:ln w="19050">
                <a:solidFill>
                  <a:schemeClr val="bg1"/>
                </a:solidFill>
              </a:ln>
              <a:effectLst>
                <a:outerShdw sx="1000" sy="1000" algn="ctr" rotWithShape="0">
                  <a:prstClr val="black"/>
                </a:outerShdw>
              </a:effectLst>
            </c:spPr>
            <c:extLst>
              <c:ext xmlns:c16="http://schemas.microsoft.com/office/drawing/2014/chart" uri="{C3380CC4-5D6E-409C-BE32-E72D297353CC}">
                <c16:uniqueId val="{0000000D-E316-4D1A-86D6-D82699CDBF03}"/>
              </c:ext>
            </c:extLst>
          </c:dPt>
          <c:dPt>
            <c:idx val="7"/>
            <c:bubble3D val="0"/>
            <c:spPr>
              <a:solidFill>
                <a:schemeClr val="accent1">
                  <a:tint val="10000"/>
                </a:schemeClr>
              </a:solidFill>
              <a:ln w="19050">
                <a:solidFill>
                  <a:schemeClr val="bg1"/>
                </a:solidFill>
              </a:ln>
              <a:effectLst>
                <a:outerShdw sx="1000" sy="1000" algn="ctr" rotWithShape="0">
                  <a:prstClr val="black"/>
                </a:outerShdw>
              </a:effectLst>
            </c:spPr>
            <c:extLst>
              <c:ext xmlns:c16="http://schemas.microsoft.com/office/drawing/2014/chart" uri="{C3380CC4-5D6E-409C-BE32-E72D297353CC}">
                <c16:uniqueId val="{0000000F-E316-4D1A-86D6-D82699CDBF03}"/>
              </c:ext>
            </c:extLst>
          </c:dPt>
          <c:dPt>
            <c:idx val="8"/>
            <c:bubble3D val="0"/>
            <c:spPr>
              <a:solidFill>
                <a:schemeClr val="accent1">
                  <a:tint val="90000"/>
                </a:schemeClr>
              </a:solidFill>
              <a:ln w="19050">
                <a:solidFill>
                  <a:schemeClr val="bg1"/>
                </a:solidFill>
              </a:ln>
              <a:effectLst>
                <a:outerShdw sx="1000" sy="1000" algn="ctr" rotWithShape="0">
                  <a:prstClr val="black"/>
                </a:outerShdw>
              </a:effectLst>
            </c:spPr>
            <c:extLst>
              <c:ext xmlns:c16="http://schemas.microsoft.com/office/drawing/2014/chart" uri="{C3380CC4-5D6E-409C-BE32-E72D297353CC}">
                <c16:uniqueId val="{00000011-E316-4D1A-86D6-D82699CDBF03}"/>
              </c:ext>
            </c:extLst>
          </c:dPt>
          <c:dPt>
            <c:idx val="9"/>
            <c:bubble3D val="0"/>
            <c:spPr>
              <a:solidFill>
                <a:schemeClr val="accent1">
                  <a:tint val="30000"/>
                </a:schemeClr>
              </a:solidFill>
              <a:ln w="19050">
                <a:solidFill>
                  <a:schemeClr val="bg1"/>
                </a:solidFill>
              </a:ln>
              <a:effectLst>
                <a:glow>
                  <a:schemeClr val="accent1">
                    <a:alpha val="0"/>
                  </a:schemeClr>
                </a:glow>
                <a:outerShdw sx="1000" sy="1000" algn="ctr" rotWithShape="0">
                  <a:prstClr val="black"/>
                </a:outerShdw>
              </a:effectLst>
              <a:scene3d>
                <a:camera prst="orthographicFront"/>
                <a:lightRig rig="chilly" dir="t"/>
              </a:scene3d>
              <a:sp3d prstMaterial="dkEdge"/>
            </c:spPr>
            <c:extLst>
              <c:ext xmlns:c16="http://schemas.microsoft.com/office/drawing/2014/chart" uri="{C3380CC4-5D6E-409C-BE32-E72D297353CC}">
                <c16:uniqueId val="{00000013-E316-4D1A-86D6-D82699CDBF03}"/>
              </c:ext>
            </c:extLst>
          </c:dPt>
          <c:dLbls>
            <c:dLbl>
              <c:idx val="0"/>
              <c:layout>
                <c:manualLayout>
                  <c:x val="-5.820331815919213E-3"/>
                  <c:y val="-2.3245002324501938E-3"/>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DA57B99-81CA-49F1-B086-95B84247AC14}" type="CATEGORYNAME">
                      <a:rPr lang="en-US" sz="900" b="1" i="0" u="none" strike="noStrike" kern="1200" baseline="0">
                        <a:solidFill>
                          <a:srgbClr val="4472C4">
                            <a:lumMod val="40000"/>
                            <a:lumOff val="60000"/>
                          </a:srgb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rgbClr val="4472C4">
                            <a:lumMod val="40000"/>
                            <a:lumOff val="60000"/>
                          </a:srgbClr>
                        </a:solidFill>
                        <a:latin typeface="Times New Roman" panose="02020603050405020304" pitchFamily="18" charset="0"/>
                        <a:cs typeface="Times New Roman" panose="02020603050405020304" pitchFamily="18" charset="0"/>
                      </a:rPr>
                      <a:t>
</a:t>
                    </a:r>
                    <a:fld id="{39000E24-ABEA-4933-8F80-A66D82F93278}" type="PERCENTAGE">
                      <a:rPr lang="en-US" sz="900" b="1" i="0" u="none" strike="noStrike" kern="1200" baseline="0">
                        <a:solidFill>
                          <a:srgbClr val="4472C4">
                            <a:lumMod val="40000"/>
                            <a:lumOff val="60000"/>
                          </a:srgb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[PERCENTAGE]</a:t>
                    </a:fld>
                    <a:endParaRPr lang="en-US" sz="900" b="1" i="0" u="none" strike="noStrike" kern="1200" baseline="0">
                      <a:solidFill>
                        <a:srgbClr val="4472C4">
                          <a:lumMod val="40000"/>
                          <a:lumOff val="60000"/>
                        </a:srgb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endParaRPr lang="en-AU"/>
                  </a:p>
                </c:rich>
              </c:tx>
              <c:numFmt formatCode="0.00%" sourceLinked="0"/>
              <c:spPr>
                <a:noFill/>
                <a:ln>
                  <a:noFill/>
                </a:ln>
                <a:effectLst/>
              </c:spPr>
              <c:txPr>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7003964114333403"/>
                      <c:h val="0.14528126452812645"/>
                    </c:manualLayout>
                  </c15:layout>
                  <c15:dlblFieldTable/>
                  <c15:showDataLabelsRange val="0"/>
                </c:ext>
                <c:ext xmlns:c16="http://schemas.microsoft.com/office/drawing/2014/chart" uri="{C3380CC4-5D6E-409C-BE32-E72D297353CC}">
                  <c16:uniqueId val="{00000001-E316-4D1A-86D6-D82699CDBF03}"/>
                </c:ext>
              </c:extLst>
            </c:dLbl>
            <c:dLbl>
              <c:idx val="1"/>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E6E1960C-8BE2-4100-BA66-94AA751E4C78}" type="CATEGORYNAME">
                      <a:rPr lang="en-US" sz="900" b="1" i="0" u="none" strike="noStrike" kern="1200" baseline="0">
                        <a:solidFill>
                          <a:srgbClr val="5B9BD5">
                            <a:lumMod val="75000"/>
                          </a:srgb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rgbClr val="5B9BD5">
                            <a:lumMod val="75000"/>
                          </a:srgbClr>
                        </a:solidFill>
                        <a:latin typeface="Times New Roman" panose="02020603050405020304" pitchFamily="18" charset="0"/>
                        <a:cs typeface="Times New Roman" panose="02020603050405020304" pitchFamily="18" charset="0"/>
                      </a:rPr>
                      <a:t>
</a:t>
                    </a:r>
                    <a:fld id="{FDD7EC91-9B56-4252-8962-292602123B5D}" type="PERCENTAGE">
                      <a:rPr lang="en-US" sz="900" b="1" i="0" u="none" strike="noStrike" kern="1200" baseline="0">
                        <a:solidFill>
                          <a:srgbClr val="5B9BD5">
                            <a:lumMod val="75000"/>
                          </a:srgb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[PERCENTAGE]</a:t>
                    </a:fld>
                    <a:endParaRPr lang="en-US" sz="900" b="1" i="0" u="none" strike="noStrike" kern="1200" baseline="0">
                      <a:solidFill>
                        <a:srgbClr val="5B9BD5">
                          <a:lumMod val="75000"/>
                        </a:srgb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endParaRPr lang="en-AU"/>
                  </a:p>
                </c:rich>
              </c:tx>
              <c:numFmt formatCode="0.00%" sourceLinked="0"/>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16-4D1A-86D6-D82699CDBF03}"/>
                </c:ext>
              </c:extLst>
            </c:dLbl>
            <c:dLbl>
              <c:idx val="2"/>
              <c:layout>
                <c:manualLayout>
                  <c:x val="-2.9209263509284374E-2"/>
                  <c:y val="-1.5733388974913699E-2"/>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EBDAE1FA-DF96-4A0F-BA80-FC45ED40561E}" type="CATEGORYNAME">
                      <a:rPr lang="en-US" sz="900" b="1" i="0" u="none" strike="noStrike" kern="1200" baseline="0">
                        <a:solidFill>
                          <a:srgbClr val="44546A">
                            <a:lumMod val="60000"/>
                            <a:lumOff val="40000"/>
                          </a:srgb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rgbClr val="44546A">
                            <a:lumMod val="60000"/>
                            <a:lumOff val="40000"/>
                          </a:srgbClr>
                        </a:solidFill>
                        <a:latin typeface="Times New Roman" panose="02020603050405020304" pitchFamily="18" charset="0"/>
                        <a:cs typeface="Times New Roman" panose="02020603050405020304" pitchFamily="18" charset="0"/>
                      </a:rPr>
                      <a:t>
</a:t>
                    </a:r>
                    <a:fld id="{B7C54BD3-E140-4728-95F1-5BC58116EAD4}" type="PERCENTAGE">
                      <a:rPr lang="en-US" sz="900" b="1" i="0" u="none" strike="noStrike" kern="1200" baseline="0">
                        <a:solidFill>
                          <a:srgbClr val="44546A">
                            <a:lumMod val="60000"/>
                            <a:lumOff val="40000"/>
                          </a:srgb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[PERCENTAGE]</a:t>
                    </a:fld>
                    <a:endParaRPr lang="en-US" sz="900" b="1" i="0" u="none" strike="noStrike" kern="1200" baseline="0">
                      <a:solidFill>
                        <a:srgbClr val="44546A">
                          <a:lumMod val="60000"/>
                          <a:lumOff val="40000"/>
                        </a:srgb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endParaRPr lang="en-AU"/>
                  </a:p>
                </c:rich>
              </c:tx>
              <c:numFmt formatCode="0.00%" sourceLinked="0"/>
              <c:spPr>
                <a:noFill/>
                <a:ln>
                  <a:noFill/>
                </a:ln>
                <a:effectLst/>
              </c:spPr>
              <c:txPr>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2361777592322136"/>
                      <c:h val="0.29404927940492792"/>
                    </c:manualLayout>
                  </c15:layout>
                  <c15:dlblFieldTable/>
                  <c15:showDataLabelsRange val="0"/>
                </c:ext>
                <c:ext xmlns:c16="http://schemas.microsoft.com/office/drawing/2014/chart" uri="{C3380CC4-5D6E-409C-BE32-E72D297353CC}">
                  <c16:uniqueId val="{00000005-E316-4D1A-86D6-D82699CDBF03}"/>
                </c:ext>
              </c:extLst>
            </c:dLbl>
            <c:dLbl>
              <c:idx val="3"/>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3DCFB35-084F-4380-92B4-0351A670AC02}" type="CATEGORYNAME">
                      <a:rPr lang="en-US" sz="9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t>
</a:t>
                    </a:r>
                    <a:fld id="{DF3A0F29-CB6E-4AF1-A830-03564B62DED7}" type="PERCENTAGE">
                      <a:rPr lang="en-US" sz="9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[PERCENTAGE]</a:t>
                    </a:fld>
                    <a:endParaRPr lang="en-US" sz="9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endParaRPr lang="en-AU"/>
                  </a:p>
                </c:rich>
              </c:tx>
              <c:numFmt formatCode="0.00%" sourceLinked="0"/>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316-4D1A-86D6-D82699CDBF03}"/>
                </c:ext>
              </c:extLst>
            </c:dLbl>
            <c:dLbl>
              <c:idx val="4"/>
              <c:layout>
                <c:manualLayout>
                  <c:x val="-3.8597955351554351E-2"/>
                  <c:y val="5.410411564663204E-4"/>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6B817DE-9A33-40B5-AEDD-2A28EB3E3DC1}" type="CATEGORYNAME">
                      <a:rPr lang="en-US" sz="900" b="1" i="0" u="none" strike="noStrike" kern="1200" baseline="0">
                        <a:solidFill>
                          <a:sysClr val="window" lastClr="FFFFFF">
                            <a:lumMod val="50000"/>
                          </a:sys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ysClr val="window" lastClr="FFFFFF">
                            <a:lumMod val="50000"/>
                          </a:sysClr>
                        </a:solidFill>
                        <a:latin typeface="Times New Roman" panose="02020603050405020304" pitchFamily="18" charset="0"/>
                        <a:cs typeface="Times New Roman" panose="02020603050405020304" pitchFamily="18" charset="0"/>
                      </a:rPr>
                      <a:t>
</a:t>
                    </a:r>
                    <a:fld id="{E0E5FC88-6F08-4977-B21F-CB52152940C2}" type="PERCENTAGE">
                      <a:rPr lang="en-US" sz="900" b="1" i="0" u="none" strike="noStrike" kern="1200" baseline="0">
                        <a:solidFill>
                          <a:sysClr val="window" lastClr="FFFFFF">
                            <a:lumMod val="50000"/>
                          </a:sys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[PERCENTAGE]</a:t>
                    </a:fld>
                    <a:endParaRPr lang="en-US" sz="900" b="1" i="0" u="none" strike="noStrike" kern="1200" baseline="0">
                      <a:solidFill>
                        <a:sysClr val="window" lastClr="FFFFFF">
                          <a:lumMod val="50000"/>
                        </a:sys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endParaRPr lang="en-AU"/>
                  </a:p>
                </c:rich>
              </c:tx>
              <c:numFmt formatCode="0.00%" sourceLinked="0"/>
              <c:spPr>
                <a:noFill/>
                <a:ln>
                  <a:noFill/>
                </a:ln>
                <a:effectLst/>
              </c:spPr>
              <c:txPr>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9559774671395785"/>
                      <c:h val="0.12900976290097629"/>
                    </c:manualLayout>
                  </c15:layout>
                  <c15:dlblFieldTable/>
                  <c15:showDataLabelsRange val="0"/>
                </c:ext>
                <c:ext xmlns:c16="http://schemas.microsoft.com/office/drawing/2014/chart" uri="{C3380CC4-5D6E-409C-BE32-E72D297353CC}">
                  <c16:uniqueId val="{00000009-E316-4D1A-86D6-D82699CDBF03}"/>
                </c:ext>
              </c:extLst>
            </c:dLbl>
            <c:dLbl>
              <c:idx val="5"/>
              <c:layout>
                <c:manualLayout>
                  <c:x val="0.12216068051998404"/>
                  <c:y val="3.7928522533009733E-2"/>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4B17713-2B8E-4AE1-9001-CCCE70088F90}" type="CATEGORYNAME">
                      <a:rPr lang="en-US" sz="900" b="1" i="0" u="none" strike="noStrike" kern="1200" baseline="0">
                        <a:solidFill>
                          <a:srgbClr val="5B9BD5">
                            <a:lumMod val="60000"/>
                            <a:lumOff val="40000"/>
                          </a:srgb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rgbClr val="5B9BD5">
                            <a:lumMod val="60000"/>
                            <a:lumOff val="40000"/>
                          </a:srgbClr>
                        </a:solidFill>
                        <a:latin typeface="Times New Roman" panose="02020603050405020304" pitchFamily="18" charset="0"/>
                        <a:cs typeface="Times New Roman" panose="02020603050405020304" pitchFamily="18" charset="0"/>
                      </a:rPr>
                      <a:t>
100%</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endParaRPr lang="en-AU"/>
                  </a:p>
                </c:rich>
              </c:tx>
              <c:numFmt formatCode="0.00%" sourceLinked="0"/>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316-4D1A-86D6-D82699CDBF03}"/>
                </c:ext>
              </c:extLst>
            </c:dLbl>
            <c:dLbl>
              <c:idx val="6"/>
              <c:layout>
                <c:manualLayout>
                  <c:x val="-2.0863759649489603E-3"/>
                  <c:y val="-7.3819172185066825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chemeClr val="accent1">
                            <a:lumMod val="50000"/>
                          </a:schemeClr>
                        </a:solidFill>
                        <a:latin typeface="Times New Roman" panose="02020603050405020304" pitchFamily="18" charset="0"/>
                        <a:cs typeface="Times New Roman" panose="02020603050405020304" pitchFamily="18" charset="0"/>
                      </a:rPr>
                      <a:t>AAE Portfolio</a:t>
                    </a:r>
                  </a:p>
                  <a:p>
                    <a:pPr>
                      <a:defRPr>
                        <a:solidFill>
                          <a:schemeClr val="tx1"/>
                        </a:solidFill>
                        <a:latin typeface="Times New Roman" panose="02020603050405020304" pitchFamily="18" charset="0"/>
                        <a:cs typeface="Times New Roman" panose="02020603050405020304" pitchFamily="18" charset="0"/>
                      </a:defRPr>
                    </a:pPr>
                    <a:r>
                      <a:rPr lang="en-US" sz="900" b="1" i="0" u="none" strike="noStrike" kern="1200" baseline="0">
                        <a:solidFill>
                          <a:srgbClr val="4472C4">
                            <a:lumMod val="50000"/>
                          </a:srgbClr>
                        </a:solidFill>
                        <a:latin typeface="Times New Roman" panose="02020603050405020304" pitchFamily="18" charset="0"/>
                        <a:cs typeface="Times New Roman" panose="02020603050405020304" pitchFamily="18" charset="0"/>
                      </a:rPr>
                      <a:t>50.16%</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4656791153765908"/>
                      <c:h val="0.18479776847977686"/>
                    </c:manualLayout>
                  </c15:layout>
                </c:ext>
                <c:ext xmlns:c16="http://schemas.microsoft.com/office/drawing/2014/chart" uri="{C3380CC4-5D6E-409C-BE32-E72D297353CC}">
                  <c16:uniqueId val="{0000000D-E316-4D1A-86D6-D82699CDBF03}"/>
                </c:ext>
              </c:extLst>
            </c:dLbl>
            <c:dLbl>
              <c:idx val="9"/>
              <c:tx>
                <c:rich>
                  <a:bodyPr rot="0" spcFirstLastPara="1" vertOverflow="ellipsis" horzOverflow="clip"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baseline="0">
                        <a:latin typeface="Times New Roman" panose="02020603050405020304" pitchFamily="18" charset="0"/>
                        <a:cs typeface="Times New Roman" panose="02020603050405020304" pitchFamily="18" charset="0"/>
                      </a:rPr>
                      <a:t>AAE Portfolio
48.79%</a:t>
                    </a:r>
                  </a:p>
                </c:rich>
              </c:tx>
              <c:numFmt formatCode="0.000%" sourceLinked="0"/>
              <c:spPr>
                <a:noFill/>
                <a:ln w="9525">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3-E316-4D1A-86D6-D82699CDBF0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'Portfolio Weights'!$A$88:$A$93</c:f>
              <c:strCache>
                <c:ptCount val="6"/>
                <c:pt idx="0">
                  <c:v>Australian Equities</c:v>
                </c:pt>
                <c:pt idx="1">
                  <c:v>International Equities, Unhedged</c:v>
                </c:pt>
                <c:pt idx="2">
                  <c:v>International Equities, Hedged</c:v>
                </c:pt>
                <c:pt idx="3">
                  <c:v>Australian Fixed Income</c:v>
                </c:pt>
                <c:pt idx="4">
                  <c:v>Cash and Accruals</c:v>
                </c:pt>
                <c:pt idx="5">
                  <c:v>iShares Core S&amp;P/ASX 200 ETF</c:v>
                </c:pt>
              </c:strCache>
            </c:strRef>
          </c:cat>
          <c:val>
            <c:numRef>
              <c:f>'Portfolio Weights'!$B$88:$B$93</c:f>
              <c:numCache>
                <c:formatCode>0.00%</c:formatCode>
                <c:ptCount val="6"/>
                <c:pt idx="0">
                  <c:v>0.10031770882187886</c:v>
                </c:pt>
                <c:pt idx="1">
                  <c:v>0.10024531343672853</c:v>
                </c:pt>
                <c:pt idx="2">
                  <c:v>0.10059421530409113</c:v>
                </c:pt>
                <c:pt idx="3">
                  <c:v>0.14918015097438331</c:v>
                </c:pt>
                <c:pt idx="4">
                  <c:v>4.8074067353524021E-2</c:v>
                </c:pt>
                <c:pt idx="5">
                  <c:v>0.50158854410939424</c:v>
                </c:pt>
              </c:numCache>
            </c:numRef>
          </c:val>
          <c:extLst>
            <c:ext xmlns:c16="http://schemas.microsoft.com/office/drawing/2014/chart" uri="{C3380CC4-5D6E-409C-BE32-E72D297353CC}">
              <c16:uniqueId val="{00000014-E316-4D1A-86D6-D82699CDBF03}"/>
            </c:ext>
          </c:extLst>
        </c:ser>
        <c:dLbls>
          <c:dLblPos val="bestFit"/>
          <c:showLegendKey val="0"/>
          <c:showVal val="0"/>
          <c:showCatName val="0"/>
          <c:showSerName val="0"/>
          <c:showPercent val="1"/>
          <c:showBubbleSize val="0"/>
          <c:showLeaderLines val="1"/>
        </c:dLbls>
        <c:gapWidth val="100"/>
        <c:splitType val="pos"/>
        <c:splitPos val="1"/>
        <c:secondPieSize val="75"/>
        <c:serLines>
          <c:spPr>
            <a:ln w="9525" cap="flat" cmpd="sng" algn="ctr">
              <a:solidFill>
                <a:schemeClr val="dk1">
                  <a:lumMod val="35000"/>
                  <a:lumOff val="65000"/>
                </a:schemeClr>
              </a:solidFill>
              <a:round/>
            </a:ln>
            <a:effectLst/>
          </c:spPr>
        </c:serLines>
      </c:ofPieChart>
      <c:spPr>
        <a:noFill/>
        <a:ln w="19050">
          <a:solidFill>
            <a:schemeClr val="bg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4652371979477946"/>
          <c:y val="0.10374994966633355"/>
          <c:w val="0.79080943173361429"/>
          <c:h val="0.78277051142665743"/>
        </c:manualLayout>
      </c:layout>
      <c:ofPieChart>
        <c:ofPieType val="pie"/>
        <c:varyColors val="1"/>
        <c:ser>
          <c:idx val="0"/>
          <c:order val="0"/>
          <c:tx>
            <c:strRef>
              <c:f>'Portfolio Weights'!$B$26</c:f>
              <c:strCache>
                <c:ptCount val="1"/>
                <c:pt idx="0">
                  <c:v>Portfolio</c:v>
                </c:pt>
              </c:strCache>
            </c:strRef>
          </c:tx>
          <c:spPr>
            <a:ln w="19050">
              <a:solidFill>
                <a:schemeClr val="bg1"/>
              </a:solidFill>
            </a:ln>
          </c:spPr>
          <c:dPt>
            <c:idx val="0"/>
            <c:bubble3D val="0"/>
            <c:spPr>
              <a:solidFill>
                <a:srgbClr val="B4C7E7"/>
              </a:solidFill>
              <a:ln w="19050">
                <a:solidFill>
                  <a:schemeClr val="bg1"/>
                </a:solidFill>
              </a:ln>
              <a:effectLst>
                <a:glow>
                  <a:schemeClr val="accent1">
                    <a:alpha val="0"/>
                  </a:schemeClr>
                </a:glow>
              </a:effectLst>
              <a:scene3d>
                <a:camera prst="orthographicFront"/>
                <a:lightRig rig="chilly" dir="t"/>
              </a:scene3d>
              <a:sp3d prstMaterial="dkEdge"/>
            </c:spPr>
            <c:extLst>
              <c:ext xmlns:c16="http://schemas.microsoft.com/office/drawing/2014/chart" uri="{C3380CC4-5D6E-409C-BE32-E72D297353CC}">
                <c16:uniqueId val="{00000001-5EDC-48F0-A8EA-D401E0B3050A}"/>
              </c:ext>
            </c:extLst>
          </c:dPt>
          <c:dPt>
            <c:idx val="1"/>
            <c:bubble3D val="0"/>
            <c:spPr>
              <a:solidFill>
                <a:srgbClr val="2E75B6"/>
              </a:solidFill>
              <a:ln w="19050">
                <a:solidFill>
                  <a:schemeClr val="bg1"/>
                </a:solidFill>
              </a:ln>
              <a:effectLst>
                <a:glow>
                  <a:schemeClr val="accent1">
                    <a:alpha val="0"/>
                  </a:schemeClr>
                </a:glow>
              </a:effectLst>
              <a:scene3d>
                <a:camera prst="orthographicFront"/>
                <a:lightRig rig="chilly" dir="t"/>
              </a:scene3d>
              <a:sp3d prstMaterial="dkEdge"/>
            </c:spPr>
            <c:extLst>
              <c:ext xmlns:c16="http://schemas.microsoft.com/office/drawing/2014/chart" uri="{C3380CC4-5D6E-409C-BE32-E72D297353CC}">
                <c16:uniqueId val="{00000003-5EDC-48F0-A8EA-D401E0B3050A}"/>
              </c:ext>
            </c:extLst>
          </c:dPt>
          <c:dPt>
            <c:idx val="2"/>
            <c:bubble3D val="0"/>
            <c:spPr>
              <a:solidFill>
                <a:srgbClr val="8497B0"/>
              </a:solidFill>
              <a:ln w="19050">
                <a:solidFill>
                  <a:schemeClr val="bg1"/>
                </a:solidFill>
              </a:ln>
              <a:effectLst>
                <a:glow>
                  <a:schemeClr val="accent1">
                    <a:alpha val="0"/>
                  </a:schemeClr>
                </a:glow>
              </a:effectLst>
              <a:scene3d>
                <a:camera prst="orthographicFront"/>
                <a:lightRig rig="chilly" dir="t"/>
              </a:scene3d>
              <a:sp3d prstMaterial="dkEdge"/>
            </c:spPr>
            <c:extLst>
              <c:ext xmlns:c16="http://schemas.microsoft.com/office/drawing/2014/chart" uri="{C3380CC4-5D6E-409C-BE32-E72D297353CC}">
                <c16:uniqueId val="{00000005-5EDC-48F0-A8EA-D401E0B3050A}"/>
              </c:ext>
            </c:extLst>
          </c:dPt>
          <c:dPt>
            <c:idx val="3"/>
            <c:bubble3D val="0"/>
            <c:spPr>
              <a:solidFill>
                <a:srgbClr val="404040"/>
              </a:solidFill>
              <a:ln w="19050">
                <a:solidFill>
                  <a:schemeClr val="bg1"/>
                </a:solidFill>
              </a:ln>
              <a:effectLst>
                <a:glow>
                  <a:schemeClr val="accent1">
                    <a:alpha val="0"/>
                  </a:schemeClr>
                </a:glow>
              </a:effectLst>
              <a:scene3d>
                <a:camera prst="orthographicFront"/>
                <a:lightRig rig="chilly" dir="t"/>
              </a:scene3d>
              <a:sp3d prstMaterial="dkEdge"/>
            </c:spPr>
            <c:extLst>
              <c:ext xmlns:c16="http://schemas.microsoft.com/office/drawing/2014/chart" uri="{C3380CC4-5D6E-409C-BE32-E72D297353CC}">
                <c16:uniqueId val="{00000007-5EDC-48F0-A8EA-D401E0B3050A}"/>
              </c:ext>
            </c:extLst>
          </c:dPt>
          <c:dPt>
            <c:idx val="4"/>
            <c:bubble3D val="0"/>
            <c:spPr>
              <a:solidFill>
                <a:srgbClr val="7F7F7F"/>
              </a:solidFill>
              <a:ln w="19050">
                <a:solidFill>
                  <a:schemeClr val="bg1"/>
                </a:solidFill>
              </a:ln>
              <a:effectLst>
                <a:glow>
                  <a:schemeClr val="accent1">
                    <a:alpha val="0"/>
                  </a:schemeClr>
                </a:glow>
              </a:effectLst>
              <a:scene3d>
                <a:camera prst="orthographicFront"/>
                <a:lightRig rig="chilly" dir="t"/>
              </a:scene3d>
              <a:sp3d prstMaterial="dkEdge"/>
            </c:spPr>
            <c:extLst>
              <c:ext xmlns:c16="http://schemas.microsoft.com/office/drawing/2014/chart" uri="{C3380CC4-5D6E-409C-BE32-E72D297353CC}">
                <c16:uniqueId val="{00000009-5EDC-48F0-A8EA-D401E0B3050A}"/>
              </c:ext>
            </c:extLst>
          </c:dPt>
          <c:dPt>
            <c:idx val="5"/>
            <c:bubble3D val="0"/>
            <c:spPr>
              <a:solidFill>
                <a:srgbClr val="C9C9C9"/>
              </a:solidFill>
              <a:ln w="19050">
                <a:solidFill>
                  <a:schemeClr val="bg1"/>
                </a:solidFill>
              </a:ln>
              <a:effectLst>
                <a:glow>
                  <a:schemeClr val="accent1">
                    <a:alpha val="0"/>
                  </a:schemeClr>
                </a:glow>
              </a:effectLst>
              <a:scene3d>
                <a:camera prst="orthographicFront"/>
                <a:lightRig rig="chilly" dir="t"/>
              </a:scene3d>
              <a:sp3d prstMaterial="dkEdge"/>
            </c:spPr>
            <c:extLst>
              <c:ext xmlns:c16="http://schemas.microsoft.com/office/drawing/2014/chart" uri="{C3380CC4-5D6E-409C-BE32-E72D297353CC}">
                <c16:uniqueId val="{0000000B-5EDC-48F0-A8EA-D401E0B3050A}"/>
              </c:ext>
            </c:extLst>
          </c:dPt>
          <c:dPt>
            <c:idx val="6"/>
            <c:bubble3D val="0"/>
            <c:spPr>
              <a:solidFill>
                <a:srgbClr val="F4B183"/>
              </a:solidFill>
              <a:ln w="19050">
                <a:solidFill>
                  <a:schemeClr val="bg1"/>
                </a:solidFill>
              </a:ln>
              <a:effectLst>
                <a:glow>
                  <a:schemeClr val="accent1">
                    <a:alpha val="0"/>
                  </a:schemeClr>
                </a:glow>
              </a:effectLst>
              <a:scene3d>
                <a:camera prst="orthographicFront"/>
                <a:lightRig rig="chilly" dir="t"/>
              </a:scene3d>
              <a:sp3d prstMaterial="dkEdge"/>
            </c:spPr>
            <c:extLst>
              <c:ext xmlns:c16="http://schemas.microsoft.com/office/drawing/2014/chart" uri="{C3380CC4-5D6E-409C-BE32-E72D297353CC}">
                <c16:uniqueId val="{0000000D-5EDC-48F0-A8EA-D401E0B3050A}"/>
              </c:ext>
            </c:extLst>
          </c:dPt>
          <c:dPt>
            <c:idx val="7"/>
            <c:bubble3D val="0"/>
            <c:spPr>
              <a:solidFill>
                <a:srgbClr val="A9D18E"/>
              </a:solidFill>
              <a:ln w="19050">
                <a:solidFill>
                  <a:schemeClr val="bg1"/>
                </a:solidFill>
              </a:ln>
              <a:effectLst>
                <a:glow>
                  <a:schemeClr val="accent1">
                    <a:alpha val="0"/>
                  </a:schemeClr>
                </a:glow>
              </a:effectLst>
              <a:scene3d>
                <a:camera prst="orthographicFront"/>
                <a:lightRig rig="chilly" dir="t"/>
              </a:scene3d>
              <a:sp3d prstMaterial="dkEdge"/>
            </c:spPr>
            <c:extLst>
              <c:ext xmlns:c16="http://schemas.microsoft.com/office/drawing/2014/chart" uri="{C3380CC4-5D6E-409C-BE32-E72D297353CC}">
                <c16:uniqueId val="{0000000F-5EDC-48F0-A8EA-D401E0B3050A}"/>
              </c:ext>
            </c:extLst>
          </c:dPt>
          <c:dPt>
            <c:idx val="8"/>
            <c:bubble3D val="0"/>
            <c:spPr>
              <a:solidFill>
                <a:srgbClr val="9DC3E6"/>
              </a:solidFill>
              <a:ln w="19050">
                <a:solidFill>
                  <a:schemeClr val="bg1"/>
                </a:solidFill>
              </a:ln>
              <a:effectLst>
                <a:glow>
                  <a:schemeClr val="accent1">
                    <a:alpha val="0"/>
                  </a:schemeClr>
                </a:glow>
              </a:effectLst>
              <a:scene3d>
                <a:camera prst="orthographicFront"/>
                <a:lightRig rig="chilly" dir="t"/>
              </a:scene3d>
              <a:sp3d prstMaterial="dkEdge"/>
            </c:spPr>
            <c:extLst>
              <c:ext xmlns:c16="http://schemas.microsoft.com/office/drawing/2014/chart" uri="{C3380CC4-5D6E-409C-BE32-E72D297353CC}">
                <c16:uniqueId val="{00000011-5EDC-48F0-A8EA-D401E0B3050A}"/>
              </c:ext>
            </c:extLst>
          </c:dPt>
          <c:dPt>
            <c:idx val="9"/>
            <c:bubble3D val="0"/>
            <c:spPr>
              <a:solidFill>
                <a:srgbClr val="203864"/>
              </a:solidFill>
              <a:ln w="19050">
                <a:solidFill>
                  <a:schemeClr val="bg1"/>
                </a:solidFill>
              </a:ln>
              <a:effectLst>
                <a:glow>
                  <a:schemeClr val="accent1">
                    <a:alpha val="0"/>
                  </a:schemeClr>
                </a:glow>
              </a:effectLst>
              <a:scene3d>
                <a:camera prst="orthographicFront"/>
                <a:lightRig rig="chilly" dir="t"/>
              </a:scene3d>
              <a:sp3d prstMaterial="dkEdge"/>
            </c:spPr>
            <c:extLst>
              <c:ext xmlns:c16="http://schemas.microsoft.com/office/drawing/2014/chart" uri="{C3380CC4-5D6E-409C-BE32-E72D297353CC}">
                <c16:uniqueId val="{00000013-5EDC-48F0-A8EA-D401E0B3050A}"/>
              </c:ext>
            </c:extLst>
          </c:dPt>
          <c:dLbls>
            <c:dLbl>
              <c:idx val="0"/>
              <c:layout>
                <c:manualLayout>
                  <c:x val="-8.3455038597955548E-3"/>
                  <c:y val="3.0621172353455816E-3"/>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DA57B99-81CA-49F1-B086-95B84247AC14}" type="CATEGORYNAME">
                      <a:rPr lang="en-US" sz="900" b="1" i="0" u="none" strike="noStrike" kern="1200" baseline="0">
                        <a:solidFill>
                          <a:srgbClr val="4472C4">
                            <a:lumMod val="40000"/>
                            <a:lumOff val="60000"/>
                          </a:srgb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rgbClr val="4472C4">
                            <a:lumMod val="40000"/>
                            <a:lumOff val="60000"/>
                          </a:srgbClr>
                        </a:solidFill>
                        <a:latin typeface="Times New Roman" panose="02020603050405020304" pitchFamily="18" charset="0"/>
                        <a:cs typeface="Times New Roman" panose="02020603050405020304" pitchFamily="18" charset="0"/>
                      </a:rPr>
                      <a:t>
</a:t>
                    </a:r>
                    <a:fld id="{39000E24-ABEA-4933-8F80-A66D82F93278}" type="PERCENTAGE">
                      <a:rPr lang="en-US" sz="900" b="1" i="0" u="none" strike="noStrike" kern="1200" baseline="0">
                        <a:solidFill>
                          <a:srgbClr val="4472C4">
                            <a:lumMod val="40000"/>
                            <a:lumOff val="60000"/>
                          </a:srgb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[PERCENTAGE]</a:t>
                    </a:fld>
                    <a:endParaRPr lang="en-US" sz="900" b="1" i="0" u="none" strike="noStrike" kern="1200" baseline="0">
                      <a:solidFill>
                        <a:srgbClr val="4472C4">
                          <a:lumMod val="40000"/>
                          <a:lumOff val="60000"/>
                        </a:srgb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endParaRPr lang="en-AU"/>
                  </a:p>
                </c:rich>
              </c:tx>
              <c:numFmt formatCode="0.00%" sourceLinked="0"/>
              <c:spPr>
                <a:noFill/>
                <a:ln>
                  <a:noFill/>
                </a:ln>
                <a:effectLst/>
              </c:spPr>
              <c:txPr>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7629876903818067"/>
                      <c:h val="0.11041376104137611"/>
                    </c:manualLayout>
                  </c15:layout>
                  <c15:dlblFieldTable/>
                  <c15:showDataLabelsRange val="0"/>
                </c:ext>
                <c:ext xmlns:c16="http://schemas.microsoft.com/office/drawing/2014/chart" uri="{C3380CC4-5D6E-409C-BE32-E72D297353CC}">
                  <c16:uniqueId val="{00000001-5EDC-48F0-A8EA-D401E0B3050A}"/>
                </c:ext>
              </c:extLst>
            </c:dLbl>
            <c:dLbl>
              <c:idx val="1"/>
              <c:layout>
                <c:manualLayout>
                  <c:x val="-4.057426266323428E-3"/>
                  <c:y val="-5.3430559673764713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E6E1960C-8BE2-4100-BA66-94AA751E4C78}" type="CATEGORYNAME">
                      <a:rPr lang="en-US" sz="900" b="1" i="0" u="none" strike="noStrike" kern="1200" baseline="0">
                        <a:solidFill>
                          <a:srgbClr val="5B9BD5">
                            <a:lumMod val="75000"/>
                          </a:srgbClr>
                        </a:solidFill>
                        <a:latin typeface="Times New Roman" panose="02020603050405020304" pitchFamily="18" charset="0"/>
                        <a:cs typeface="Times New Roman" panose="02020603050405020304" pitchFamily="18" charset="0"/>
                      </a:rPr>
                      <a:pPr>
                        <a:defRPr>
                          <a:solidFill>
                            <a:schemeClr val="tx1"/>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rgbClr val="5B9BD5">
                            <a:lumMod val="75000"/>
                          </a:srgbClr>
                        </a:solidFill>
                        <a:latin typeface="Times New Roman" panose="02020603050405020304" pitchFamily="18" charset="0"/>
                        <a:cs typeface="Times New Roman" panose="02020603050405020304" pitchFamily="18" charset="0"/>
                      </a:rPr>
                      <a:t>
</a:t>
                    </a:r>
                    <a:fld id="{FDD7EC91-9B56-4252-8962-292602123B5D}" type="PERCENTAGE">
                      <a:rPr lang="en-US" sz="900" b="1" i="0" u="none" strike="noStrike" kern="1200" baseline="0">
                        <a:solidFill>
                          <a:srgbClr val="5B9BD5">
                            <a:lumMod val="75000"/>
                          </a:srgbClr>
                        </a:solidFill>
                        <a:latin typeface="Times New Roman" panose="02020603050405020304" pitchFamily="18" charset="0"/>
                        <a:cs typeface="Times New Roman" panose="02020603050405020304" pitchFamily="18" charset="0"/>
                      </a:rPr>
                      <a:pPr>
                        <a:defRPr>
                          <a:solidFill>
                            <a:schemeClr val="tx1"/>
                          </a:solidFill>
                          <a:latin typeface="Times New Roman" panose="02020603050405020304" pitchFamily="18" charset="0"/>
                          <a:cs typeface="Times New Roman" panose="02020603050405020304" pitchFamily="18" charset="0"/>
                        </a:defRPr>
                      </a:pPr>
                      <a:t>[PERCENTAGE]</a:t>
                    </a:fld>
                    <a:endParaRPr lang="en-US" sz="900" b="1" i="0" u="none" strike="noStrike" kern="1200" baseline="0">
                      <a:solidFill>
                        <a:srgbClr val="5B9BD5">
                          <a:lumMod val="75000"/>
                        </a:srgbClr>
                      </a:solidFill>
                      <a:latin typeface="Times New Roman" panose="02020603050405020304" pitchFamily="18" charset="0"/>
                      <a:cs typeface="Times New Roman" panose="02020603050405020304" pitchFamily="18" charset="0"/>
                    </a:endParaRP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6899645316085959"/>
                      <c:h val="0.24191092222258828"/>
                    </c:manualLayout>
                  </c15:layout>
                  <c15:dlblFieldTable/>
                  <c15:showDataLabelsRange val="0"/>
                </c:ext>
                <c:ext xmlns:c16="http://schemas.microsoft.com/office/drawing/2014/chart" uri="{C3380CC4-5D6E-409C-BE32-E72D297353CC}">
                  <c16:uniqueId val="{00000003-5EDC-48F0-A8EA-D401E0B3050A}"/>
                </c:ext>
              </c:extLst>
            </c:dLbl>
            <c:dLbl>
              <c:idx val="2"/>
              <c:layout>
                <c:manualLayout>
                  <c:x val="0"/>
                  <c:y val="-4.201049136640355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EBDAE1FA-DF96-4A0F-BA80-FC45ED40561E}" type="CATEGORYNAME">
                      <a:rPr lang="en-US" sz="900" b="1" i="0" u="none" strike="noStrike" kern="1200" baseline="0">
                        <a:solidFill>
                          <a:srgbClr val="44546A">
                            <a:lumMod val="60000"/>
                            <a:lumOff val="40000"/>
                          </a:srgbClr>
                        </a:solidFill>
                        <a:latin typeface="Times New Roman" panose="02020603050405020304" pitchFamily="18" charset="0"/>
                        <a:cs typeface="Times New Roman" panose="02020603050405020304" pitchFamily="18" charset="0"/>
                      </a:rPr>
                      <a:pPr>
                        <a:defRPr>
                          <a:solidFill>
                            <a:schemeClr val="tx1"/>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rgbClr val="44546A">
                            <a:lumMod val="60000"/>
                            <a:lumOff val="40000"/>
                          </a:srgbClr>
                        </a:solidFill>
                        <a:latin typeface="Times New Roman" panose="02020603050405020304" pitchFamily="18" charset="0"/>
                        <a:cs typeface="Times New Roman" panose="02020603050405020304" pitchFamily="18" charset="0"/>
                      </a:rPr>
                      <a:t>
</a:t>
                    </a:r>
                    <a:fld id="{B7C54BD3-E140-4728-95F1-5BC58116EAD4}" type="PERCENTAGE">
                      <a:rPr lang="en-US" sz="900" b="1" i="0" u="none" strike="noStrike" kern="1200" baseline="0">
                        <a:solidFill>
                          <a:srgbClr val="44546A">
                            <a:lumMod val="60000"/>
                            <a:lumOff val="40000"/>
                          </a:srgbClr>
                        </a:solidFill>
                        <a:latin typeface="Times New Roman" panose="02020603050405020304" pitchFamily="18" charset="0"/>
                        <a:cs typeface="Times New Roman" panose="02020603050405020304" pitchFamily="18" charset="0"/>
                      </a:rPr>
                      <a:pPr>
                        <a:defRPr>
                          <a:solidFill>
                            <a:schemeClr val="tx1"/>
                          </a:solidFill>
                          <a:latin typeface="Times New Roman" panose="02020603050405020304" pitchFamily="18" charset="0"/>
                          <a:cs typeface="Times New Roman" panose="02020603050405020304" pitchFamily="18" charset="0"/>
                        </a:defRPr>
                      </a:pPr>
                      <a:t>[PERCENTAGE]</a:t>
                    </a:fld>
                    <a:endParaRPr lang="en-US" sz="900" b="1" i="0" u="none" strike="noStrike" kern="1200" baseline="0">
                      <a:solidFill>
                        <a:srgbClr val="44546A">
                          <a:lumMod val="60000"/>
                          <a:lumOff val="40000"/>
                        </a:srgbClr>
                      </a:solidFill>
                      <a:latin typeface="Times New Roman" panose="02020603050405020304" pitchFamily="18" charset="0"/>
                      <a:cs typeface="Times New Roman" panose="02020603050405020304" pitchFamily="18" charset="0"/>
                    </a:endParaRP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813269351137076"/>
                      <c:h val="0.22796392082788813"/>
                    </c:manualLayout>
                  </c15:layout>
                  <c15:dlblFieldTable/>
                  <c15:showDataLabelsRange val="0"/>
                </c:ext>
                <c:ext xmlns:c16="http://schemas.microsoft.com/office/drawing/2014/chart" uri="{C3380CC4-5D6E-409C-BE32-E72D297353CC}">
                  <c16:uniqueId val="{00000005-5EDC-48F0-A8EA-D401E0B3050A}"/>
                </c:ext>
              </c:extLst>
            </c:dLbl>
            <c:dLbl>
              <c:idx val="3"/>
              <c:layout>
                <c:manualLayout>
                  <c:x val="-3.5777240759572275E-2"/>
                  <c:y val="7.0989138909937521E-2"/>
                </c:manualLayout>
              </c:layout>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3DCFB35-084F-4380-92B4-0351A670AC02}" type="CATEGORYNAME">
                      <a:rPr lang="en-US" sz="9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t>
</a:t>
                    </a:r>
                    <a:fld id="{DF3A0F29-CB6E-4AF1-A830-03564B62DED7}" type="PERCENTAGE">
                      <a:rPr lang="en-US" sz="9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[PERCENTAGE]</a:t>
                    </a:fld>
                    <a:endParaRPr lang="en-US" sz="9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endParaRPr lang="en-AU"/>
                  </a:p>
                </c:rich>
              </c:tx>
              <c:numFmt formatCode="0.00%" sourceLinked="0"/>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EDC-48F0-A8EA-D401E0B3050A}"/>
                </c:ext>
              </c:extLst>
            </c:dLbl>
            <c:dLbl>
              <c:idx val="4"/>
              <c:layout>
                <c:manualLayout>
                  <c:x val="-2.2631922209390008E-2"/>
                  <c:y val="0"/>
                </c:manualLayout>
              </c:layout>
              <c:tx>
                <c:rich>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6B817DE-9A33-40B5-AEDD-2A28EB3E3DC1}" type="CATEGORYNAME">
                      <a:rPr lang="en-US" sz="900" b="1" i="0" u="none" strike="noStrike" kern="1200" baseline="0">
                        <a:solidFill>
                          <a:sysClr val="window" lastClr="FFFFFF">
                            <a:lumMod val="50000"/>
                          </a:sys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[CATEGORY NAME]</a:t>
                    </a:fld>
                    <a:r>
                      <a:rPr lang="en-US" sz="900" b="1" i="0" u="none" strike="noStrike" kern="1200" baseline="0">
                        <a:solidFill>
                          <a:sysClr val="window" lastClr="FFFFFF">
                            <a:lumMod val="50000"/>
                          </a:sysClr>
                        </a:solidFill>
                        <a:latin typeface="Times New Roman" panose="02020603050405020304" pitchFamily="18" charset="0"/>
                        <a:cs typeface="Times New Roman" panose="02020603050405020304" pitchFamily="18" charset="0"/>
                      </a:rPr>
                      <a:t>
</a:t>
                    </a:r>
                    <a:fld id="{E0E5FC88-6F08-4977-B21F-CB52152940C2}" type="PERCENTAGE">
                      <a:rPr lang="en-US" sz="900" b="1" i="0" u="none" strike="noStrike" kern="1200" baseline="0">
                        <a:solidFill>
                          <a:sysClr val="window" lastClr="FFFFFF">
                            <a:lumMod val="50000"/>
                          </a:sysClr>
                        </a:solidFill>
                        <a:latin typeface="Times New Roman" panose="02020603050405020304" pitchFamily="18" charset="0"/>
                        <a:cs typeface="Times New Roman" panose="02020603050405020304" pitchFamily="18" charset="0"/>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t>[PERCENTAGE]</a:t>
                    </a:fld>
                    <a:endParaRPr lang="en-US" sz="900" b="1" i="0" u="none" strike="noStrike" kern="1200" baseline="0">
                      <a:solidFill>
                        <a:sysClr val="window" lastClr="FFFFFF">
                          <a:lumMod val="50000"/>
                        </a:sysClr>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solidFill>
                        <a:latin typeface="Times New Roman" panose="02020603050405020304" pitchFamily="18" charset="0"/>
                        <a:cs typeface="Times New Roman" panose="02020603050405020304" pitchFamily="18" charset="0"/>
                      </a:defRPr>
                    </a:pPr>
                    <a:endParaRPr lang="en-AU"/>
                  </a:p>
                </c:rich>
              </c:tx>
              <c:numFmt formatCode="0.00%" sourceLinked="0"/>
              <c:spPr>
                <a:noFill/>
                <a:ln>
                  <a:noFill/>
                </a:ln>
                <a:effectLst/>
              </c:spPr>
              <c:txPr>
                <a:bodyPr rot="0" spcFirstLastPara="1" vertOverflow="ellipsis" vert="horz" wrap="square" lIns="38100" tIns="19050" rIns="38100" bIns="19050" anchor="ctr" anchorCtr="0">
                  <a:no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37908629875261"/>
                      <c:h val="0.12568591060008713"/>
                    </c:manualLayout>
                  </c15:layout>
                  <c15:dlblFieldTable/>
                  <c15:showDataLabelsRange val="0"/>
                </c:ext>
                <c:ext xmlns:c16="http://schemas.microsoft.com/office/drawing/2014/chart" uri="{C3380CC4-5D6E-409C-BE32-E72D297353CC}">
                  <c16:uniqueId val="{00000009-5EDC-48F0-A8EA-D401E0B3050A}"/>
                </c:ext>
              </c:extLst>
            </c:dLbl>
            <c:dLbl>
              <c:idx val="5"/>
              <c:layout>
                <c:manualLayout>
                  <c:x val="7.8855975988605428E-2"/>
                  <c:y val="4.3455342140809802E-2"/>
                </c:manualLayout>
              </c:layout>
              <c:tx>
                <c:rich>
                  <a:bodyPr/>
                  <a:lstStyle/>
                  <a:p>
                    <a:fld id="{8EE4ECDC-D7C4-4CD9-8B28-2101EC7CF500}" type="CATEGORYNAME">
                      <a:rPr lang="en-US" sz="900" b="1" i="0" u="none" strike="noStrike" kern="1200" baseline="0">
                        <a:solidFill>
                          <a:srgbClr val="A5A5A5">
                            <a:lumMod val="60000"/>
                            <a:lumOff val="40000"/>
                          </a:srgbClr>
                        </a:solidFill>
                        <a:latin typeface="Times New Roman" panose="02020603050405020304" pitchFamily="18" charset="0"/>
                        <a:cs typeface="Times New Roman" panose="02020603050405020304" pitchFamily="18" charset="0"/>
                      </a:rPr>
                      <a:pPr/>
                      <a:t>[CATEGORY NAME]</a:t>
                    </a:fld>
                    <a:r>
                      <a:rPr lang="en-US" sz="900" b="1" i="0" u="none" strike="noStrike" kern="1200" baseline="0">
                        <a:solidFill>
                          <a:srgbClr val="A5A5A5">
                            <a:lumMod val="60000"/>
                            <a:lumOff val="40000"/>
                          </a:srgbClr>
                        </a:solidFill>
                        <a:latin typeface="Times New Roman" panose="02020603050405020304" pitchFamily="18" charset="0"/>
                        <a:cs typeface="Times New Roman" panose="02020603050405020304" pitchFamily="18" charset="0"/>
                      </a:rPr>
                      <a:t> 
9.30%</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EDC-48F0-A8EA-D401E0B3050A}"/>
                </c:ext>
              </c:extLst>
            </c:dLbl>
            <c:dLbl>
              <c:idx val="6"/>
              <c:layout>
                <c:manualLayout>
                  <c:x val="2.3021926661420531E-2"/>
                  <c:y val="9.7337623592030076E-2"/>
                </c:manualLayout>
              </c:layout>
              <c:tx>
                <c:rich>
                  <a:bodyPr/>
                  <a:lstStyle/>
                  <a:p>
                    <a:fld id="{1763125F-9526-4FF1-ABF7-8889345283A4}" type="CATEGORYNAME">
                      <a:rPr lang="en-US" sz="900" b="1" i="0" u="none" strike="noStrike" kern="1200" baseline="0">
                        <a:solidFill>
                          <a:srgbClr val="ED7D31">
                            <a:lumMod val="60000"/>
                            <a:lumOff val="40000"/>
                          </a:srgbClr>
                        </a:solidFill>
                        <a:latin typeface="Times New Roman" panose="02020603050405020304" pitchFamily="18" charset="0"/>
                        <a:cs typeface="Times New Roman" panose="02020603050405020304" pitchFamily="18" charset="0"/>
                      </a:rPr>
                      <a:pPr/>
                      <a:t>[CATEGORY NAME]</a:t>
                    </a:fld>
                    <a:r>
                      <a:rPr lang="en-US" sz="900" b="1" i="0" u="none" strike="noStrike" kern="1200" baseline="0">
                        <a:solidFill>
                          <a:srgbClr val="ED7D31">
                            <a:lumMod val="60000"/>
                            <a:lumOff val="40000"/>
                          </a:srgbClr>
                        </a:solidFill>
                        <a:latin typeface="Times New Roman" panose="02020603050405020304" pitchFamily="18" charset="0"/>
                        <a:cs typeface="Times New Roman" panose="02020603050405020304" pitchFamily="18" charset="0"/>
                      </a:rPr>
                      <a:t>
3.64 %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EDC-48F0-A8EA-D401E0B3050A}"/>
                </c:ext>
              </c:extLst>
            </c:dLbl>
            <c:dLbl>
              <c:idx val="7"/>
              <c:layout>
                <c:manualLayout>
                  <c:x val="-8.1347306028641611E-3"/>
                  <c:y val="2.3575923302474221E-2"/>
                </c:manualLayout>
              </c:layout>
              <c:tx>
                <c:rich>
                  <a:bodyPr/>
                  <a:lstStyle/>
                  <a:p>
                    <a:fld id="{6B3E3051-5BB1-4609-AD7C-F14F5AFDB721}" type="CATEGORYNAME">
                      <a:rPr lang="en-US" sz="900" b="1" i="0" u="none" strike="noStrike" kern="1200" baseline="0">
                        <a:solidFill>
                          <a:srgbClr val="70AD47">
                            <a:lumMod val="60000"/>
                            <a:lumOff val="40000"/>
                          </a:srgbClr>
                        </a:solidFill>
                        <a:latin typeface="Times New Roman" panose="02020603050405020304" pitchFamily="18" charset="0"/>
                        <a:cs typeface="Times New Roman" panose="02020603050405020304" pitchFamily="18" charset="0"/>
                      </a:rPr>
                      <a:pPr/>
                      <a:t>[CATEGORY NAME]</a:t>
                    </a:fld>
                    <a:r>
                      <a:rPr lang="en-US" sz="900" b="1" i="0" u="none" strike="noStrike" kern="1200" baseline="0">
                        <a:solidFill>
                          <a:srgbClr val="70AD47">
                            <a:lumMod val="60000"/>
                            <a:lumOff val="40000"/>
                          </a:srgbClr>
                        </a:solidFill>
                        <a:latin typeface="Times New Roman" panose="02020603050405020304" pitchFamily="18" charset="0"/>
                        <a:cs typeface="Times New Roman" panose="02020603050405020304" pitchFamily="18" charset="0"/>
                      </a:rPr>
                      <a:t>
5.73%</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5EDC-48F0-A8EA-D401E0B3050A}"/>
                </c:ext>
              </c:extLst>
            </c:dLbl>
            <c:dLbl>
              <c:idx val="8"/>
              <c:layout>
                <c:manualLayout>
                  <c:x val="0"/>
                  <c:y val="-4.429179616146308E-2"/>
                </c:manualLayout>
              </c:layout>
              <c:tx>
                <c:rich>
                  <a:bodyPr/>
                  <a:lstStyle/>
                  <a:p>
                    <a:fld id="{F4B17713-2B8E-4AE1-9001-CCCE70088F90}" type="CATEGORYNAME">
                      <a:rPr lang="en-US" sz="900" b="1" i="0" u="none" strike="noStrike" kern="1200" baseline="0">
                        <a:solidFill>
                          <a:srgbClr val="5B9BD5">
                            <a:lumMod val="60000"/>
                            <a:lumOff val="40000"/>
                          </a:srgbClr>
                        </a:solidFill>
                        <a:latin typeface="Times New Roman" panose="02020603050405020304" pitchFamily="18" charset="0"/>
                        <a:cs typeface="Times New Roman" panose="02020603050405020304" pitchFamily="18" charset="0"/>
                      </a:rPr>
                      <a:pPr/>
                      <a:t>[CATEGORY NAME]</a:t>
                    </a:fld>
                    <a:r>
                      <a:rPr lang="en-US" sz="900" b="1" i="0" u="none" strike="noStrike" kern="1200" baseline="0">
                        <a:solidFill>
                          <a:srgbClr val="5B9BD5">
                            <a:lumMod val="60000"/>
                            <a:lumOff val="40000"/>
                          </a:srgbClr>
                        </a:solidFill>
                        <a:latin typeface="Times New Roman" panose="02020603050405020304" pitchFamily="18" charset="0"/>
                        <a:cs typeface="Times New Roman" panose="02020603050405020304" pitchFamily="18" charset="0"/>
                      </a:rPr>
                      <a:t>
81.33%</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5EDC-48F0-A8EA-D401E0B3050A}"/>
                </c:ext>
              </c:extLst>
            </c:dLbl>
            <c:dLbl>
              <c:idx val="9"/>
              <c:layout>
                <c:manualLayout>
                  <c:x val="-7.0723216764605862E-4"/>
                  <c:y val="-4.8389139642063574E-2"/>
                </c:manualLayout>
              </c:layout>
              <c:tx>
                <c:rich>
                  <a:bodyPr rot="0" spcFirstLastPara="1" vertOverflow="ellipsis" horzOverflow="clip"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chemeClr val="accent1">
                            <a:lumMod val="50000"/>
                          </a:schemeClr>
                        </a:solidFill>
                        <a:latin typeface="Times New Roman" panose="02020603050405020304" pitchFamily="18" charset="0"/>
                        <a:cs typeface="Times New Roman" panose="02020603050405020304" pitchFamily="18" charset="0"/>
                      </a:rPr>
                      <a:t>AAE Portfolio</a:t>
                    </a:r>
                  </a:p>
                  <a:p>
                    <a:pPr>
                      <a:defRPr b="1">
                        <a:solidFill>
                          <a:schemeClr val="tx1"/>
                        </a:solidFill>
                        <a:latin typeface="Times New Roman" panose="02020603050405020304" pitchFamily="18" charset="0"/>
                        <a:cs typeface="Times New Roman" panose="02020603050405020304" pitchFamily="18" charset="0"/>
                      </a:defRPr>
                    </a:pPr>
                    <a:r>
                      <a:rPr lang="en-US" sz="900" b="1" i="0" u="none" strike="noStrike" kern="1200" baseline="0">
                        <a:solidFill>
                          <a:srgbClr val="4472C4">
                            <a:lumMod val="50000"/>
                          </a:srgbClr>
                        </a:solidFill>
                        <a:latin typeface="Times New Roman" panose="02020603050405020304" pitchFamily="18" charset="0"/>
                        <a:cs typeface="Times New Roman" panose="02020603050405020304" pitchFamily="18" charset="0"/>
                      </a:rPr>
                      <a:t>48.79%</a:t>
                    </a:r>
                  </a:p>
                </c:rich>
              </c:tx>
              <c:numFmt formatCode="0.000%" sourceLinked="0"/>
              <c:spPr>
                <a:noFill/>
                <a:ln w="9525">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3-5EDC-48F0-A8EA-D401E0B3050A}"/>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'Portfolio Weights'!$A$27:$A$35</c:f>
              <c:strCache>
                <c:ptCount val="9"/>
                <c:pt idx="0">
                  <c:v>Australian Equities</c:v>
                </c:pt>
                <c:pt idx="1">
                  <c:v>International Equities, Unhedged</c:v>
                </c:pt>
                <c:pt idx="2">
                  <c:v>International Equities, Hedged</c:v>
                </c:pt>
                <c:pt idx="3">
                  <c:v>Australian Fixed Income</c:v>
                </c:pt>
                <c:pt idx="4">
                  <c:v>Cash and Accruals</c:v>
                </c:pt>
                <c:pt idx="5">
                  <c:v>Telstra</c:v>
                </c:pt>
                <c:pt idx="6">
                  <c:v>Rio Tinto</c:v>
                </c:pt>
                <c:pt idx="7">
                  <c:v>Bingo Industries</c:v>
                </c:pt>
                <c:pt idx="8">
                  <c:v>iShares Core S&amp;P/ASX 200 ETF</c:v>
                </c:pt>
              </c:strCache>
            </c:strRef>
          </c:cat>
          <c:val>
            <c:numRef>
              <c:f>'Portfolio Weights'!$C$27:$C$35</c:f>
              <c:numCache>
                <c:formatCode>_(* #,##0.00_);_(* \(#,##0.00\);_(* "-"??_);_(@_)</c:formatCode>
                <c:ptCount val="9"/>
                <c:pt idx="0">
                  <c:v>65568.776666666658</c:v>
                </c:pt>
                <c:pt idx="1">
                  <c:v>68949</c:v>
                </c:pt>
                <c:pt idx="2">
                  <c:v>66290.44</c:v>
                </c:pt>
                <c:pt idx="3">
                  <c:v>96883.74</c:v>
                </c:pt>
                <c:pt idx="4">
                  <c:v>35852.46</c:v>
                </c:pt>
                <c:pt idx="5">
                  <c:v>29547.72</c:v>
                </c:pt>
                <c:pt idx="6">
                  <c:v>11568.72</c:v>
                </c:pt>
                <c:pt idx="7">
                  <c:v>18210.740000000002</c:v>
                </c:pt>
                <c:pt idx="8">
                  <c:v>258434.61333333337</c:v>
                </c:pt>
              </c:numCache>
            </c:numRef>
          </c:val>
          <c:extLst>
            <c:ext xmlns:c16="http://schemas.microsoft.com/office/drawing/2014/chart" uri="{C3380CC4-5D6E-409C-BE32-E72D297353CC}">
              <c16:uniqueId val="{00000014-5EDC-48F0-A8EA-D401E0B3050A}"/>
            </c:ext>
          </c:extLst>
        </c:ser>
        <c:dLbls>
          <c:dLblPos val="bestFit"/>
          <c:showLegendKey val="0"/>
          <c:showVal val="0"/>
          <c:showCatName val="0"/>
          <c:showSerName val="0"/>
          <c:showPercent val="1"/>
          <c:showBubbleSize val="0"/>
          <c:showLeaderLines val="1"/>
        </c:dLbls>
        <c:gapWidth val="100"/>
        <c:splitType val="pos"/>
        <c:splitPos val="4"/>
        <c:secondPieSize val="75"/>
        <c:serLines>
          <c:spPr>
            <a:ln w="9525" cap="flat" cmpd="sng" algn="ctr">
              <a:solidFill>
                <a:schemeClr val="dk1">
                  <a:lumMod val="35000"/>
                  <a:lumOff val="65000"/>
                </a:schemeClr>
              </a:solidFill>
              <a:round/>
            </a:ln>
            <a:effectLst/>
          </c:spPr>
        </c:serLines>
      </c:of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e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N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E1D543FB9164198D765219CBDAB4C" ma:contentTypeVersion="6" ma:contentTypeDescription="Create a new document." ma:contentTypeScope="" ma:versionID="06ed09b2344cd01cb3e077192dd0d7c3">
  <xsd:schema xmlns:xsd="http://www.w3.org/2001/XMLSchema" xmlns:xs="http://www.w3.org/2001/XMLSchema" xmlns:p="http://schemas.microsoft.com/office/2006/metadata/properties" xmlns:ns2="45a56532-63ca-4d20-ab2d-f09fd61190d2" xmlns:ns3="759089d7-f8e0-4699-b9aa-0338cd91c886" targetNamespace="http://schemas.microsoft.com/office/2006/metadata/properties" ma:root="true" ma:fieldsID="a4dfff58ebf18447afe8f2512704f4b9" ns2:_="" ns3:_="">
    <xsd:import namespace="45a56532-63ca-4d20-ab2d-f09fd61190d2"/>
    <xsd:import namespace="759089d7-f8e0-4699-b9aa-0338cd91c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56532-63ca-4d20-ab2d-f09fd6119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089d7-f8e0-4699-b9aa-0338cd91c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9089d7-f8e0-4699-b9aa-0338cd91c886">
      <UserInfo>
        <DisplayName>Geoff Warren</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0C5A8-FCBE-4801-AE00-F352AE34CBA6}">
  <ds:schemaRefs>
    <ds:schemaRef ds:uri="http://schemas.microsoft.com/sharepoint/v3/contenttype/forms"/>
  </ds:schemaRefs>
</ds:datastoreItem>
</file>

<file path=customXml/itemProps2.xml><?xml version="1.0" encoding="utf-8"?>
<ds:datastoreItem xmlns:ds="http://schemas.openxmlformats.org/officeDocument/2006/customXml" ds:itemID="{E2C7B3B4-28B9-4892-8D0C-3526FB8F3BEC}"/>
</file>

<file path=customXml/itemProps3.xml><?xml version="1.0" encoding="utf-8"?>
<ds:datastoreItem xmlns:ds="http://schemas.openxmlformats.org/officeDocument/2006/customXml" ds:itemID="{87A9ED81-BD57-47DF-9CF5-061E3F6DE8D3}">
  <ds:schemaRefs>
    <ds:schemaRef ds:uri="http://schemas.microsoft.com/office/2006/metadata/properties"/>
    <ds:schemaRef ds:uri="http://schemas.microsoft.com/office/infopath/2007/PartnerControls"/>
    <ds:schemaRef ds:uri="759089d7-f8e0-4699-b9aa-0338cd91c886"/>
  </ds:schemaRefs>
</ds:datastoreItem>
</file>

<file path=customXml/itemProps4.xml><?xml version="1.0" encoding="utf-8"?>
<ds:datastoreItem xmlns:ds="http://schemas.openxmlformats.org/officeDocument/2006/customXml" ds:itemID="{BAD325DB-E24F-48A2-B837-59CC9B0C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3803</Words>
  <Characters>21679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Report</vt:lpstr>
    </vt:vector>
  </TitlesOfParts>
  <Company>The Australian National University</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Microsoft Office User</dc:creator>
  <cp:keywords/>
  <dc:description/>
  <cp:lastModifiedBy>Geoff Warren</cp:lastModifiedBy>
  <cp:revision>2</cp:revision>
  <cp:lastPrinted>2019-04-16T05:47:00Z</cp:lastPrinted>
  <dcterms:created xsi:type="dcterms:W3CDTF">2019-04-16T05:52:00Z</dcterms:created>
  <dcterms:modified xsi:type="dcterms:W3CDTF">2019-04-16T05:52:00Z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0x01010041EE1D543FB9164198D765219CBDAB4C</vt:lpwstr>
  </property>
</Properties>
</file>