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1.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2.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56D56B" w14:textId="77777777" w:rsidR="00277953" w:rsidRPr="006771EF" w:rsidRDefault="00277953" w:rsidP="006771EF">
      <w:pPr>
        <w:pStyle w:val="Title"/>
        <w:rPr>
          <w:rFonts w:cs="Times New Roman"/>
          <w:sz w:val="20"/>
          <w:szCs w:val="20"/>
        </w:rPr>
      </w:pPr>
    </w:p>
    <w:p w14:paraId="2C464609" w14:textId="77777777" w:rsidR="00380F71" w:rsidRDefault="00380F71" w:rsidP="006771EF">
      <w:pPr>
        <w:pStyle w:val="Title"/>
        <w:rPr>
          <w:rFonts w:cs="Times New Roman"/>
          <w:sz w:val="40"/>
          <w:szCs w:val="40"/>
        </w:rPr>
      </w:pPr>
    </w:p>
    <w:p w14:paraId="1EF98AC8" w14:textId="77777777" w:rsidR="00DD448F" w:rsidRPr="006771EF" w:rsidRDefault="00841936" w:rsidP="006771EF">
      <w:pPr>
        <w:pStyle w:val="Title"/>
        <w:rPr>
          <w:rFonts w:cs="Times New Roman"/>
          <w:sz w:val="40"/>
          <w:szCs w:val="40"/>
        </w:rPr>
      </w:pPr>
      <w:r>
        <w:rPr>
          <w:rFonts w:cs="Times New Roman"/>
          <w:sz w:val="40"/>
          <w:szCs w:val="40"/>
        </w:rPr>
        <w:t xml:space="preserve">Mid-Semester </w:t>
      </w:r>
      <w:r w:rsidR="004C7DE7" w:rsidRPr="006771EF">
        <w:rPr>
          <w:rFonts w:cs="Times New Roman"/>
          <w:sz w:val="40"/>
          <w:szCs w:val="40"/>
        </w:rPr>
        <w:t>Report</w:t>
      </w:r>
      <w:r>
        <w:rPr>
          <w:rFonts w:cs="Times New Roman"/>
          <w:sz w:val="40"/>
          <w:szCs w:val="40"/>
        </w:rPr>
        <w:t xml:space="preserve">, </w:t>
      </w:r>
      <w:r w:rsidR="00380F71">
        <w:rPr>
          <w:rFonts w:cs="Times New Roman"/>
          <w:sz w:val="40"/>
          <w:szCs w:val="40"/>
        </w:rPr>
        <w:t xml:space="preserve">Semester </w:t>
      </w:r>
      <w:r>
        <w:rPr>
          <w:rFonts w:cs="Times New Roman"/>
          <w:sz w:val="40"/>
          <w:szCs w:val="40"/>
        </w:rPr>
        <w:t>2</w:t>
      </w:r>
      <w:r w:rsidR="00380F71">
        <w:rPr>
          <w:rFonts w:cs="Times New Roman"/>
          <w:sz w:val="40"/>
          <w:szCs w:val="40"/>
        </w:rPr>
        <w:t>, 2018</w:t>
      </w:r>
    </w:p>
    <w:p w14:paraId="664DE761" w14:textId="77777777" w:rsidR="00A703D8" w:rsidRPr="006771EF" w:rsidRDefault="00A703D8" w:rsidP="006771EF">
      <w:pPr>
        <w:rPr>
          <w:sz w:val="40"/>
          <w:szCs w:val="40"/>
        </w:rPr>
      </w:pPr>
    </w:p>
    <w:p w14:paraId="55B27471" w14:textId="77777777" w:rsidR="00DD448F" w:rsidRPr="006771EF" w:rsidRDefault="00DD448F" w:rsidP="006771EF">
      <w:pPr>
        <w:pStyle w:val="Subtitle"/>
        <w:rPr>
          <w:rFonts w:cs="Times New Roman"/>
          <w:sz w:val="40"/>
          <w:szCs w:val="40"/>
        </w:rPr>
      </w:pPr>
      <w:r w:rsidRPr="006771EF">
        <w:rPr>
          <w:rFonts w:cs="Times New Roman"/>
          <w:sz w:val="40"/>
          <w:szCs w:val="40"/>
        </w:rPr>
        <w:t>ANU Student Managed Fund</w:t>
      </w:r>
    </w:p>
    <w:p w14:paraId="3A29E4B9" w14:textId="77777777" w:rsidR="00DD448F" w:rsidRPr="006771EF" w:rsidRDefault="00DD448F" w:rsidP="006771EF">
      <w:pPr>
        <w:rPr>
          <w:sz w:val="20"/>
          <w:szCs w:val="20"/>
        </w:rPr>
      </w:pPr>
    </w:p>
    <w:p w14:paraId="74386698" w14:textId="77777777" w:rsidR="00DD448F" w:rsidRPr="006771EF" w:rsidRDefault="00DD448F" w:rsidP="00380F71">
      <w:pPr>
        <w:spacing w:before="480"/>
        <w:jc w:val="center"/>
        <w:rPr>
          <w:sz w:val="22"/>
          <w:szCs w:val="22"/>
        </w:rPr>
      </w:pPr>
    </w:p>
    <w:p w14:paraId="32C4C9CF" w14:textId="76F750EB" w:rsidR="00DD448F" w:rsidRPr="006771EF" w:rsidRDefault="00DD448F" w:rsidP="006771EF">
      <w:pPr>
        <w:jc w:val="center"/>
        <w:rPr>
          <w:sz w:val="22"/>
          <w:szCs w:val="22"/>
        </w:rPr>
      </w:pPr>
    </w:p>
    <w:p w14:paraId="427ED5F4" w14:textId="08E83884" w:rsidR="00DD448F" w:rsidRPr="006771EF" w:rsidRDefault="00EE6377" w:rsidP="4A516FEF">
      <w:pPr>
        <w:jc w:val="center"/>
        <w:rPr>
          <w:sz w:val="22"/>
          <w:szCs w:val="22"/>
        </w:rPr>
      </w:pPr>
      <w:r>
        <w:rPr>
          <w:noProof/>
        </w:rPr>
        <w:drawing>
          <wp:anchor distT="0" distB="0" distL="114300" distR="114300" simplePos="0" relativeHeight="251693056" behindDoc="1" locked="0" layoutInCell="1" allowOverlap="1" wp14:anchorId="599526B9" wp14:editId="3A0DBDB0">
            <wp:simplePos x="0" y="0"/>
            <wp:positionH relativeFrom="page">
              <wp:align>left</wp:align>
            </wp:positionH>
            <wp:positionV relativeFrom="paragraph">
              <wp:posOffset>272143</wp:posOffset>
            </wp:positionV>
            <wp:extent cx="7555230" cy="3752850"/>
            <wp:effectExtent l="0" t="0" r="7620" b="0"/>
            <wp:wrapTight wrapText="bothSides">
              <wp:wrapPolygon edited="0">
                <wp:start x="0" y="0"/>
                <wp:lineTo x="0" y="21490"/>
                <wp:lineTo x="21567" y="21490"/>
                <wp:lineTo x="21567" y="0"/>
                <wp:lineTo x="0" y="0"/>
              </wp:wrapPolygon>
            </wp:wrapTight>
            <wp:docPr id="827695018" name="picture" descr="Screen Shot 2017-09-01 at 3.37.44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1">
                      <a:extLst>
                        <a:ext uri="{28A0092B-C50C-407E-A947-70E740481C1C}">
                          <a14:useLocalDpi xmlns:a14="http://schemas.microsoft.com/office/drawing/2010/main" val="0"/>
                        </a:ext>
                      </a:extLst>
                    </a:blip>
                    <a:stretch>
                      <a:fillRect/>
                    </a:stretch>
                  </pic:blipFill>
                  <pic:spPr bwMode="auto">
                    <a:xfrm>
                      <a:off x="0" y="0"/>
                      <a:ext cx="7555230" cy="3752850"/>
                    </a:xfrm>
                    <a:prstGeom prst="rect">
                      <a:avLst/>
                    </a:prstGeom>
                    <a:noFill/>
                  </pic:spPr>
                </pic:pic>
              </a:graphicData>
            </a:graphic>
            <wp14:sizeRelH relativeFrom="page">
              <wp14:pctWidth>0</wp14:pctWidth>
            </wp14:sizeRelH>
            <wp14:sizeRelV relativeFrom="page">
              <wp14:pctHeight>0</wp14:pctHeight>
            </wp14:sizeRelV>
          </wp:anchor>
        </w:drawing>
      </w:r>
      <w:r w:rsidR="004C7DE7" w:rsidRPr="00E60C88">
        <w:rPr>
          <w:sz w:val="22"/>
          <w:szCs w:val="22"/>
        </w:rPr>
        <w:t xml:space="preserve">Creation Date: </w:t>
      </w:r>
      <w:r w:rsidR="00F32E9E">
        <w:rPr>
          <w:sz w:val="22"/>
          <w:szCs w:val="22"/>
        </w:rPr>
        <w:t>4/</w:t>
      </w:r>
      <w:r w:rsidR="000B4115">
        <w:rPr>
          <w:sz w:val="22"/>
          <w:szCs w:val="22"/>
        </w:rPr>
        <w:t xml:space="preserve">09/2018 </w:t>
      </w:r>
      <w:r w:rsidR="00C661E0" w:rsidRPr="00E60C88">
        <w:rPr>
          <w:sz w:val="22"/>
          <w:szCs w:val="22"/>
        </w:rPr>
        <w:t xml:space="preserve">| </w:t>
      </w:r>
      <w:r w:rsidR="00DD448F" w:rsidRPr="00E60C88">
        <w:rPr>
          <w:sz w:val="22"/>
          <w:szCs w:val="22"/>
        </w:rPr>
        <w:t xml:space="preserve">Version Date: </w:t>
      </w:r>
      <w:r w:rsidR="000B4115">
        <w:rPr>
          <w:sz w:val="22"/>
          <w:szCs w:val="22"/>
        </w:rPr>
        <w:t>26/09/2018 (Final)</w:t>
      </w:r>
    </w:p>
    <w:sdt>
      <w:sdtPr>
        <w:rPr>
          <w:rFonts w:eastAsiaTheme="minorHAnsi"/>
          <w:b w:val="0"/>
          <w:color w:val="auto"/>
          <w:spacing w:val="0"/>
          <w:sz w:val="22"/>
          <w:szCs w:val="22"/>
        </w:rPr>
        <w:id w:val="-1095473894"/>
        <w:docPartObj>
          <w:docPartGallery w:val="Table of Contents"/>
          <w:docPartUnique/>
        </w:docPartObj>
      </w:sdtPr>
      <w:sdtEndPr>
        <w:rPr>
          <w:rFonts w:eastAsia="SimSun"/>
          <w:bCs/>
          <w:noProof/>
          <w:sz w:val="20"/>
          <w:szCs w:val="20"/>
        </w:rPr>
      </w:sdtEndPr>
      <w:sdtContent>
        <w:p w14:paraId="16E2BD9F" w14:textId="77777777" w:rsidR="001C7CD7" w:rsidRPr="006771EF" w:rsidRDefault="001C7CD7" w:rsidP="006771EF">
          <w:pPr>
            <w:pStyle w:val="TOCHeading"/>
            <w:rPr>
              <w:rFonts w:eastAsiaTheme="minorHAnsi"/>
              <w:b w:val="0"/>
              <w:color w:val="auto"/>
              <w:spacing w:val="0"/>
              <w:sz w:val="20"/>
              <w:szCs w:val="20"/>
            </w:rPr>
          </w:pPr>
        </w:p>
        <w:p w14:paraId="13913749" w14:textId="77777777" w:rsidR="001C7CD7" w:rsidRPr="006771EF" w:rsidRDefault="001C7CD7" w:rsidP="006771EF">
          <w:pPr>
            <w:widowControl/>
            <w:jc w:val="left"/>
            <w:rPr>
              <w:sz w:val="20"/>
              <w:szCs w:val="20"/>
            </w:rPr>
          </w:pPr>
          <w:r w:rsidRPr="006771EF">
            <w:rPr>
              <w:b/>
              <w:sz w:val="20"/>
              <w:szCs w:val="20"/>
            </w:rPr>
            <w:br w:type="page"/>
          </w:r>
        </w:p>
        <w:p w14:paraId="450299AD" w14:textId="77777777" w:rsidR="001040F0" w:rsidRDefault="001040F0" w:rsidP="00BF3830">
          <w:pPr>
            <w:pStyle w:val="TOCHeading"/>
            <w:spacing w:after="240"/>
            <w:ind w:right="62"/>
            <w:rPr>
              <w:sz w:val="24"/>
              <w:szCs w:val="24"/>
            </w:rPr>
          </w:pPr>
        </w:p>
        <w:p w14:paraId="0FCE577E" w14:textId="77777777" w:rsidR="007D766D" w:rsidRPr="008B24A4" w:rsidRDefault="00973FCE" w:rsidP="00BF3830">
          <w:pPr>
            <w:pStyle w:val="TOCHeading"/>
            <w:spacing w:after="240"/>
            <w:ind w:right="62"/>
            <w:rPr>
              <w:sz w:val="20"/>
              <w:szCs w:val="20"/>
            </w:rPr>
          </w:pPr>
          <w:r w:rsidRPr="00BF3830">
            <w:rPr>
              <w:sz w:val="24"/>
              <w:szCs w:val="24"/>
            </w:rPr>
            <w:t>Contents</w:t>
          </w:r>
        </w:p>
        <w:p w14:paraId="79FF47D9" w14:textId="77777777" w:rsidR="00B76CC0" w:rsidRDefault="007933C9" w:rsidP="00E62D21">
          <w:pPr>
            <w:pStyle w:val="TOC1"/>
            <w:rPr>
              <w:rFonts w:asciiTheme="minorHAnsi" w:eastAsiaTheme="minorEastAsia" w:hAnsiTheme="minorHAnsi" w:cstheme="minorBidi"/>
              <w:sz w:val="22"/>
              <w:szCs w:val="22"/>
              <w:lang w:eastAsia="en-AU"/>
            </w:rPr>
          </w:pPr>
          <w:r w:rsidRPr="00F93672">
            <w:rPr>
              <w:noProof w:val="0"/>
              <w:sz w:val="20"/>
              <w:szCs w:val="20"/>
            </w:rPr>
            <w:fldChar w:fldCharType="begin"/>
          </w:r>
          <w:r w:rsidR="00973FCE" w:rsidRPr="009D2BB3">
            <w:rPr>
              <w:sz w:val="20"/>
              <w:szCs w:val="20"/>
            </w:rPr>
            <w:instrText xml:space="preserve"> TOC \o "1-3" \h \z \u </w:instrText>
          </w:r>
          <w:r w:rsidRPr="00F93672">
            <w:rPr>
              <w:noProof w:val="0"/>
              <w:sz w:val="20"/>
              <w:szCs w:val="20"/>
            </w:rPr>
            <w:fldChar w:fldCharType="separate"/>
          </w:r>
          <w:hyperlink w:anchor="_Toc524277813" w:history="1">
            <w:r w:rsidR="00B76CC0" w:rsidRPr="006433B1">
              <w:rPr>
                <w:rStyle w:val="Hyperlink"/>
              </w:rPr>
              <w:t>Glossary</w:t>
            </w:r>
            <w:r w:rsidR="00B76CC0">
              <w:rPr>
                <w:webHidden/>
              </w:rPr>
              <w:tab/>
            </w:r>
            <w:r>
              <w:rPr>
                <w:webHidden/>
              </w:rPr>
              <w:fldChar w:fldCharType="begin"/>
            </w:r>
            <w:r w:rsidR="00B76CC0">
              <w:rPr>
                <w:webHidden/>
              </w:rPr>
              <w:instrText xml:space="preserve"> PAGEREF _Toc524277813 \h </w:instrText>
            </w:r>
            <w:r>
              <w:rPr>
                <w:webHidden/>
              </w:rPr>
            </w:r>
            <w:r>
              <w:rPr>
                <w:webHidden/>
              </w:rPr>
              <w:fldChar w:fldCharType="separate"/>
            </w:r>
            <w:r w:rsidR="00B76CC0">
              <w:rPr>
                <w:webHidden/>
              </w:rPr>
              <w:t>2</w:t>
            </w:r>
            <w:r>
              <w:rPr>
                <w:webHidden/>
              </w:rPr>
              <w:fldChar w:fldCharType="end"/>
            </w:r>
          </w:hyperlink>
        </w:p>
        <w:p w14:paraId="5174502F" w14:textId="77777777" w:rsidR="00B76CC0" w:rsidRDefault="002F1534" w:rsidP="00E62D21">
          <w:pPr>
            <w:pStyle w:val="TOC1"/>
            <w:rPr>
              <w:rFonts w:asciiTheme="minorHAnsi" w:eastAsiaTheme="minorEastAsia" w:hAnsiTheme="minorHAnsi" w:cstheme="minorBidi"/>
              <w:sz w:val="22"/>
              <w:szCs w:val="22"/>
              <w:lang w:eastAsia="en-AU"/>
            </w:rPr>
          </w:pPr>
          <w:hyperlink w:anchor="_Toc524277814" w:history="1">
            <w:r w:rsidR="00B76CC0" w:rsidRPr="006433B1">
              <w:rPr>
                <w:rStyle w:val="Hyperlink"/>
              </w:rPr>
              <w:t>About this Report</w:t>
            </w:r>
            <w:r w:rsidR="00B76CC0">
              <w:rPr>
                <w:webHidden/>
              </w:rPr>
              <w:tab/>
            </w:r>
            <w:r w:rsidR="007933C9">
              <w:rPr>
                <w:webHidden/>
              </w:rPr>
              <w:fldChar w:fldCharType="begin"/>
            </w:r>
            <w:r w:rsidR="00B76CC0">
              <w:rPr>
                <w:webHidden/>
              </w:rPr>
              <w:instrText xml:space="preserve"> PAGEREF _Toc524277814 \h </w:instrText>
            </w:r>
            <w:r w:rsidR="007933C9">
              <w:rPr>
                <w:webHidden/>
              </w:rPr>
            </w:r>
            <w:r w:rsidR="007933C9">
              <w:rPr>
                <w:webHidden/>
              </w:rPr>
              <w:fldChar w:fldCharType="separate"/>
            </w:r>
            <w:r w:rsidR="00B76CC0">
              <w:rPr>
                <w:webHidden/>
              </w:rPr>
              <w:t>3</w:t>
            </w:r>
            <w:r w:rsidR="007933C9">
              <w:rPr>
                <w:webHidden/>
              </w:rPr>
              <w:fldChar w:fldCharType="end"/>
            </w:r>
          </w:hyperlink>
        </w:p>
        <w:p w14:paraId="7634FAC1" w14:textId="77777777" w:rsidR="00B76CC0" w:rsidRDefault="002F1534" w:rsidP="00E62D21">
          <w:pPr>
            <w:pStyle w:val="TOC1"/>
            <w:rPr>
              <w:rFonts w:asciiTheme="minorHAnsi" w:eastAsiaTheme="minorEastAsia" w:hAnsiTheme="minorHAnsi" w:cstheme="minorBidi"/>
              <w:sz w:val="22"/>
              <w:szCs w:val="22"/>
              <w:lang w:eastAsia="en-AU"/>
            </w:rPr>
          </w:pPr>
          <w:hyperlink w:anchor="_Toc524277815" w:history="1">
            <w:r w:rsidR="00B76CC0" w:rsidRPr="006433B1">
              <w:rPr>
                <w:rStyle w:val="Hyperlink"/>
              </w:rPr>
              <w:t>Chief Investment Officer Report</w:t>
            </w:r>
            <w:r w:rsidR="00B76CC0">
              <w:rPr>
                <w:webHidden/>
              </w:rPr>
              <w:tab/>
            </w:r>
            <w:r w:rsidR="007933C9">
              <w:rPr>
                <w:webHidden/>
              </w:rPr>
              <w:fldChar w:fldCharType="begin"/>
            </w:r>
            <w:r w:rsidR="00B76CC0">
              <w:rPr>
                <w:webHidden/>
              </w:rPr>
              <w:instrText xml:space="preserve"> PAGEREF _Toc524277815 \h </w:instrText>
            </w:r>
            <w:r w:rsidR="007933C9">
              <w:rPr>
                <w:webHidden/>
              </w:rPr>
            </w:r>
            <w:r w:rsidR="007933C9">
              <w:rPr>
                <w:webHidden/>
              </w:rPr>
              <w:fldChar w:fldCharType="separate"/>
            </w:r>
            <w:r w:rsidR="00B76CC0">
              <w:rPr>
                <w:webHidden/>
              </w:rPr>
              <w:t>3</w:t>
            </w:r>
            <w:r w:rsidR="007933C9">
              <w:rPr>
                <w:webHidden/>
              </w:rPr>
              <w:fldChar w:fldCharType="end"/>
            </w:r>
          </w:hyperlink>
        </w:p>
        <w:p w14:paraId="6984BC97" w14:textId="77777777" w:rsidR="00B76CC0" w:rsidRDefault="002F1534" w:rsidP="00E62D21">
          <w:pPr>
            <w:pStyle w:val="TOC1"/>
            <w:rPr>
              <w:rFonts w:asciiTheme="minorHAnsi" w:eastAsiaTheme="minorEastAsia" w:hAnsiTheme="minorHAnsi" w:cstheme="minorBidi"/>
              <w:sz w:val="22"/>
              <w:szCs w:val="22"/>
              <w:lang w:eastAsia="en-AU"/>
            </w:rPr>
          </w:pPr>
          <w:hyperlink w:anchor="_Toc524277816" w:history="1">
            <w:r w:rsidR="00B76CC0" w:rsidRPr="006433B1">
              <w:rPr>
                <w:rStyle w:val="Hyperlink"/>
              </w:rPr>
              <w:t>Team Update</w:t>
            </w:r>
            <w:r w:rsidR="00B76CC0">
              <w:rPr>
                <w:webHidden/>
              </w:rPr>
              <w:tab/>
            </w:r>
            <w:r w:rsidR="007933C9">
              <w:rPr>
                <w:webHidden/>
              </w:rPr>
              <w:fldChar w:fldCharType="begin"/>
            </w:r>
            <w:r w:rsidR="00B76CC0">
              <w:rPr>
                <w:webHidden/>
              </w:rPr>
              <w:instrText xml:space="preserve"> PAGEREF _Toc524277816 \h </w:instrText>
            </w:r>
            <w:r w:rsidR="007933C9">
              <w:rPr>
                <w:webHidden/>
              </w:rPr>
            </w:r>
            <w:r w:rsidR="007933C9">
              <w:rPr>
                <w:webHidden/>
              </w:rPr>
              <w:fldChar w:fldCharType="separate"/>
            </w:r>
            <w:r w:rsidR="00B76CC0">
              <w:rPr>
                <w:webHidden/>
              </w:rPr>
              <w:t>4</w:t>
            </w:r>
            <w:r w:rsidR="007933C9">
              <w:rPr>
                <w:webHidden/>
              </w:rPr>
              <w:fldChar w:fldCharType="end"/>
            </w:r>
          </w:hyperlink>
        </w:p>
        <w:p w14:paraId="2443DE13" w14:textId="77777777" w:rsidR="00B76CC0" w:rsidRPr="00E62D21" w:rsidRDefault="00E62D21" w:rsidP="00E62D21">
          <w:pPr>
            <w:pStyle w:val="TOC1"/>
            <w:rPr>
              <w:rFonts w:asciiTheme="minorHAnsi" w:eastAsiaTheme="minorEastAsia" w:hAnsiTheme="minorHAnsi" w:cstheme="minorBidi"/>
              <w:sz w:val="22"/>
              <w:szCs w:val="22"/>
              <w:lang w:eastAsia="en-AU"/>
            </w:rPr>
          </w:pPr>
          <w:r w:rsidRPr="00E62D21">
            <w:rPr>
              <w:rStyle w:val="Hyperlink"/>
              <w:color w:val="auto"/>
              <w:u w:val="none"/>
            </w:rPr>
            <w:t>Active Stock Positions</w:t>
          </w:r>
          <w:r w:rsidR="00302A9A">
            <w:rPr>
              <w:rStyle w:val="Hyperlink"/>
              <w:color w:val="auto"/>
              <w:u w:val="none"/>
            </w:rPr>
            <w:tab/>
            <w:t>6</w:t>
          </w:r>
        </w:p>
        <w:p w14:paraId="5AAB43FC" w14:textId="77777777" w:rsidR="00B76CC0" w:rsidRDefault="002F1534">
          <w:pPr>
            <w:pStyle w:val="TOC2"/>
            <w:tabs>
              <w:tab w:val="right" w:pos="9592"/>
            </w:tabs>
            <w:rPr>
              <w:rFonts w:asciiTheme="minorHAnsi" w:eastAsiaTheme="minorEastAsia" w:hAnsiTheme="minorHAnsi" w:cstheme="minorBidi"/>
              <w:noProof/>
              <w:sz w:val="22"/>
              <w:szCs w:val="22"/>
              <w:lang w:eastAsia="en-AU"/>
            </w:rPr>
          </w:pPr>
          <w:hyperlink w:anchor="_Toc524277822" w:history="1">
            <w:r w:rsidR="00B76CC0" w:rsidRPr="006433B1">
              <w:rPr>
                <w:rStyle w:val="Hyperlink"/>
                <w:noProof/>
                <w:lang w:eastAsia="zh-CN"/>
              </w:rPr>
              <w:t>Telstra</w:t>
            </w:r>
            <w:r w:rsidR="00B76CC0">
              <w:rPr>
                <w:noProof/>
                <w:webHidden/>
              </w:rPr>
              <w:tab/>
            </w:r>
          </w:hyperlink>
        </w:p>
        <w:p w14:paraId="775C0684" w14:textId="77777777" w:rsidR="00B76CC0" w:rsidRDefault="002F1534">
          <w:pPr>
            <w:pStyle w:val="TOC2"/>
            <w:tabs>
              <w:tab w:val="right" w:pos="9592"/>
            </w:tabs>
            <w:rPr>
              <w:rFonts w:asciiTheme="minorHAnsi" w:eastAsiaTheme="minorEastAsia" w:hAnsiTheme="minorHAnsi" w:cstheme="minorBidi"/>
              <w:noProof/>
              <w:sz w:val="22"/>
              <w:szCs w:val="22"/>
              <w:lang w:eastAsia="en-AU"/>
            </w:rPr>
          </w:pPr>
          <w:hyperlink w:anchor="_Toc524277823" w:history="1">
            <w:r w:rsidR="00B76CC0" w:rsidRPr="006433B1">
              <w:rPr>
                <w:rStyle w:val="Hyperlink"/>
                <w:noProof/>
                <w:lang w:eastAsia="zh-CN"/>
              </w:rPr>
              <w:t>Rio Tinto</w:t>
            </w:r>
            <w:r w:rsidR="00B76CC0">
              <w:rPr>
                <w:noProof/>
                <w:webHidden/>
              </w:rPr>
              <w:tab/>
            </w:r>
          </w:hyperlink>
        </w:p>
        <w:p w14:paraId="2072EC58" w14:textId="77777777" w:rsidR="00B76CC0" w:rsidRDefault="002F1534" w:rsidP="00E62D21">
          <w:pPr>
            <w:pStyle w:val="TOC1"/>
            <w:rPr>
              <w:rFonts w:asciiTheme="minorHAnsi" w:eastAsiaTheme="minorEastAsia" w:hAnsiTheme="minorHAnsi" w:cstheme="minorBidi"/>
              <w:sz w:val="22"/>
              <w:szCs w:val="22"/>
              <w:lang w:eastAsia="en-AU"/>
            </w:rPr>
          </w:pPr>
          <w:hyperlink w:anchor="_Toc524277824" w:history="1">
            <w:r w:rsidR="00B76CC0" w:rsidRPr="006433B1">
              <w:rPr>
                <w:rStyle w:val="Hyperlink"/>
              </w:rPr>
              <w:t>Portfolio Overview</w:t>
            </w:r>
            <w:r w:rsidR="00B76CC0">
              <w:rPr>
                <w:webHidden/>
              </w:rPr>
              <w:tab/>
            </w:r>
            <w:r w:rsidR="007933C9">
              <w:rPr>
                <w:webHidden/>
              </w:rPr>
              <w:fldChar w:fldCharType="begin"/>
            </w:r>
            <w:r w:rsidR="00B76CC0">
              <w:rPr>
                <w:webHidden/>
              </w:rPr>
              <w:instrText xml:space="preserve"> PAGEREF _Toc524277824 \h </w:instrText>
            </w:r>
            <w:r w:rsidR="007933C9">
              <w:rPr>
                <w:webHidden/>
              </w:rPr>
            </w:r>
            <w:r w:rsidR="007933C9">
              <w:rPr>
                <w:webHidden/>
              </w:rPr>
              <w:fldChar w:fldCharType="separate"/>
            </w:r>
            <w:r w:rsidR="00B76CC0">
              <w:rPr>
                <w:webHidden/>
              </w:rPr>
              <w:t>7</w:t>
            </w:r>
            <w:r w:rsidR="007933C9">
              <w:rPr>
                <w:webHidden/>
              </w:rPr>
              <w:fldChar w:fldCharType="end"/>
            </w:r>
          </w:hyperlink>
        </w:p>
        <w:p w14:paraId="73E19F24" w14:textId="77777777" w:rsidR="00B76CC0" w:rsidRDefault="002F1534" w:rsidP="00E62D21">
          <w:pPr>
            <w:pStyle w:val="TOC1"/>
            <w:rPr>
              <w:rFonts w:asciiTheme="minorHAnsi" w:eastAsiaTheme="minorEastAsia" w:hAnsiTheme="minorHAnsi" w:cstheme="minorBidi"/>
              <w:sz w:val="22"/>
              <w:szCs w:val="22"/>
              <w:lang w:eastAsia="en-AU"/>
            </w:rPr>
          </w:pPr>
          <w:hyperlink w:anchor="_Toc524277825" w:history="1">
            <w:r w:rsidR="00B76CC0" w:rsidRPr="006433B1">
              <w:rPr>
                <w:rStyle w:val="Hyperlink"/>
              </w:rPr>
              <w:t>Socially Responsible Investment (SRI) Report</w:t>
            </w:r>
            <w:r w:rsidR="00B76CC0">
              <w:rPr>
                <w:webHidden/>
              </w:rPr>
              <w:tab/>
            </w:r>
            <w:r w:rsidR="007933C9">
              <w:rPr>
                <w:webHidden/>
              </w:rPr>
              <w:fldChar w:fldCharType="begin"/>
            </w:r>
            <w:r w:rsidR="00B76CC0">
              <w:rPr>
                <w:webHidden/>
              </w:rPr>
              <w:instrText xml:space="preserve"> PAGEREF _Toc524277825 \h </w:instrText>
            </w:r>
            <w:r w:rsidR="007933C9">
              <w:rPr>
                <w:webHidden/>
              </w:rPr>
            </w:r>
            <w:r w:rsidR="007933C9">
              <w:rPr>
                <w:webHidden/>
              </w:rPr>
              <w:fldChar w:fldCharType="separate"/>
            </w:r>
            <w:r w:rsidR="00B76CC0">
              <w:rPr>
                <w:webHidden/>
              </w:rPr>
              <w:t>10</w:t>
            </w:r>
            <w:r w:rsidR="007933C9">
              <w:rPr>
                <w:webHidden/>
              </w:rPr>
              <w:fldChar w:fldCharType="end"/>
            </w:r>
          </w:hyperlink>
        </w:p>
        <w:p w14:paraId="31A32A9B" w14:textId="77777777" w:rsidR="001040F0" w:rsidRPr="006771EF" w:rsidRDefault="007933C9" w:rsidP="001040F0">
          <w:pPr>
            <w:pStyle w:val="TOC3"/>
            <w:tabs>
              <w:tab w:val="right" w:leader="dot" w:pos="9628"/>
            </w:tabs>
            <w:ind w:left="0" w:right="62"/>
            <w:rPr>
              <w:sz w:val="20"/>
              <w:szCs w:val="20"/>
            </w:rPr>
          </w:pPr>
          <w:r w:rsidRPr="00F93672">
            <w:rPr>
              <w:b/>
              <w:bCs/>
              <w:noProof/>
              <w:sz w:val="20"/>
              <w:szCs w:val="20"/>
            </w:rPr>
            <w:fldChar w:fldCharType="end"/>
          </w:r>
        </w:p>
      </w:sdtContent>
    </w:sdt>
    <w:p w14:paraId="5BA63FF8" w14:textId="77777777" w:rsidR="00A4056E" w:rsidRDefault="00A4056E" w:rsidP="00BF3830">
      <w:pPr>
        <w:pStyle w:val="Heading1"/>
        <w:spacing w:before="360"/>
        <w:rPr>
          <w:sz w:val="24"/>
          <w:szCs w:val="24"/>
          <w:lang w:eastAsia="zh-CN"/>
        </w:rPr>
      </w:pPr>
      <w:bookmarkStart w:id="0" w:name="_Toc524277813"/>
      <w:bookmarkStart w:id="1" w:name="_Toc385405354"/>
    </w:p>
    <w:p w14:paraId="13F0E7C3" w14:textId="77777777" w:rsidR="009E2493" w:rsidRPr="00BF3830" w:rsidRDefault="00BF3830" w:rsidP="00BF3830">
      <w:pPr>
        <w:pStyle w:val="Heading1"/>
        <w:spacing w:before="360"/>
        <w:rPr>
          <w:sz w:val="24"/>
          <w:szCs w:val="24"/>
          <w:lang w:eastAsia="zh-CN"/>
        </w:rPr>
      </w:pPr>
      <w:r>
        <w:rPr>
          <w:sz w:val="24"/>
          <w:szCs w:val="24"/>
          <w:lang w:eastAsia="zh-CN"/>
        </w:rPr>
        <w:t>Glossary</w:t>
      </w:r>
      <w:bookmarkEnd w:id="0"/>
      <w:r w:rsidR="009E2493" w:rsidRPr="006771EF">
        <w:t xml:space="preserve"> </w:t>
      </w:r>
    </w:p>
    <w:p w14:paraId="1BF7CF13" w14:textId="77777777" w:rsidR="009E2493" w:rsidRPr="00CF4C62" w:rsidRDefault="009E2493" w:rsidP="00BF3830">
      <w:pPr>
        <w:spacing w:before="60" w:after="0"/>
        <w:rPr>
          <w:sz w:val="20"/>
          <w:szCs w:val="20"/>
        </w:rPr>
      </w:pPr>
      <w:r w:rsidRPr="00CF4C62">
        <w:rPr>
          <w:b/>
          <w:sz w:val="20"/>
          <w:szCs w:val="20"/>
        </w:rPr>
        <w:t xml:space="preserve">AA </w:t>
      </w:r>
      <w:r w:rsidRPr="00CF4C62">
        <w:rPr>
          <w:sz w:val="20"/>
          <w:szCs w:val="20"/>
        </w:rPr>
        <w:t xml:space="preserve">– </w:t>
      </w:r>
      <w:r w:rsidR="001C7CD7" w:rsidRPr="00CF4C62">
        <w:rPr>
          <w:sz w:val="20"/>
          <w:szCs w:val="20"/>
        </w:rPr>
        <w:t>Asset Allocation</w:t>
      </w:r>
    </w:p>
    <w:p w14:paraId="0CCFDE54" w14:textId="77777777" w:rsidR="001C7CD7" w:rsidRPr="00CF4C62" w:rsidRDefault="009E2493" w:rsidP="00BF3830">
      <w:pPr>
        <w:spacing w:before="60" w:after="0"/>
        <w:rPr>
          <w:sz w:val="20"/>
          <w:szCs w:val="20"/>
        </w:rPr>
      </w:pPr>
      <w:proofErr w:type="spellStart"/>
      <w:r w:rsidRPr="00CF4C62">
        <w:rPr>
          <w:b/>
          <w:sz w:val="20"/>
          <w:szCs w:val="20"/>
        </w:rPr>
        <w:t>AAE</w:t>
      </w:r>
      <w:proofErr w:type="spellEnd"/>
      <w:r w:rsidRPr="00CF4C62">
        <w:rPr>
          <w:b/>
          <w:sz w:val="20"/>
          <w:szCs w:val="20"/>
        </w:rPr>
        <w:t xml:space="preserve"> </w:t>
      </w:r>
      <w:r w:rsidRPr="00CF4C62">
        <w:rPr>
          <w:sz w:val="20"/>
          <w:szCs w:val="20"/>
        </w:rPr>
        <w:t>–</w:t>
      </w:r>
      <w:r w:rsidR="001C7CD7" w:rsidRPr="00CF4C62">
        <w:rPr>
          <w:sz w:val="20"/>
          <w:szCs w:val="20"/>
        </w:rPr>
        <w:t xml:space="preserve"> Active Australian Equities</w:t>
      </w:r>
    </w:p>
    <w:p w14:paraId="1D90E880" w14:textId="77777777" w:rsidR="009E2493" w:rsidRPr="00CF4C62" w:rsidRDefault="009E2493" w:rsidP="00BF3830">
      <w:pPr>
        <w:spacing w:before="60" w:after="0"/>
        <w:rPr>
          <w:sz w:val="20"/>
          <w:szCs w:val="20"/>
        </w:rPr>
      </w:pPr>
      <w:r w:rsidRPr="00CF4C62">
        <w:rPr>
          <w:b/>
          <w:sz w:val="20"/>
          <w:szCs w:val="20"/>
        </w:rPr>
        <w:t xml:space="preserve">ANU </w:t>
      </w:r>
      <w:r w:rsidRPr="00CF4C62">
        <w:rPr>
          <w:sz w:val="20"/>
          <w:szCs w:val="20"/>
        </w:rPr>
        <w:t>– The Australian National University</w:t>
      </w:r>
    </w:p>
    <w:p w14:paraId="5B3441E0" w14:textId="77777777" w:rsidR="000464A2" w:rsidRPr="00CF4C62" w:rsidRDefault="000464A2" w:rsidP="00BF3830">
      <w:pPr>
        <w:spacing w:before="60" w:after="0"/>
        <w:rPr>
          <w:sz w:val="20"/>
          <w:szCs w:val="20"/>
        </w:rPr>
      </w:pPr>
      <w:r w:rsidRPr="00CF4C62">
        <w:rPr>
          <w:b/>
          <w:sz w:val="20"/>
          <w:szCs w:val="20"/>
        </w:rPr>
        <w:t xml:space="preserve">CIO – </w:t>
      </w:r>
      <w:r w:rsidRPr="00CF4C62">
        <w:rPr>
          <w:sz w:val="20"/>
          <w:szCs w:val="20"/>
        </w:rPr>
        <w:t>Chief Investment Officer</w:t>
      </w:r>
    </w:p>
    <w:p w14:paraId="7ED0243C" w14:textId="77777777" w:rsidR="005462FB" w:rsidRPr="00CF4C62" w:rsidRDefault="005462FB" w:rsidP="00BF3830">
      <w:pPr>
        <w:spacing w:before="60" w:after="0"/>
        <w:rPr>
          <w:sz w:val="20"/>
          <w:szCs w:val="20"/>
        </w:rPr>
      </w:pPr>
      <w:proofErr w:type="spellStart"/>
      <w:r w:rsidRPr="00CF4C62">
        <w:rPr>
          <w:b/>
          <w:sz w:val="20"/>
          <w:szCs w:val="20"/>
        </w:rPr>
        <w:t>ESG</w:t>
      </w:r>
      <w:proofErr w:type="spellEnd"/>
      <w:r w:rsidRPr="00CF4C62">
        <w:rPr>
          <w:sz w:val="20"/>
          <w:szCs w:val="20"/>
        </w:rPr>
        <w:t xml:space="preserve"> – Environmental, Social and Governance</w:t>
      </w:r>
    </w:p>
    <w:p w14:paraId="120B074A" w14:textId="77777777" w:rsidR="00B76460" w:rsidRPr="00CF4C62" w:rsidRDefault="00B76460" w:rsidP="00BF3830">
      <w:pPr>
        <w:spacing w:before="60" w:after="0"/>
        <w:rPr>
          <w:sz w:val="20"/>
          <w:szCs w:val="20"/>
        </w:rPr>
      </w:pPr>
      <w:r w:rsidRPr="00CF4C62">
        <w:rPr>
          <w:b/>
          <w:sz w:val="20"/>
          <w:szCs w:val="20"/>
        </w:rPr>
        <w:t>ETF</w:t>
      </w:r>
      <w:r w:rsidRPr="00CF4C62">
        <w:rPr>
          <w:sz w:val="20"/>
          <w:szCs w:val="20"/>
        </w:rPr>
        <w:t xml:space="preserve"> – Exchanged-</w:t>
      </w:r>
      <w:r w:rsidR="004448A0" w:rsidRPr="00CF4C62">
        <w:rPr>
          <w:sz w:val="20"/>
          <w:szCs w:val="20"/>
        </w:rPr>
        <w:t>T</w:t>
      </w:r>
      <w:r w:rsidRPr="00CF4C62">
        <w:rPr>
          <w:sz w:val="20"/>
          <w:szCs w:val="20"/>
        </w:rPr>
        <w:t>raded Fund</w:t>
      </w:r>
    </w:p>
    <w:p w14:paraId="4C234E2A" w14:textId="77777777" w:rsidR="00B76460" w:rsidRPr="00CF4C62" w:rsidRDefault="00B76460" w:rsidP="00BF3830">
      <w:pPr>
        <w:spacing w:before="60" w:after="0"/>
        <w:rPr>
          <w:sz w:val="20"/>
          <w:szCs w:val="20"/>
        </w:rPr>
      </w:pPr>
      <w:r w:rsidRPr="00CF4C62">
        <w:rPr>
          <w:b/>
          <w:sz w:val="20"/>
          <w:szCs w:val="20"/>
        </w:rPr>
        <w:t xml:space="preserve">IAC </w:t>
      </w:r>
      <w:r w:rsidRPr="00CF4C62">
        <w:rPr>
          <w:sz w:val="20"/>
          <w:szCs w:val="20"/>
        </w:rPr>
        <w:t>– Investment Advisory Committee</w:t>
      </w:r>
    </w:p>
    <w:p w14:paraId="017A8883" w14:textId="77777777" w:rsidR="00D323AC" w:rsidRPr="00CF4C62" w:rsidRDefault="00D323AC" w:rsidP="00BF3830">
      <w:pPr>
        <w:spacing w:before="60" w:after="0"/>
        <w:rPr>
          <w:sz w:val="20"/>
          <w:szCs w:val="20"/>
        </w:rPr>
      </w:pPr>
      <w:r w:rsidRPr="00CF4C62">
        <w:rPr>
          <w:b/>
          <w:sz w:val="20"/>
          <w:szCs w:val="20"/>
        </w:rPr>
        <w:t xml:space="preserve">IP </w:t>
      </w:r>
      <w:r w:rsidRPr="00CF4C62">
        <w:rPr>
          <w:sz w:val="20"/>
          <w:szCs w:val="20"/>
        </w:rPr>
        <w:t>– Investment Process</w:t>
      </w:r>
    </w:p>
    <w:p w14:paraId="54D3C89B" w14:textId="77777777" w:rsidR="00B76460" w:rsidRPr="00CF4C62" w:rsidRDefault="00B76460" w:rsidP="00BF3830">
      <w:pPr>
        <w:spacing w:before="60" w:after="0"/>
        <w:rPr>
          <w:b/>
          <w:sz w:val="20"/>
          <w:szCs w:val="20"/>
        </w:rPr>
      </w:pPr>
      <w:proofErr w:type="spellStart"/>
      <w:r w:rsidRPr="00CF4C62">
        <w:rPr>
          <w:b/>
          <w:sz w:val="20"/>
          <w:szCs w:val="20"/>
        </w:rPr>
        <w:t>LTIP</w:t>
      </w:r>
      <w:proofErr w:type="spellEnd"/>
      <w:r w:rsidRPr="00CF4C62">
        <w:rPr>
          <w:sz w:val="20"/>
          <w:szCs w:val="20"/>
        </w:rPr>
        <w:t xml:space="preserve"> – Long Term Investment Pool</w:t>
      </w:r>
    </w:p>
    <w:p w14:paraId="5BC3B2EE" w14:textId="77777777" w:rsidR="009E2493" w:rsidRPr="00CF4C62" w:rsidRDefault="009E2493" w:rsidP="00BF3830">
      <w:pPr>
        <w:spacing w:before="60" w:after="0"/>
        <w:rPr>
          <w:sz w:val="20"/>
          <w:szCs w:val="20"/>
        </w:rPr>
      </w:pPr>
      <w:r w:rsidRPr="00CF4C62">
        <w:rPr>
          <w:b/>
          <w:sz w:val="20"/>
          <w:szCs w:val="20"/>
        </w:rPr>
        <w:t xml:space="preserve">SMF – </w:t>
      </w:r>
      <w:r w:rsidRPr="00CF4C62">
        <w:rPr>
          <w:sz w:val="20"/>
          <w:szCs w:val="20"/>
        </w:rPr>
        <w:t>Student Managed Fund</w:t>
      </w:r>
    </w:p>
    <w:p w14:paraId="7DB44AD8" w14:textId="77777777" w:rsidR="00B76460" w:rsidRPr="00CF4C62" w:rsidRDefault="009E2493" w:rsidP="00BF3830">
      <w:pPr>
        <w:spacing w:before="60" w:after="0"/>
        <w:rPr>
          <w:sz w:val="20"/>
          <w:szCs w:val="20"/>
        </w:rPr>
      </w:pPr>
      <w:r w:rsidRPr="00CF4C62">
        <w:rPr>
          <w:b/>
          <w:sz w:val="20"/>
          <w:szCs w:val="20"/>
        </w:rPr>
        <w:t xml:space="preserve">SRI – </w:t>
      </w:r>
      <w:r w:rsidRPr="00CF4C62">
        <w:rPr>
          <w:sz w:val="20"/>
          <w:szCs w:val="20"/>
        </w:rPr>
        <w:t>Sociall</w:t>
      </w:r>
      <w:r w:rsidR="001C7CD7" w:rsidRPr="00CF4C62">
        <w:rPr>
          <w:sz w:val="20"/>
          <w:szCs w:val="20"/>
        </w:rPr>
        <w:t>y Responsible Investment</w:t>
      </w:r>
    </w:p>
    <w:p w14:paraId="08A84060" w14:textId="77777777" w:rsidR="005462FB" w:rsidRPr="00CF4C62" w:rsidRDefault="005462FB" w:rsidP="00BF3830">
      <w:pPr>
        <w:spacing w:before="60" w:after="0"/>
        <w:rPr>
          <w:sz w:val="20"/>
          <w:szCs w:val="20"/>
        </w:rPr>
      </w:pPr>
      <w:proofErr w:type="spellStart"/>
      <w:r w:rsidRPr="00CF4C62">
        <w:rPr>
          <w:b/>
          <w:sz w:val="20"/>
          <w:szCs w:val="20"/>
        </w:rPr>
        <w:t>R&amp;C</w:t>
      </w:r>
      <w:proofErr w:type="spellEnd"/>
      <w:r w:rsidRPr="00CF4C62">
        <w:rPr>
          <w:sz w:val="20"/>
          <w:szCs w:val="20"/>
        </w:rPr>
        <w:t xml:space="preserve"> – Risk and Compliance</w:t>
      </w:r>
    </w:p>
    <w:p w14:paraId="39BA58C0" w14:textId="77777777" w:rsidR="00B76460" w:rsidRPr="00CF4C62" w:rsidRDefault="00B76460" w:rsidP="00BF3830">
      <w:pPr>
        <w:spacing w:before="60" w:after="0"/>
        <w:rPr>
          <w:sz w:val="20"/>
          <w:szCs w:val="20"/>
        </w:rPr>
      </w:pPr>
      <w:r w:rsidRPr="00CF4C62">
        <w:rPr>
          <w:b/>
          <w:sz w:val="20"/>
          <w:szCs w:val="20"/>
        </w:rPr>
        <w:t>RIO</w:t>
      </w:r>
      <w:r w:rsidRPr="00CF4C62">
        <w:rPr>
          <w:sz w:val="20"/>
          <w:szCs w:val="20"/>
        </w:rPr>
        <w:t xml:space="preserve"> – Rio Tinto Limited</w:t>
      </w:r>
    </w:p>
    <w:p w14:paraId="3CEB883B" w14:textId="77777777" w:rsidR="00B76460" w:rsidRPr="00CF4C62" w:rsidRDefault="00B76460" w:rsidP="00BF3830">
      <w:pPr>
        <w:spacing w:before="60" w:after="0"/>
        <w:rPr>
          <w:sz w:val="20"/>
          <w:szCs w:val="20"/>
        </w:rPr>
      </w:pPr>
      <w:r w:rsidRPr="00CF4C62">
        <w:rPr>
          <w:b/>
          <w:sz w:val="20"/>
          <w:szCs w:val="20"/>
        </w:rPr>
        <w:t>TLS</w:t>
      </w:r>
      <w:r w:rsidRPr="00CF4C62">
        <w:rPr>
          <w:sz w:val="20"/>
          <w:szCs w:val="20"/>
        </w:rPr>
        <w:t xml:space="preserve"> – Telstra Corporation Limited</w:t>
      </w:r>
    </w:p>
    <w:p w14:paraId="32D6080A" w14:textId="77777777" w:rsidR="00B76460" w:rsidRPr="006771EF" w:rsidRDefault="00B76460" w:rsidP="00BF3830">
      <w:pPr>
        <w:spacing w:before="60" w:after="0"/>
        <w:rPr>
          <w:sz w:val="20"/>
          <w:szCs w:val="20"/>
        </w:rPr>
      </w:pPr>
    </w:p>
    <w:p w14:paraId="57FF41D8" w14:textId="77777777" w:rsidR="00515130" w:rsidRPr="006771EF" w:rsidRDefault="001C7CD7" w:rsidP="006771EF">
      <w:pPr>
        <w:widowControl/>
        <w:jc w:val="left"/>
        <w:rPr>
          <w:rFonts w:eastAsiaTheme="minorEastAsia"/>
          <w:b/>
          <w:color w:val="4472C4" w:themeColor="accent1"/>
          <w:spacing w:val="15"/>
          <w:sz w:val="20"/>
          <w:szCs w:val="20"/>
        </w:rPr>
      </w:pPr>
      <w:bookmarkStart w:id="2" w:name="_Toc494985951"/>
      <w:bookmarkStart w:id="3" w:name="_Toc496710173"/>
      <w:bookmarkStart w:id="4" w:name="_Toc496709698"/>
      <w:bookmarkStart w:id="5" w:name="_Toc496709553"/>
      <w:bookmarkStart w:id="6" w:name="_Toc496709491"/>
      <w:bookmarkStart w:id="7" w:name="_Toc496709051"/>
      <w:bookmarkStart w:id="8" w:name="_Toc496708862"/>
      <w:bookmarkStart w:id="9" w:name="_Toc495302408"/>
      <w:bookmarkStart w:id="10" w:name="_Toc495301915"/>
      <w:r w:rsidRPr="006771EF">
        <w:rPr>
          <w:sz w:val="20"/>
          <w:szCs w:val="20"/>
        </w:rPr>
        <w:br w:type="page"/>
      </w:r>
      <w:bookmarkEnd w:id="2"/>
      <w:bookmarkEnd w:id="3"/>
      <w:bookmarkEnd w:id="4"/>
      <w:bookmarkEnd w:id="5"/>
      <w:bookmarkEnd w:id="6"/>
      <w:bookmarkEnd w:id="7"/>
      <w:bookmarkEnd w:id="8"/>
      <w:bookmarkEnd w:id="9"/>
      <w:bookmarkEnd w:id="10"/>
    </w:p>
    <w:p w14:paraId="768DEFFB" w14:textId="77777777" w:rsidR="00C66578" w:rsidRPr="00136215" w:rsidRDefault="00D00196" w:rsidP="00DB286A">
      <w:pPr>
        <w:pStyle w:val="Heading1"/>
        <w:spacing w:before="360"/>
        <w:rPr>
          <w:sz w:val="24"/>
          <w:szCs w:val="24"/>
          <w:lang w:eastAsia="zh-CN"/>
        </w:rPr>
      </w:pPr>
      <w:bookmarkStart w:id="11" w:name="_Toc524277814"/>
      <w:r w:rsidRPr="00136215">
        <w:rPr>
          <w:sz w:val="24"/>
          <w:szCs w:val="24"/>
          <w:lang w:eastAsia="zh-CN"/>
        </w:rPr>
        <w:lastRenderedPageBreak/>
        <w:t xml:space="preserve">About </w:t>
      </w:r>
      <w:r w:rsidR="00380F71" w:rsidRPr="00136215">
        <w:rPr>
          <w:sz w:val="24"/>
          <w:szCs w:val="24"/>
          <w:lang w:eastAsia="zh-CN"/>
        </w:rPr>
        <w:t>this Report</w:t>
      </w:r>
      <w:bookmarkEnd w:id="11"/>
    </w:p>
    <w:p w14:paraId="3E3C5B55" w14:textId="77777777" w:rsidR="007052B5" w:rsidRDefault="001040F0" w:rsidP="00136215">
      <w:pPr>
        <w:spacing w:before="180" w:after="0"/>
        <w:rPr>
          <w:sz w:val="20"/>
          <w:szCs w:val="20"/>
          <w:lang w:eastAsia="zh-CN"/>
        </w:rPr>
      </w:pPr>
      <w:r>
        <w:rPr>
          <w:sz w:val="20"/>
          <w:szCs w:val="20"/>
          <w:lang w:eastAsia="zh-CN"/>
        </w:rPr>
        <w:t xml:space="preserve">The </w:t>
      </w:r>
      <w:r w:rsidR="00AE2A52">
        <w:rPr>
          <w:sz w:val="20"/>
          <w:szCs w:val="20"/>
          <w:lang w:eastAsia="zh-CN"/>
        </w:rPr>
        <w:t xml:space="preserve">ANU </w:t>
      </w:r>
      <w:r w:rsidR="0075433C">
        <w:rPr>
          <w:sz w:val="20"/>
          <w:szCs w:val="20"/>
          <w:lang w:eastAsia="zh-CN"/>
        </w:rPr>
        <w:t xml:space="preserve">Student Managed Fund is </w:t>
      </w:r>
      <w:r w:rsidR="00CB60F6">
        <w:rPr>
          <w:sz w:val="20"/>
          <w:szCs w:val="20"/>
          <w:lang w:eastAsia="zh-CN"/>
        </w:rPr>
        <w:t xml:space="preserve">proud to </w:t>
      </w:r>
      <w:r w:rsidR="00244253">
        <w:rPr>
          <w:sz w:val="20"/>
          <w:szCs w:val="20"/>
          <w:lang w:eastAsia="zh-CN"/>
        </w:rPr>
        <w:t xml:space="preserve">report </w:t>
      </w:r>
      <w:r w:rsidR="00490FA5">
        <w:rPr>
          <w:sz w:val="20"/>
          <w:szCs w:val="20"/>
          <w:lang w:eastAsia="zh-CN"/>
        </w:rPr>
        <w:t xml:space="preserve">on </w:t>
      </w:r>
      <w:r w:rsidR="00244253">
        <w:rPr>
          <w:sz w:val="20"/>
          <w:szCs w:val="20"/>
          <w:lang w:eastAsia="zh-CN"/>
        </w:rPr>
        <w:t xml:space="preserve">the activities and achievements </w:t>
      </w:r>
      <w:r w:rsidR="007F0CA0">
        <w:rPr>
          <w:sz w:val="20"/>
          <w:szCs w:val="20"/>
          <w:lang w:eastAsia="zh-CN"/>
        </w:rPr>
        <w:t xml:space="preserve">of the SMF over </w:t>
      </w:r>
      <w:r w:rsidR="00612A42">
        <w:rPr>
          <w:sz w:val="20"/>
          <w:szCs w:val="20"/>
          <w:lang w:eastAsia="zh-CN"/>
        </w:rPr>
        <w:t xml:space="preserve">the first half of </w:t>
      </w:r>
      <w:r w:rsidR="00E8386E">
        <w:rPr>
          <w:sz w:val="20"/>
          <w:szCs w:val="20"/>
          <w:lang w:eastAsia="zh-CN"/>
        </w:rPr>
        <w:t>Semester 2,</w:t>
      </w:r>
      <w:r w:rsidR="007052B5">
        <w:rPr>
          <w:sz w:val="20"/>
          <w:szCs w:val="20"/>
          <w:lang w:eastAsia="zh-CN"/>
        </w:rPr>
        <w:t xml:space="preserve"> 2018. </w:t>
      </w:r>
      <w:r w:rsidR="00F7321E">
        <w:rPr>
          <w:sz w:val="20"/>
          <w:szCs w:val="20"/>
          <w:lang w:eastAsia="zh-CN"/>
        </w:rPr>
        <w:t xml:space="preserve">The report </w:t>
      </w:r>
      <w:r w:rsidR="00180907">
        <w:rPr>
          <w:sz w:val="20"/>
          <w:szCs w:val="20"/>
          <w:lang w:eastAsia="zh-CN"/>
        </w:rPr>
        <w:t>includes a</w:t>
      </w:r>
      <w:r w:rsidR="00536F5D">
        <w:rPr>
          <w:sz w:val="20"/>
          <w:szCs w:val="20"/>
          <w:lang w:eastAsia="zh-CN"/>
        </w:rPr>
        <w:t>n</w:t>
      </w:r>
      <w:r w:rsidR="00180907">
        <w:rPr>
          <w:sz w:val="20"/>
          <w:szCs w:val="20"/>
          <w:lang w:eastAsia="zh-CN"/>
        </w:rPr>
        <w:t xml:space="preserve"> update from the CIO,</w:t>
      </w:r>
      <w:r w:rsidR="00536F5D">
        <w:rPr>
          <w:sz w:val="20"/>
          <w:szCs w:val="20"/>
          <w:lang w:eastAsia="zh-CN"/>
        </w:rPr>
        <w:t xml:space="preserve"> </w:t>
      </w:r>
      <w:r w:rsidR="00304243">
        <w:rPr>
          <w:sz w:val="20"/>
          <w:szCs w:val="20"/>
          <w:lang w:eastAsia="zh-CN"/>
        </w:rPr>
        <w:t xml:space="preserve">an introduction of new members </w:t>
      </w:r>
      <w:r w:rsidR="00963862">
        <w:rPr>
          <w:sz w:val="20"/>
          <w:szCs w:val="20"/>
          <w:lang w:eastAsia="zh-CN"/>
        </w:rPr>
        <w:t>in t</w:t>
      </w:r>
      <w:r w:rsidR="00304243">
        <w:rPr>
          <w:sz w:val="20"/>
          <w:szCs w:val="20"/>
          <w:lang w:eastAsia="zh-CN"/>
        </w:rPr>
        <w:t>he SMF</w:t>
      </w:r>
      <w:r w:rsidR="004D3A58">
        <w:rPr>
          <w:sz w:val="20"/>
          <w:szCs w:val="20"/>
          <w:lang w:eastAsia="zh-CN"/>
        </w:rPr>
        <w:t xml:space="preserve"> and </w:t>
      </w:r>
      <w:r w:rsidR="00490FA5">
        <w:rPr>
          <w:sz w:val="20"/>
          <w:szCs w:val="20"/>
          <w:lang w:eastAsia="zh-CN"/>
        </w:rPr>
        <w:t xml:space="preserve">an </w:t>
      </w:r>
      <w:r w:rsidR="004D3A58">
        <w:rPr>
          <w:sz w:val="20"/>
          <w:szCs w:val="20"/>
          <w:lang w:eastAsia="zh-CN"/>
        </w:rPr>
        <w:t xml:space="preserve">analysis from the </w:t>
      </w:r>
      <w:proofErr w:type="spellStart"/>
      <w:r w:rsidR="004D3A58">
        <w:rPr>
          <w:sz w:val="20"/>
          <w:szCs w:val="20"/>
          <w:lang w:eastAsia="zh-CN"/>
        </w:rPr>
        <w:t>AAE</w:t>
      </w:r>
      <w:proofErr w:type="spellEnd"/>
      <w:r w:rsidR="004D3A58">
        <w:rPr>
          <w:sz w:val="20"/>
          <w:szCs w:val="20"/>
          <w:lang w:eastAsia="zh-CN"/>
        </w:rPr>
        <w:t xml:space="preserve"> team regarding the SMF’s </w:t>
      </w:r>
      <w:r w:rsidR="00297D60">
        <w:rPr>
          <w:sz w:val="20"/>
          <w:szCs w:val="20"/>
          <w:lang w:eastAsia="zh-CN"/>
        </w:rPr>
        <w:t xml:space="preserve">investments. </w:t>
      </w:r>
      <w:r w:rsidR="00006E04">
        <w:rPr>
          <w:sz w:val="20"/>
          <w:szCs w:val="20"/>
          <w:lang w:eastAsia="zh-CN"/>
        </w:rPr>
        <w:t>We report on pe</w:t>
      </w:r>
      <w:r w:rsidR="00297D60">
        <w:rPr>
          <w:sz w:val="20"/>
          <w:szCs w:val="20"/>
          <w:lang w:eastAsia="zh-CN"/>
        </w:rPr>
        <w:t>rformance</w:t>
      </w:r>
      <w:r w:rsidR="00006E04">
        <w:rPr>
          <w:sz w:val="20"/>
          <w:szCs w:val="20"/>
          <w:lang w:eastAsia="zh-CN"/>
        </w:rPr>
        <w:t xml:space="preserve">, including an </w:t>
      </w:r>
      <w:r w:rsidR="000F2E88">
        <w:rPr>
          <w:sz w:val="20"/>
          <w:szCs w:val="20"/>
          <w:lang w:eastAsia="zh-CN"/>
        </w:rPr>
        <w:t>attribution analysis</w:t>
      </w:r>
      <w:r w:rsidR="00006E04">
        <w:rPr>
          <w:sz w:val="20"/>
          <w:szCs w:val="20"/>
          <w:lang w:eastAsia="zh-CN"/>
        </w:rPr>
        <w:t xml:space="preserve"> of performance versus </w:t>
      </w:r>
      <w:r w:rsidR="00CF4C62">
        <w:rPr>
          <w:sz w:val="20"/>
          <w:szCs w:val="20"/>
          <w:lang w:eastAsia="zh-CN"/>
        </w:rPr>
        <w:t xml:space="preserve">the </w:t>
      </w:r>
      <w:r w:rsidR="00006E04">
        <w:rPr>
          <w:sz w:val="20"/>
          <w:szCs w:val="20"/>
          <w:lang w:eastAsia="zh-CN"/>
        </w:rPr>
        <w:t>benchmark</w:t>
      </w:r>
      <w:r w:rsidR="00490FA5">
        <w:rPr>
          <w:sz w:val="20"/>
          <w:szCs w:val="20"/>
          <w:lang w:eastAsia="zh-CN"/>
        </w:rPr>
        <w:t xml:space="preserve">, as well as </w:t>
      </w:r>
      <w:r w:rsidR="00CF4C62">
        <w:rPr>
          <w:sz w:val="20"/>
          <w:szCs w:val="20"/>
          <w:lang w:eastAsia="zh-CN"/>
        </w:rPr>
        <w:t xml:space="preserve">provide </w:t>
      </w:r>
      <w:r w:rsidR="000D08D6">
        <w:rPr>
          <w:sz w:val="20"/>
          <w:szCs w:val="20"/>
          <w:lang w:eastAsia="zh-CN"/>
        </w:rPr>
        <w:t xml:space="preserve">a statement of </w:t>
      </w:r>
      <w:r w:rsidR="002A0690">
        <w:rPr>
          <w:sz w:val="20"/>
          <w:szCs w:val="20"/>
          <w:lang w:eastAsia="zh-CN"/>
        </w:rPr>
        <w:t xml:space="preserve">SRI compliance. </w:t>
      </w:r>
      <w:r w:rsidR="00490FA5">
        <w:rPr>
          <w:sz w:val="20"/>
          <w:szCs w:val="20"/>
          <w:lang w:eastAsia="zh-CN"/>
        </w:rPr>
        <w:t xml:space="preserve">The SMF team will </w:t>
      </w:r>
      <w:r w:rsidR="00CF4C62">
        <w:rPr>
          <w:sz w:val="20"/>
          <w:szCs w:val="20"/>
          <w:lang w:eastAsia="zh-CN"/>
        </w:rPr>
        <w:t>produce</w:t>
      </w:r>
      <w:r w:rsidR="00490FA5">
        <w:rPr>
          <w:sz w:val="20"/>
          <w:szCs w:val="20"/>
          <w:lang w:eastAsia="zh-CN"/>
        </w:rPr>
        <w:t xml:space="preserve"> shorter abridged reports at mid-semester, and more comprehensive reports at end-semester</w:t>
      </w:r>
      <w:r w:rsidR="00CF4C62">
        <w:rPr>
          <w:sz w:val="20"/>
          <w:szCs w:val="20"/>
          <w:lang w:eastAsia="zh-CN"/>
        </w:rPr>
        <w:t xml:space="preserve"> that </w:t>
      </w:r>
      <w:r w:rsidR="00932B02">
        <w:rPr>
          <w:sz w:val="20"/>
          <w:szCs w:val="20"/>
          <w:lang w:eastAsia="zh-CN"/>
        </w:rPr>
        <w:t>include</w:t>
      </w:r>
      <w:r w:rsidR="00CF4C62">
        <w:rPr>
          <w:sz w:val="20"/>
          <w:szCs w:val="20"/>
          <w:lang w:eastAsia="zh-CN"/>
        </w:rPr>
        <w:t xml:space="preserve"> </w:t>
      </w:r>
      <w:r w:rsidR="00490FA5">
        <w:rPr>
          <w:sz w:val="20"/>
          <w:szCs w:val="20"/>
          <w:lang w:eastAsia="zh-CN"/>
        </w:rPr>
        <w:t>commentary written by all team leaders.</w:t>
      </w:r>
    </w:p>
    <w:p w14:paraId="2C889C21" w14:textId="77777777" w:rsidR="00241597" w:rsidRDefault="00241597" w:rsidP="00136215">
      <w:pPr>
        <w:spacing w:before="180" w:after="0"/>
        <w:rPr>
          <w:sz w:val="20"/>
          <w:szCs w:val="20"/>
        </w:rPr>
      </w:pPr>
      <w:r>
        <w:rPr>
          <w:sz w:val="20"/>
          <w:szCs w:val="20"/>
          <w:lang w:eastAsia="zh-CN"/>
        </w:rPr>
        <w:t>We would welcome feedback and t</w:t>
      </w:r>
      <w:r w:rsidR="002C3C8B">
        <w:rPr>
          <w:sz w:val="20"/>
          <w:szCs w:val="20"/>
          <w:lang w:eastAsia="zh-CN"/>
        </w:rPr>
        <w:t>he opportunity to address any further enqu</w:t>
      </w:r>
      <w:r w:rsidR="00762F49">
        <w:rPr>
          <w:sz w:val="20"/>
          <w:szCs w:val="20"/>
          <w:lang w:eastAsia="zh-CN"/>
        </w:rPr>
        <w:t>i</w:t>
      </w:r>
      <w:r w:rsidR="002C3C8B">
        <w:rPr>
          <w:sz w:val="20"/>
          <w:szCs w:val="20"/>
          <w:lang w:eastAsia="zh-CN"/>
        </w:rPr>
        <w:t>r</w:t>
      </w:r>
      <w:r w:rsidR="00C22C5C">
        <w:rPr>
          <w:sz w:val="20"/>
          <w:szCs w:val="20"/>
          <w:lang w:eastAsia="zh-CN"/>
        </w:rPr>
        <w:t>i</w:t>
      </w:r>
      <w:r w:rsidR="002C3C8B">
        <w:rPr>
          <w:sz w:val="20"/>
          <w:szCs w:val="20"/>
          <w:lang w:eastAsia="zh-CN"/>
        </w:rPr>
        <w:t>es</w:t>
      </w:r>
      <w:r w:rsidR="00E8386E">
        <w:rPr>
          <w:sz w:val="20"/>
          <w:szCs w:val="20"/>
          <w:lang w:eastAsia="zh-CN"/>
        </w:rPr>
        <w:t>,</w:t>
      </w:r>
      <w:r w:rsidR="001F7E59">
        <w:rPr>
          <w:sz w:val="20"/>
          <w:szCs w:val="20"/>
          <w:lang w:eastAsia="zh-CN"/>
        </w:rPr>
        <w:t xml:space="preserve"> which </w:t>
      </w:r>
      <w:r w:rsidR="002F156B">
        <w:rPr>
          <w:sz w:val="20"/>
          <w:szCs w:val="20"/>
          <w:lang w:eastAsia="zh-CN"/>
        </w:rPr>
        <w:t>can be directed to the SMF email add</w:t>
      </w:r>
      <w:r w:rsidR="0064707E">
        <w:rPr>
          <w:sz w:val="20"/>
          <w:szCs w:val="20"/>
          <w:lang w:eastAsia="zh-CN"/>
        </w:rPr>
        <w:t xml:space="preserve">ress </w:t>
      </w:r>
      <w:r w:rsidR="0064707E" w:rsidRPr="00DB286A">
        <w:rPr>
          <w:sz w:val="20"/>
          <w:szCs w:val="20"/>
          <w:lang w:eastAsia="zh-CN"/>
        </w:rPr>
        <w:t>(</w:t>
      </w:r>
      <w:hyperlink r:id="rId12" w:history="1">
        <w:r w:rsidR="0064707E" w:rsidRPr="006F4BA0">
          <w:rPr>
            <w:rStyle w:val="Hyperlink"/>
            <w:sz w:val="20"/>
            <w:szCs w:val="20"/>
          </w:rPr>
          <w:t>smf.rsfas@anu.edu.au</w:t>
        </w:r>
      </w:hyperlink>
      <w:r w:rsidR="0064707E">
        <w:rPr>
          <w:sz w:val="20"/>
          <w:szCs w:val="20"/>
        </w:rPr>
        <w:t>).</w:t>
      </w:r>
    </w:p>
    <w:p w14:paraId="0FDA6613" w14:textId="77777777" w:rsidR="00136215" w:rsidRDefault="001F7E59" w:rsidP="00136215">
      <w:pPr>
        <w:spacing w:before="180" w:after="0"/>
        <w:rPr>
          <w:i/>
          <w:sz w:val="20"/>
          <w:szCs w:val="20"/>
          <w:lang w:val="en-US"/>
        </w:rPr>
      </w:pPr>
      <w:r>
        <w:rPr>
          <w:i/>
          <w:sz w:val="20"/>
          <w:szCs w:val="20"/>
          <w:lang w:val="en-US"/>
        </w:rPr>
        <w:t>Rory Roche &amp; Saurav Patel</w:t>
      </w:r>
    </w:p>
    <w:p w14:paraId="488A9056" w14:textId="77777777" w:rsidR="00C43657" w:rsidRDefault="00136215" w:rsidP="00136215">
      <w:pPr>
        <w:spacing w:before="0" w:after="0"/>
        <w:rPr>
          <w:sz w:val="20"/>
          <w:szCs w:val="20"/>
          <w:lang w:eastAsia="zh-CN"/>
        </w:rPr>
      </w:pPr>
      <w:r w:rsidRPr="006771EF">
        <w:rPr>
          <w:i/>
          <w:sz w:val="20"/>
          <w:szCs w:val="20"/>
          <w:lang w:val="en-US"/>
        </w:rPr>
        <w:t xml:space="preserve">Relationship </w:t>
      </w:r>
      <w:r w:rsidR="00FD7983">
        <w:rPr>
          <w:i/>
          <w:sz w:val="20"/>
          <w:szCs w:val="20"/>
          <w:lang w:val="en-US"/>
        </w:rPr>
        <w:t>Team</w:t>
      </w:r>
    </w:p>
    <w:p w14:paraId="06D01E3E" w14:textId="77777777" w:rsidR="001C16C0" w:rsidRPr="00136215" w:rsidRDefault="001C16C0" w:rsidP="00136215">
      <w:pPr>
        <w:spacing w:before="0"/>
        <w:rPr>
          <w:i/>
          <w:sz w:val="20"/>
          <w:szCs w:val="20"/>
          <w:lang w:eastAsia="zh-CN"/>
        </w:rPr>
      </w:pPr>
    </w:p>
    <w:p w14:paraId="7924F2AF" w14:textId="77777777" w:rsidR="00C66578" w:rsidRPr="006771EF" w:rsidRDefault="00C66578" w:rsidP="006771EF">
      <w:pPr>
        <w:rPr>
          <w:b/>
          <w:sz w:val="20"/>
          <w:szCs w:val="20"/>
        </w:rPr>
      </w:pPr>
    </w:p>
    <w:p w14:paraId="197F0C54" w14:textId="77777777" w:rsidR="00E82EAA" w:rsidRDefault="00E82EAA" w:rsidP="00DB286A">
      <w:pPr>
        <w:pStyle w:val="Heading1"/>
        <w:spacing w:before="360"/>
        <w:rPr>
          <w:sz w:val="24"/>
          <w:szCs w:val="24"/>
          <w:lang w:eastAsia="zh-CN"/>
        </w:rPr>
      </w:pPr>
      <w:bookmarkStart w:id="12" w:name="_Toc524277815"/>
      <w:r w:rsidRPr="001918CE">
        <w:rPr>
          <w:sz w:val="24"/>
          <w:szCs w:val="24"/>
          <w:lang w:eastAsia="zh-CN"/>
        </w:rPr>
        <w:t>Chief Investment Officer Report</w:t>
      </w:r>
      <w:bookmarkEnd w:id="12"/>
    </w:p>
    <w:p w14:paraId="3A08A398" w14:textId="77777777" w:rsidR="000D6E1E" w:rsidRPr="000D6E1E" w:rsidRDefault="004E1855" w:rsidP="000D6E1E">
      <w:pPr>
        <w:spacing w:before="180" w:after="0"/>
        <w:rPr>
          <w:sz w:val="20"/>
          <w:szCs w:val="20"/>
          <w:lang w:val="en-US"/>
        </w:rPr>
      </w:pPr>
      <w:r>
        <w:rPr>
          <w:sz w:val="20"/>
          <w:szCs w:val="20"/>
          <w:lang w:val="en-US"/>
        </w:rPr>
        <w:t>The SMF team consists</w:t>
      </w:r>
      <w:r w:rsidR="00932B02">
        <w:rPr>
          <w:sz w:val="20"/>
          <w:szCs w:val="20"/>
          <w:lang w:val="en-US"/>
        </w:rPr>
        <w:t xml:space="preserve"> of 18 members in S</w:t>
      </w:r>
      <w:r w:rsidR="000D6E1E" w:rsidRPr="000D6E1E">
        <w:rPr>
          <w:sz w:val="20"/>
          <w:szCs w:val="20"/>
          <w:lang w:val="en-US"/>
        </w:rPr>
        <w:t>emester 2, 2018. Across the whole team, we are tremendously pleased to welcome so many new members</w:t>
      </w:r>
      <w:r w:rsidR="00E84F0E">
        <w:rPr>
          <w:sz w:val="20"/>
          <w:szCs w:val="20"/>
          <w:lang w:val="en-US"/>
        </w:rPr>
        <w:t xml:space="preserve"> </w:t>
      </w:r>
      <w:r w:rsidR="000D6E1E" w:rsidRPr="000D6E1E">
        <w:rPr>
          <w:sz w:val="20"/>
          <w:szCs w:val="20"/>
          <w:lang w:val="en-US"/>
        </w:rPr>
        <w:t>who have already m</w:t>
      </w:r>
      <w:r>
        <w:rPr>
          <w:sz w:val="20"/>
          <w:szCs w:val="20"/>
          <w:lang w:val="en-US"/>
        </w:rPr>
        <w:t>ade great contributions to the F</w:t>
      </w:r>
      <w:r w:rsidR="000D6E1E" w:rsidRPr="000D6E1E">
        <w:rPr>
          <w:sz w:val="20"/>
          <w:szCs w:val="20"/>
          <w:lang w:val="en-US"/>
        </w:rPr>
        <w:t>und.</w:t>
      </w:r>
    </w:p>
    <w:p w14:paraId="7878D715" w14:textId="77777777" w:rsidR="000D6E1E" w:rsidRPr="000D6E1E" w:rsidRDefault="000D6E1E" w:rsidP="000D6E1E">
      <w:pPr>
        <w:spacing w:before="180" w:after="0"/>
        <w:rPr>
          <w:sz w:val="20"/>
          <w:szCs w:val="20"/>
          <w:lang w:val="en-US"/>
        </w:rPr>
      </w:pPr>
      <w:r w:rsidRPr="000D6E1E">
        <w:rPr>
          <w:sz w:val="20"/>
          <w:szCs w:val="20"/>
          <w:lang w:val="en-US"/>
        </w:rPr>
        <w:t xml:space="preserve">As CIO, I </w:t>
      </w:r>
      <w:r w:rsidR="00932B02">
        <w:rPr>
          <w:sz w:val="20"/>
          <w:szCs w:val="20"/>
          <w:lang w:val="en-US"/>
        </w:rPr>
        <w:t>have overseen</w:t>
      </w:r>
      <w:r w:rsidRPr="000D6E1E">
        <w:rPr>
          <w:sz w:val="20"/>
          <w:szCs w:val="20"/>
          <w:lang w:val="en-US"/>
        </w:rPr>
        <w:t xml:space="preserve"> and supported many of these contributions</w:t>
      </w:r>
      <w:r w:rsidR="00006E04">
        <w:rPr>
          <w:sz w:val="20"/>
          <w:szCs w:val="20"/>
          <w:lang w:val="en-US"/>
        </w:rPr>
        <w:t xml:space="preserve">, and </w:t>
      </w:r>
      <w:r w:rsidRPr="000D6E1E">
        <w:rPr>
          <w:sz w:val="20"/>
          <w:szCs w:val="20"/>
          <w:lang w:val="en-US"/>
        </w:rPr>
        <w:t xml:space="preserve">significant progress </w:t>
      </w:r>
      <w:r w:rsidR="00006E04">
        <w:rPr>
          <w:sz w:val="20"/>
          <w:szCs w:val="20"/>
          <w:lang w:val="en-US"/>
        </w:rPr>
        <w:t>has been made during</w:t>
      </w:r>
      <w:r w:rsidRPr="000D6E1E">
        <w:rPr>
          <w:sz w:val="20"/>
          <w:szCs w:val="20"/>
          <w:lang w:val="en-US"/>
        </w:rPr>
        <w:t xml:space="preserve"> the semester. The whole team continued to advanc</w:t>
      </w:r>
      <w:r w:rsidR="00006E04">
        <w:rPr>
          <w:sz w:val="20"/>
          <w:szCs w:val="20"/>
          <w:lang w:val="en-US"/>
        </w:rPr>
        <w:t>e</w:t>
      </w:r>
      <w:r w:rsidRPr="000D6E1E">
        <w:rPr>
          <w:sz w:val="20"/>
          <w:szCs w:val="20"/>
          <w:lang w:val="en-US"/>
        </w:rPr>
        <w:t xml:space="preserve"> our </w:t>
      </w:r>
      <w:r w:rsidR="00006E04">
        <w:rPr>
          <w:sz w:val="20"/>
          <w:szCs w:val="20"/>
          <w:lang w:val="en-US"/>
        </w:rPr>
        <w:t>processes</w:t>
      </w:r>
      <w:r w:rsidRPr="000D6E1E">
        <w:rPr>
          <w:sz w:val="20"/>
          <w:szCs w:val="20"/>
          <w:lang w:val="en-US"/>
        </w:rPr>
        <w:t xml:space="preserve">, such as continuing to develop </w:t>
      </w:r>
      <w:r w:rsidR="00006E04">
        <w:rPr>
          <w:sz w:val="20"/>
          <w:szCs w:val="20"/>
          <w:lang w:val="en-US"/>
        </w:rPr>
        <w:t>the implementation of the</w:t>
      </w:r>
      <w:r w:rsidRPr="000D6E1E">
        <w:rPr>
          <w:sz w:val="20"/>
          <w:szCs w:val="20"/>
          <w:lang w:val="en-US"/>
        </w:rPr>
        <w:t xml:space="preserve"> </w:t>
      </w:r>
      <w:r w:rsidR="00006E04">
        <w:rPr>
          <w:sz w:val="20"/>
          <w:szCs w:val="20"/>
          <w:lang w:val="en-US"/>
        </w:rPr>
        <w:t xml:space="preserve">ANU </w:t>
      </w:r>
      <w:r w:rsidRPr="000D6E1E">
        <w:rPr>
          <w:sz w:val="20"/>
          <w:szCs w:val="20"/>
          <w:lang w:val="en-US"/>
        </w:rPr>
        <w:t xml:space="preserve">SRI </w:t>
      </w:r>
      <w:r w:rsidR="001546B1">
        <w:rPr>
          <w:sz w:val="20"/>
          <w:szCs w:val="20"/>
          <w:lang w:val="en-US"/>
        </w:rPr>
        <w:t>pol</w:t>
      </w:r>
      <w:r w:rsidR="00006E04">
        <w:rPr>
          <w:sz w:val="20"/>
          <w:szCs w:val="20"/>
          <w:lang w:val="en-US"/>
        </w:rPr>
        <w:t>i</w:t>
      </w:r>
      <w:r w:rsidR="001546B1">
        <w:rPr>
          <w:sz w:val="20"/>
          <w:szCs w:val="20"/>
          <w:lang w:val="en-US"/>
        </w:rPr>
        <w:t>c</w:t>
      </w:r>
      <w:r w:rsidR="00006E04">
        <w:rPr>
          <w:sz w:val="20"/>
          <w:szCs w:val="20"/>
          <w:lang w:val="en-US"/>
        </w:rPr>
        <w:t>y</w:t>
      </w:r>
      <w:r w:rsidRPr="000D6E1E">
        <w:rPr>
          <w:sz w:val="20"/>
          <w:szCs w:val="20"/>
          <w:lang w:val="en-US"/>
        </w:rPr>
        <w:t>.</w:t>
      </w:r>
    </w:p>
    <w:p w14:paraId="4EE02ACD" w14:textId="77777777" w:rsidR="000D6E1E" w:rsidRPr="000D6E1E" w:rsidRDefault="001546B1" w:rsidP="000D6E1E">
      <w:pPr>
        <w:spacing w:before="180" w:after="0"/>
        <w:rPr>
          <w:sz w:val="20"/>
          <w:szCs w:val="20"/>
          <w:lang w:val="en-US"/>
        </w:rPr>
      </w:pPr>
      <w:r>
        <w:rPr>
          <w:sz w:val="20"/>
          <w:szCs w:val="20"/>
          <w:lang w:val="en-US"/>
        </w:rPr>
        <w:t>At</w:t>
      </w:r>
      <w:r w:rsidR="000D6E1E" w:rsidRPr="000D6E1E">
        <w:rPr>
          <w:sz w:val="20"/>
          <w:szCs w:val="20"/>
          <w:lang w:val="en-US"/>
        </w:rPr>
        <w:t xml:space="preserve"> the sub-team level, the </w:t>
      </w:r>
      <w:r w:rsidR="00613365">
        <w:rPr>
          <w:sz w:val="20"/>
          <w:szCs w:val="20"/>
          <w:lang w:val="en-US"/>
        </w:rPr>
        <w:t>active Australian equities (</w:t>
      </w:r>
      <w:proofErr w:type="spellStart"/>
      <w:r w:rsidR="000D6E1E" w:rsidRPr="000D6E1E">
        <w:rPr>
          <w:sz w:val="20"/>
          <w:szCs w:val="20"/>
          <w:lang w:val="en-US"/>
        </w:rPr>
        <w:t>AAE</w:t>
      </w:r>
      <w:proofErr w:type="spellEnd"/>
      <w:r w:rsidR="00613365">
        <w:rPr>
          <w:sz w:val="20"/>
          <w:szCs w:val="20"/>
          <w:lang w:val="en-US"/>
        </w:rPr>
        <w:t>)</w:t>
      </w:r>
      <w:r w:rsidR="000D6E1E" w:rsidRPr="000D6E1E">
        <w:rPr>
          <w:sz w:val="20"/>
          <w:szCs w:val="20"/>
          <w:lang w:val="en-US"/>
        </w:rPr>
        <w:t xml:space="preserve"> team finished the</w:t>
      </w:r>
      <w:r>
        <w:rPr>
          <w:sz w:val="20"/>
          <w:szCs w:val="20"/>
          <w:lang w:val="en-US"/>
        </w:rPr>
        <w:t>ir</w:t>
      </w:r>
      <w:r w:rsidR="000D6E1E" w:rsidRPr="000D6E1E">
        <w:rPr>
          <w:sz w:val="20"/>
          <w:szCs w:val="20"/>
          <w:lang w:val="en-US"/>
        </w:rPr>
        <w:t xml:space="preserve"> candidate stock </w:t>
      </w:r>
      <w:r w:rsidR="00A870BE">
        <w:rPr>
          <w:sz w:val="20"/>
          <w:szCs w:val="20"/>
          <w:lang w:val="en-US"/>
        </w:rPr>
        <w:t>analysis</w:t>
      </w:r>
      <w:r w:rsidR="000D6E1E" w:rsidRPr="000D6E1E">
        <w:rPr>
          <w:sz w:val="20"/>
          <w:szCs w:val="20"/>
          <w:lang w:val="en-US"/>
        </w:rPr>
        <w:t xml:space="preserve"> and started the in-depth stock analysis</w:t>
      </w:r>
      <w:r>
        <w:rPr>
          <w:sz w:val="20"/>
          <w:szCs w:val="20"/>
          <w:lang w:val="en-US"/>
        </w:rPr>
        <w:t xml:space="preserve"> with a view to putting new stock recommendations to the IAC</w:t>
      </w:r>
      <w:r w:rsidR="000D6E1E" w:rsidRPr="000D6E1E">
        <w:rPr>
          <w:sz w:val="20"/>
          <w:szCs w:val="20"/>
          <w:lang w:val="en-US"/>
        </w:rPr>
        <w:t xml:space="preserve">. The </w:t>
      </w:r>
      <w:r w:rsidR="003E5366">
        <w:rPr>
          <w:sz w:val="20"/>
          <w:szCs w:val="20"/>
          <w:lang w:val="en-US"/>
        </w:rPr>
        <w:t>asset allocation (</w:t>
      </w:r>
      <w:r w:rsidR="000D6E1E" w:rsidRPr="000D6E1E">
        <w:rPr>
          <w:sz w:val="20"/>
          <w:szCs w:val="20"/>
          <w:lang w:val="en-US"/>
        </w:rPr>
        <w:t>AA</w:t>
      </w:r>
      <w:r w:rsidR="003E5366">
        <w:rPr>
          <w:sz w:val="20"/>
          <w:szCs w:val="20"/>
          <w:lang w:val="en-US"/>
        </w:rPr>
        <w:t>)</w:t>
      </w:r>
      <w:r w:rsidR="000D6E1E" w:rsidRPr="000D6E1E">
        <w:rPr>
          <w:sz w:val="20"/>
          <w:szCs w:val="20"/>
          <w:lang w:val="en-US"/>
        </w:rPr>
        <w:t xml:space="preserve"> team achieve</w:t>
      </w:r>
      <w:r w:rsidR="00A91FA0">
        <w:rPr>
          <w:sz w:val="20"/>
          <w:szCs w:val="20"/>
          <w:lang w:val="en-US"/>
        </w:rPr>
        <w:t xml:space="preserve">d </w:t>
      </w:r>
      <w:r w:rsidR="000D6E1E" w:rsidRPr="000D6E1E">
        <w:rPr>
          <w:sz w:val="20"/>
          <w:szCs w:val="20"/>
          <w:lang w:val="en-US"/>
        </w:rPr>
        <w:t>great progress in structur</w:t>
      </w:r>
      <w:r w:rsidR="00A91FA0">
        <w:rPr>
          <w:sz w:val="20"/>
          <w:szCs w:val="20"/>
          <w:lang w:val="en-US"/>
        </w:rPr>
        <w:t>ing</w:t>
      </w:r>
      <w:r w:rsidR="000D6E1E" w:rsidRPr="000D6E1E">
        <w:rPr>
          <w:sz w:val="20"/>
          <w:szCs w:val="20"/>
          <w:lang w:val="en-US"/>
        </w:rPr>
        <w:t xml:space="preserve"> the AA </w:t>
      </w:r>
      <w:r w:rsidR="003E5366">
        <w:rPr>
          <w:sz w:val="20"/>
          <w:szCs w:val="20"/>
          <w:lang w:val="en-US"/>
        </w:rPr>
        <w:t>investment process (</w:t>
      </w:r>
      <w:r w:rsidR="000D6E1E" w:rsidRPr="000D6E1E">
        <w:rPr>
          <w:sz w:val="20"/>
          <w:szCs w:val="20"/>
          <w:lang w:val="en-US"/>
        </w:rPr>
        <w:t>IP</w:t>
      </w:r>
      <w:r w:rsidR="003E5366">
        <w:rPr>
          <w:sz w:val="20"/>
          <w:szCs w:val="20"/>
          <w:lang w:val="en-US"/>
        </w:rPr>
        <w:t>)</w:t>
      </w:r>
      <w:r>
        <w:rPr>
          <w:sz w:val="20"/>
          <w:szCs w:val="20"/>
          <w:lang w:val="en-US"/>
        </w:rPr>
        <w:t>,</w:t>
      </w:r>
      <w:r w:rsidR="000D6E1E" w:rsidRPr="000D6E1E">
        <w:rPr>
          <w:sz w:val="20"/>
          <w:szCs w:val="20"/>
          <w:lang w:val="en-US"/>
        </w:rPr>
        <w:t xml:space="preserve"> </w:t>
      </w:r>
      <w:r>
        <w:rPr>
          <w:sz w:val="20"/>
          <w:szCs w:val="20"/>
          <w:lang w:val="en-US"/>
        </w:rPr>
        <w:t>which they</w:t>
      </w:r>
      <w:r w:rsidR="000D6E1E" w:rsidRPr="000D6E1E">
        <w:rPr>
          <w:sz w:val="20"/>
          <w:szCs w:val="20"/>
          <w:lang w:val="en-US"/>
        </w:rPr>
        <w:t xml:space="preserve"> look forward to </w:t>
      </w:r>
      <w:proofErr w:type="spellStart"/>
      <w:r>
        <w:rPr>
          <w:sz w:val="20"/>
          <w:szCs w:val="20"/>
          <w:lang w:val="en-US"/>
        </w:rPr>
        <w:t>finalising</w:t>
      </w:r>
      <w:proofErr w:type="spellEnd"/>
      <w:r>
        <w:rPr>
          <w:sz w:val="20"/>
          <w:szCs w:val="20"/>
          <w:lang w:val="en-US"/>
        </w:rPr>
        <w:t xml:space="preserve"> by</w:t>
      </w:r>
      <w:r w:rsidR="000D6E1E" w:rsidRPr="000D6E1E">
        <w:rPr>
          <w:sz w:val="20"/>
          <w:szCs w:val="20"/>
          <w:lang w:val="en-US"/>
        </w:rPr>
        <w:t xml:space="preserve"> the end of the semester. A</w:t>
      </w:r>
      <w:r>
        <w:rPr>
          <w:sz w:val="20"/>
          <w:szCs w:val="20"/>
          <w:lang w:val="en-US"/>
        </w:rPr>
        <w:t>s well as building a</w:t>
      </w:r>
      <w:r w:rsidR="000D6E1E" w:rsidRPr="000D6E1E">
        <w:rPr>
          <w:sz w:val="20"/>
          <w:szCs w:val="20"/>
          <w:lang w:val="en-US"/>
        </w:rPr>
        <w:t xml:space="preserve"> portfolio performance attribution model, </w:t>
      </w:r>
      <w:r w:rsidR="004E1855">
        <w:rPr>
          <w:sz w:val="20"/>
          <w:szCs w:val="20"/>
          <w:lang w:val="en-US"/>
        </w:rPr>
        <w:t xml:space="preserve">the </w:t>
      </w:r>
      <w:r w:rsidR="00613365">
        <w:rPr>
          <w:sz w:val="20"/>
          <w:szCs w:val="20"/>
          <w:lang w:val="en-US"/>
        </w:rPr>
        <w:t>risk and c</w:t>
      </w:r>
      <w:r w:rsidR="003E5366">
        <w:rPr>
          <w:sz w:val="20"/>
          <w:szCs w:val="20"/>
          <w:lang w:val="en-US"/>
        </w:rPr>
        <w:t>ompliance (</w:t>
      </w:r>
      <w:proofErr w:type="spellStart"/>
      <w:r w:rsidR="000D6E1E" w:rsidRPr="000D6E1E">
        <w:rPr>
          <w:sz w:val="20"/>
          <w:szCs w:val="20"/>
          <w:lang w:val="en-US"/>
        </w:rPr>
        <w:t>R&amp;C</w:t>
      </w:r>
      <w:proofErr w:type="spellEnd"/>
      <w:r w:rsidR="003E5366">
        <w:rPr>
          <w:sz w:val="20"/>
          <w:szCs w:val="20"/>
          <w:lang w:val="en-US"/>
        </w:rPr>
        <w:t>)</w:t>
      </w:r>
      <w:r w:rsidR="000D6E1E" w:rsidRPr="000D6E1E">
        <w:rPr>
          <w:sz w:val="20"/>
          <w:szCs w:val="20"/>
          <w:lang w:val="en-US"/>
        </w:rPr>
        <w:t xml:space="preserve"> </w:t>
      </w:r>
      <w:r w:rsidR="004E1855">
        <w:rPr>
          <w:sz w:val="20"/>
          <w:szCs w:val="20"/>
          <w:lang w:val="en-US"/>
        </w:rPr>
        <w:t xml:space="preserve">team </w:t>
      </w:r>
      <w:r w:rsidR="00B466C9">
        <w:rPr>
          <w:sz w:val="20"/>
          <w:szCs w:val="20"/>
          <w:lang w:val="en-US"/>
        </w:rPr>
        <w:t>has</w:t>
      </w:r>
      <w:r w:rsidR="000D6E1E" w:rsidRPr="000D6E1E">
        <w:rPr>
          <w:sz w:val="20"/>
          <w:szCs w:val="20"/>
          <w:lang w:val="en-US"/>
        </w:rPr>
        <w:t xml:space="preserve"> </w:t>
      </w:r>
      <w:r>
        <w:rPr>
          <w:sz w:val="20"/>
          <w:szCs w:val="20"/>
          <w:lang w:val="en-US"/>
        </w:rPr>
        <w:t xml:space="preserve">further </w:t>
      </w:r>
      <w:r w:rsidR="000D6E1E" w:rsidRPr="000D6E1E">
        <w:rPr>
          <w:sz w:val="20"/>
          <w:szCs w:val="20"/>
          <w:lang w:val="en-US"/>
        </w:rPr>
        <w:t>develop</w:t>
      </w:r>
      <w:r w:rsidR="00B466C9">
        <w:rPr>
          <w:sz w:val="20"/>
          <w:szCs w:val="20"/>
          <w:lang w:val="en-US"/>
        </w:rPr>
        <w:t>ed</w:t>
      </w:r>
      <w:r w:rsidR="000D6E1E" w:rsidRPr="000D6E1E">
        <w:rPr>
          <w:sz w:val="20"/>
          <w:szCs w:val="20"/>
          <w:lang w:val="en-US"/>
        </w:rPr>
        <w:t xml:space="preserve"> </w:t>
      </w:r>
      <w:r>
        <w:rPr>
          <w:sz w:val="20"/>
          <w:szCs w:val="20"/>
          <w:lang w:val="en-US"/>
        </w:rPr>
        <w:t>the</w:t>
      </w:r>
      <w:r w:rsidR="000D6E1E" w:rsidRPr="000D6E1E">
        <w:rPr>
          <w:sz w:val="20"/>
          <w:szCs w:val="20"/>
          <w:lang w:val="en-US"/>
        </w:rPr>
        <w:t xml:space="preserve"> SRI compliance process and </w:t>
      </w:r>
      <w:r w:rsidR="00B466C9">
        <w:rPr>
          <w:sz w:val="20"/>
          <w:szCs w:val="20"/>
          <w:lang w:val="en-US"/>
        </w:rPr>
        <w:t xml:space="preserve">has </w:t>
      </w:r>
      <w:r w:rsidR="000D6E1E" w:rsidRPr="000D6E1E">
        <w:rPr>
          <w:sz w:val="20"/>
          <w:szCs w:val="20"/>
          <w:lang w:val="en-US"/>
        </w:rPr>
        <w:t>work</w:t>
      </w:r>
      <w:r w:rsidR="00B466C9">
        <w:rPr>
          <w:sz w:val="20"/>
          <w:szCs w:val="20"/>
          <w:lang w:val="en-US"/>
        </w:rPr>
        <w:t>ed</w:t>
      </w:r>
      <w:r w:rsidR="000D6E1E" w:rsidRPr="000D6E1E">
        <w:rPr>
          <w:sz w:val="20"/>
          <w:szCs w:val="20"/>
          <w:lang w:val="en-US"/>
        </w:rPr>
        <w:t xml:space="preserve"> closely with the </w:t>
      </w:r>
      <w:proofErr w:type="spellStart"/>
      <w:r w:rsidR="000D6E1E" w:rsidRPr="000D6E1E">
        <w:rPr>
          <w:sz w:val="20"/>
          <w:szCs w:val="20"/>
          <w:lang w:val="en-US"/>
        </w:rPr>
        <w:t>AAE</w:t>
      </w:r>
      <w:proofErr w:type="spellEnd"/>
      <w:r w:rsidR="000D6E1E" w:rsidRPr="000D6E1E">
        <w:rPr>
          <w:sz w:val="20"/>
          <w:szCs w:val="20"/>
          <w:lang w:val="en-US"/>
        </w:rPr>
        <w:t xml:space="preserve"> team </w:t>
      </w:r>
      <w:r w:rsidR="00B466C9">
        <w:rPr>
          <w:sz w:val="20"/>
          <w:szCs w:val="20"/>
          <w:lang w:val="en-US"/>
        </w:rPr>
        <w:t xml:space="preserve">to ensure all </w:t>
      </w:r>
      <w:r>
        <w:rPr>
          <w:sz w:val="20"/>
          <w:szCs w:val="20"/>
          <w:lang w:val="en-US"/>
        </w:rPr>
        <w:t>the stock selection</w:t>
      </w:r>
      <w:r w:rsidR="000F2E88">
        <w:rPr>
          <w:sz w:val="20"/>
          <w:szCs w:val="20"/>
          <w:lang w:val="en-US"/>
        </w:rPr>
        <w:t xml:space="preserve"> </w:t>
      </w:r>
      <w:r w:rsidR="00B466C9">
        <w:rPr>
          <w:sz w:val="20"/>
          <w:szCs w:val="20"/>
          <w:lang w:val="en-US"/>
        </w:rPr>
        <w:t xml:space="preserve">processes align with the </w:t>
      </w:r>
      <w:proofErr w:type="spellStart"/>
      <w:r w:rsidR="000D6E1E" w:rsidRPr="000D6E1E">
        <w:rPr>
          <w:sz w:val="20"/>
          <w:szCs w:val="20"/>
          <w:lang w:val="en-US"/>
        </w:rPr>
        <w:t>CGS</w:t>
      </w:r>
      <w:proofErr w:type="spellEnd"/>
      <w:r w:rsidR="000D6E1E" w:rsidRPr="000D6E1E">
        <w:rPr>
          <w:sz w:val="20"/>
          <w:szCs w:val="20"/>
          <w:lang w:val="en-US"/>
        </w:rPr>
        <w:t xml:space="preserve"> and</w:t>
      </w:r>
      <w:r w:rsidR="004E1855">
        <w:rPr>
          <w:sz w:val="20"/>
          <w:szCs w:val="20"/>
          <w:lang w:val="en-US"/>
        </w:rPr>
        <w:t xml:space="preserve"> the</w:t>
      </w:r>
      <w:r w:rsidR="000D6E1E" w:rsidRPr="000D6E1E">
        <w:rPr>
          <w:sz w:val="20"/>
          <w:szCs w:val="20"/>
          <w:lang w:val="en-US"/>
        </w:rPr>
        <w:t xml:space="preserve"> ANU policy. After consultation and training</w:t>
      </w:r>
      <w:r>
        <w:rPr>
          <w:sz w:val="20"/>
          <w:szCs w:val="20"/>
          <w:lang w:val="en-US"/>
        </w:rPr>
        <w:t xml:space="preserve"> with ANU communications</w:t>
      </w:r>
      <w:r w:rsidR="000D6E1E" w:rsidRPr="000D6E1E">
        <w:rPr>
          <w:sz w:val="20"/>
          <w:szCs w:val="20"/>
          <w:lang w:val="en-US"/>
        </w:rPr>
        <w:t xml:space="preserve">, the </w:t>
      </w:r>
      <w:r>
        <w:rPr>
          <w:sz w:val="20"/>
          <w:szCs w:val="20"/>
          <w:lang w:val="en-US"/>
        </w:rPr>
        <w:t>R</w:t>
      </w:r>
      <w:r w:rsidR="000D6E1E" w:rsidRPr="000D6E1E">
        <w:rPr>
          <w:sz w:val="20"/>
          <w:szCs w:val="20"/>
          <w:lang w:val="en-US"/>
        </w:rPr>
        <w:t xml:space="preserve">elationship team is making progress in the </w:t>
      </w:r>
      <w:r w:rsidR="00823AFD">
        <w:rPr>
          <w:sz w:val="20"/>
          <w:szCs w:val="20"/>
          <w:lang w:val="en-US"/>
        </w:rPr>
        <w:t>creation of a</w:t>
      </w:r>
      <w:r w:rsidR="00CD5932">
        <w:rPr>
          <w:sz w:val="20"/>
          <w:szCs w:val="20"/>
          <w:lang w:val="en-US"/>
        </w:rPr>
        <w:t>n</w:t>
      </w:r>
      <w:r w:rsidR="00823AFD">
        <w:rPr>
          <w:sz w:val="20"/>
          <w:szCs w:val="20"/>
          <w:lang w:val="en-US"/>
        </w:rPr>
        <w:t xml:space="preserve"> </w:t>
      </w:r>
      <w:r w:rsidR="000D6E1E" w:rsidRPr="000D6E1E">
        <w:rPr>
          <w:sz w:val="20"/>
          <w:szCs w:val="20"/>
          <w:lang w:val="en-US"/>
        </w:rPr>
        <w:t xml:space="preserve">SMF </w:t>
      </w:r>
      <w:r w:rsidR="00613365">
        <w:rPr>
          <w:sz w:val="20"/>
          <w:szCs w:val="20"/>
          <w:lang w:val="en-US"/>
        </w:rPr>
        <w:t>s</w:t>
      </w:r>
      <w:r w:rsidR="000D6E1E" w:rsidRPr="000D6E1E">
        <w:rPr>
          <w:sz w:val="20"/>
          <w:szCs w:val="20"/>
          <w:lang w:val="en-US"/>
        </w:rPr>
        <w:t>o</w:t>
      </w:r>
      <w:r w:rsidR="00613365">
        <w:rPr>
          <w:sz w:val="20"/>
          <w:szCs w:val="20"/>
          <w:lang w:val="en-US"/>
        </w:rPr>
        <w:t>cial m</w:t>
      </w:r>
      <w:r w:rsidR="000D6E1E" w:rsidRPr="000D6E1E">
        <w:rPr>
          <w:sz w:val="20"/>
          <w:szCs w:val="20"/>
          <w:lang w:val="en-US"/>
        </w:rPr>
        <w:t xml:space="preserve">edia </w:t>
      </w:r>
      <w:r w:rsidR="00613365">
        <w:rPr>
          <w:sz w:val="20"/>
          <w:szCs w:val="20"/>
          <w:lang w:val="en-US"/>
        </w:rPr>
        <w:t>p</w:t>
      </w:r>
      <w:r w:rsidR="000D6E1E" w:rsidRPr="000D6E1E">
        <w:rPr>
          <w:sz w:val="20"/>
          <w:szCs w:val="20"/>
          <w:lang w:val="en-US"/>
        </w:rPr>
        <w:t xml:space="preserve">olicy </w:t>
      </w:r>
      <w:r w:rsidR="00613365">
        <w:rPr>
          <w:sz w:val="20"/>
          <w:szCs w:val="20"/>
          <w:lang w:val="en-US"/>
        </w:rPr>
        <w:t>s</w:t>
      </w:r>
      <w:r w:rsidR="00B466C9">
        <w:rPr>
          <w:sz w:val="20"/>
          <w:szCs w:val="20"/>
          <w:lang w:val="en-US"/>
        </w:rPr>
        <w:t>tatement</w:t>
      </w:r>
      <w:r w:rsidR="000D6E1E" w:rsidRPr="000D6E1E">
        <w:rPr>
          <w:sz w:val="20"/>
          <w:szCs w:val="20"/>
          <w:lang w:val="en-US"/>
        </w:rPr>
        <w:t xml:space="preserve">. </w:t>
      </w:r>
    </w:p>
    <w:p w14:paraId="08D6E327" w14:textId="77777777" w:rsidR="000D6E1E" w:rsidRPr="000D6E1E" w:rsidRDefault="000D6E1E" w:rsidP="000D6E1E">
      <w:pPr>
        <w:spacing w:before="180" w:after="0"/>
        <w:rPr>
          <w:sz w:val="20"/>
          <w:szCs w:val="20"/>
          <w:lang w:val="en-US"/>
        </w:rPr>
      </w:pPr>
      <w:r w:rsidRPr="000D6E1E">
        <w:rPr>
          <w:sz w:val="20"/>
          <w:szCs w:val="20"/>
          <w:lang w:val="en-US"/>
        </w:rPr>
        <w:t>During the first half of th</w:t>
      </w:r>
      <w:r w:rsidR="001546B1">
        <w:rPr>
          <w:sz w:val="20"/>
          <w:szCs w:val="20"/>
          <w:lang w:val="en-US"/>
        </w:rPr>
        <w:t>is</w:t>
      </w:r>
      <w:r w:rsidRPr="000D6E1E">
        <w:rPr>
          <w:sz w:val="20"/>
          <w:szCs w:val="20"/>
          <w:lang w:val="en-US"/>
        </w:rPr>
        <w:t xml:space="preserve"> semester, </w:t>
      </w:r>
      <w:r w:rsidR="00823AFD">
        <w:rPr>
          <w:sz w:val="20"/>
          <w:szCs w:val="20"/>
          <w:lang w:val="en-US"/>
        </w:rPr>
        <w:t xml:space="preserve">David Nolan and </w:t>
      </w:r>
      <w:proofErr w:type="spellStart"/>
      <w:r w:rsidR="00823AFD">
        <w:rPr>
          <w:sz w:val="20"/>
          <w:szCs w:val="20"/>
          <w:lang w:val="en-US"/>
        </w:rPr>
        <w:t>Risman</w:t>
      </w:r>
      <w:proofErr w:type="spellEnd"/>
      <w:r w:rsidR="00823AFD">
        <w:rPr>
          <w:sz w:val="20"/>
          <w:szCs w:val="20"/>
          <w:lang w:val="en-US"/>
        </w:rPr>
        <w:t xml:space="preserve"> Cornelius </w:t>
      </w:r>
      <w:r w:rsidR="00A0690A">
        <w:rPr>
          <w:sz w:val="20"/>
          <w:szCs w:val="20"/>
          <w:lang w:val="en-US"/>
        </w:rPr>
        <w:t xml:space="preserve">addressed the SMF </w:t>
      </w:r>
      <w:r w:rsidR="00823AFD">
        <w:rPr>
          <w:sz w:val="20"/>
          <w:szCs w:val="20"/>
          <w:lang w:val="en-US"/>
        </w:rPr>
        <w:t xml:space="preserve">as </w:t>
      </w:r>
      <w:r w:rsidRPr="000D6E1E">
        <w:rPr>
          <w:sz w:val="20"/>
          <w:szCs w:val="20"/>
          <w:lang w:val="en-US"/>
        </w:rPr>
        <w:t>guest speakers</w:t>
      </w:r>
      <w:r w:rsidR="00A0690A">
        <w:rPr>
          <w:sz w:val="20"/>
          <w:szCs w:val="20"/>
          <w:lang w:val="en-US"/>
        </w:rPr>
        <w:t xml:space="preserve">. </w:t>
      </w:r>
      <w:r w:rsidRPr="000D6E1E">
        <w:rPr>
          <w:sz w:val="20"/>
          <w:szCs w:val="20"/>
          <w:lang w:val="en-US"/>
        </w:rPr>
        <w:t xml:space="preserve">The </w:t>
      </w:r>
      <w:r w:rsidR="00A0690A">
        <w:rPr>
          <w:sz w:val="20"/>
          <w:szCs w:val="20"/>
          <w:lang w:val="en-US"/>
        </w:rPr>
        <w:t xml:space="preserve">insight and advice </w:t>
      </w:r>
      <w:r w:rsidR="00DE51D0">
        <w:rPr>
          <w:sz w:val="20"/>
          <w:szCs w:val="20"/>
          <w:lang w:val="en-US"/>
        </w:rPr>
        <w:t xml:space="preserve">regarding SRI, </w:t>
      </w:r>
      <w:r w:rsidR="003F1E37" w:rsidRPr="000D6E1E">
        <w:rPr>
          <w:sz w:val="20"/>
          <w:szCs w:val="20"/>
          <w:lang w:val="en-US"/>
        </w:rPr>
        <w:t>general industry knowledge and fund management</w:t>
      </w:r>
      <w:r w:rsidR="004E1855">
        <w:rPr>
          <w:sz w:val="20"/>
          <w:szCs w:val="20"/>
          <w:lang w:val="en-US"/>
        </w:rPr>
        <w:t xml:space="preserve"> were</w:t>
      </w:r>
      <w:r w:rsidR="003F1E37">
        <w:rPr>
          <w:sz w:val="20"/>
          <w:szCs w:val="20"/>
          <w:lang w:val="en-US"/>
        </w:rPr>
        <w:t xml:space="preserve"> invaluable for the SMF</w:t>
      </w:r>
      <w:r w:rsidR="001546B1">
        <w:rPr>
          <w:sz w:val="20"/>
          <w:szCs w:val="20"/>
          <w:lang w:val="en-US"/>
        </w:rPr>
        <w:t xml:space="preserve"> and its members</w:t>
      </w:r>
      <w:r w:rsidR="003F1E37">
        <w:rPr>
          <w:sz w:val="20"/>
          <w:szCs w:val="20"/>
          <w:lang w:val="en-US"/>
        </w:rPr>
        <w:t xml:space="preserve">. </w:t>
      </w:r>
      <w:r w:rsidR="002C4A6F">
        <w:rPr>
          <w:sz w:val="20"/>
          <w:szCs w:val="20"/>
          <w:lang w:val="en-US"/>
        </w:rPr>
        <w:t xml:space="preserve">We value these </w:t>
      </w:r>
      <w:r w:rsidR="004E05A9">
        <w:rPr>
          <w:sz w:val="20"/>
          <w:szCs w:val="20"/>
          <w:lang w:val="en-US"/>
        </w:rPr>
        <w:t>contr</w:t>
      </w:r>
      <w:r w:rsidR="00BE08BF">
        <w:rPr>
          <w:sz w:val="20"/>
          <w:szCs w:val="20"/>
          <w:lang w:val="en-US"/>
        </w:rPr>
        <w:t xml:space="preserve">ibutions </w:t>
      </w:r>
      <w:r w:rsidR="00BB5C46">
        <w:rPr>
          <w:sz w:val="20"/>
          <w:szCs w:val="20"/>
          <w:lang w:val="en-US"/>
        </w:rPr>
        <w:t xml:space="preserve">very highly and would welcome similar contributions in the future. </w:t>
      </w:r>
      <w:r w:rsidR="009A6910">
        <w:rPr>
          <w:sz w:val="20"/>
          <w:szCs w:val="20"/>
          <w:lang w:val="en-US"/>
        </w:rPr>
        <w:t xml:space="preserve"> </w:t>
      </w:r>
    </w:p>
    <w:p w14:paraId="36D4F921" w14:textId="77777777" w:rsidR="000D6E1E" w:rsidRPr="000D6E1E" w:rsidRDefault="009A6910" w:rsidP="00136215">
      <w:pPr>
        <w:spacing w:before="180" w:after="0"/>
        <w:rPr>
          <w:sz w:val="20"/>
          <w:szCs w:val="20"/>
          <w:lang w:val="en-US"/>
        </w:rPr>
      </w:pPr>
      <w:r>
        <w:rPr>
          <w:sz w:val="20"/>
          <w:szCs w:val="20"/>
          <w:lang w:val="en-US"/>
        </w:rPr>
        <w:t xml:space="preserve">In the </w:t>
      </w:r>
      <w:r w:rsidR="000D6E1E" w:rsidRPr="000D6E1E">
        <w:rPr>
          <w:sz w:val="20"/>
          <w:szCs w:val="20"/>
          <w:lang w:val="en-US"/>
        </w:rPr>
        <w:t xml:space="preserve">second half of the semester, we are looking forward to the completion of </w:t>
      </w:r>
      <w:r w:rsidR="004E1855">
        <w:rPr>
          <w:sz w:val="20"/>
          <w:szCs w:val="20"/>
          <w:lang w:val="en-US"/>
        </w:rPr>
        <w:t xml:space="preserve">the </w:t>
      </w:r>
      <w:r w:rsidR="000D6E1E" w:rsidRPr="000D6E1E">
        <w:rPr>
          <w:sz w:val="20"/>
          <w:szCs w:val="20"/>
          <w:lang w:val="en-US"/>
        </w:rPr>
        <w:t xml:space="preserve">AA IP and investment recommendations from the </w:t>
      </w:r>
      <w:proofErr w:type="spellStart"/>
      <w:r w:rsidR="000D6E1E" w:rsidRPr="000D6E1E">
        <w:rPr>
          <w:sz w:val="20"/>
          <w:szCs w:val="20"/>
          <w:lang w:val="en-US"/>
        </w:rPr>
        <w:t>AAE</w:t>
      </w:r>
      <w:proofErr w:type="spellEnd"/>
      <w:r w:rsidR="000D6E1E" w:rsidRPr="000D6E1E">
        <w:rPr>
          <w:sz w:val="20"/>
          <w:szCs w:val="20"/>
          <w:lang w:val="en-US"/>
        </w:rPr>
        <w:t xml:space="preserve"> team. Meanwhile, </w:t>
      </w:r>
      <w:r w:rsidR="005F0A3B">
        <w:rPr>
          <w:sz w:val="20"/>
          <w:szCs w:val="20"/>
          <w:lang w:val="en-US"/>
        </w:rPr>
        <w:t xml:space="preserve">the </w:t>
      </w:r>
      <w:proofErr w:type="spellStart"/>
      <w:r w:rsidR="000D6E1E" w:rsidRPr="000D6E1E">
        <w:rPr>
          <w:sz w:val="20"/>
          <w:szCs w:val="20"/>
          <w:lang w:val="en-US"/>
        </w:rPr>
        <w:t>R&amp;C</w:t>
      </w:r>
      <w:proofErr w:type="spellEnd"/>
      <w:r w:rsidR="00A47FFA">
        <w:rPr>
          <w:sz w:val="20"/>
          <w:szCs w:val="20"/>
          <w:lang w:val="en-US"/>
        </w:rPr>
        <w:t xml:space="preserve"> and Relationship</w:t>
      </w:r>
      <w:r w:rsidR="000D6E1E" w:rsidRPr="000D6E1E">
        <w:rPr>
          <w:sz w:val="20"/>
          <w:szCs w:val="20"/>
          <w:lang w:val="en-US"/>
        </w:rPr>
        <w:t xml:space="preserve"> team</w:t>
      </w:r>
      <w:r w:rsidR="00A47FFA">
        <w:rPr>
          <w:sz w:val="20"/>
          <w:szCs w:val="20"/>
          <w:lang w:val="en-US"/>
        </w:rPr>
        <w:t xml:space="preserve">s are </w:t>
      </w:r>
      <w:r w:rsidR="000D6E1E" w:rsidRPr="000D6E1E">
        <w:rPr>
          <w:sz w:val="20"/>
          <w:szCs w:val="20"/>
          <w:lang w:val="en-US"/>
        </w:rPr>
        <w:t xml:space="preserve">expected to </w:t>
      </w:r>
      <w:proofErr w:type="spellStart"/>
      <w:r w:rsidR="000D6E1E" w:rsidRPr="000D6E1E">
        <w:rPr>
          <w:sz w:val="20"/>
          <w:szCs w:val="20"/>
          <w:lang w:val="en-US"/>
        </w:rPr>
        <w:t>finali</w:t>
      </w:r>
      <w:r w:rsidR="002F047F">
        <w:rPr>
          <w:sz w:val="20"/>
          <w:szCs w:val="20"/>
          <w:lang w:val="en-US"/>
        </w:rPr>
        <w:t>s</w:t>
      </w:r>
      <w:r w:rsidR="000D6E1E" w:rsidRPr="000D6E1E">
        <w:rPr>
          <w:sz w:val="20"/>
          <w:szCs w:val="20"/>
          <w:lang w:val="en-US"/>
        </w:rPr>
        <w:t>e</w:t>
      </w:r>
      <w:proofErr w:type="spellEnd"/>
      <w:r w:rsidR="00A47FFA">
        <w:rPr>
          <w:sz w:val="20"/>
          <w:szCs w:val="20"/>
          <w:lang w:val="en-US"/>
        </w:rPr>
        <w:t xml:space="preserve"> </w:t>
      </w:r>
      <w:r w:rsidR="000D6E1E" w:rsidRPr="000D6E1E">
        <w:rPr>
          <w:sz w:val="20"/>
          <w:szCs w:val="20"/>
          <w:lang w:val="en-US"/>
        </w:rPr>
        <w:t>the risk management framework</w:t>
      </w:r>
      <w:r w:rsidR="00A47FFA">
        <w:rPr>
          <w:sz w:val="20"/>
          <w:szCs w:val="20"/>
          <w:lang w:val="en-US"/>
        </w:rPr>
        <w:t>,</w:t>
      </w:r>
      <w:r w:rsidR="001A4A0C">
        <w:rPr>
          <w:sz w:val="20"/>
          <w:szCs w:val="20"/>
          <w:lang w:val="en-US"/>
        </w:rPr>
        <w:t xml:space="preserve"> the</w:t>
      </w:r>
      <w:r w:rsidR="00A47FFA">
        <w:rPr>
          <w:sz w:val="20"/>
          <w:szCs w:val="20"/>
          <w:lang w:val="en-US"/>
        </w:rPr>
        <w:t xml:space="preserve"> </w:t>
      </w:r>
      <w:r w:rsidR="000D6E1E" w:rsidRPr="000D6E1E">
        <w:rPr>
          <w:sz w:val="20"/>
          <w:szCs w:val="20"/>
          <w:lang w:val="en-US"/>
        </w:rPr>
        <w:t>SRI policy process</w:t>
      </w:r>
      <w:r w:rsidR="00A47FFA">
        <w:rPr>
          <w:sz w:val="20"/>
          <w:szCs w:val="20"/>
          <w:lang w:val="en-US"/>
        </w:rPr>
        <w:t xml:space="preserve"> and </w:t>
      </w:r>
      <w:r w:rsidR="00474F1F">
        <w:rPr>
          <w:sz w:val="20"/>
          <w:szCs w:val="20"/>
          <w:lang w:val="en-US"/>
        </w:rPr>
        <w:t xml:space="preserve">the </w:t>
      </w:r>
      <w:r w:rsidR="001546B1">
        <w:rPr>
          <w:sz w:val="20"/>
          <w:szCs w:val="20"/>
          <w:lang w:val="en-US"/>
        </w:rPr>
        <w:t>s</w:t>
      </w:r>
      <w:r w:rsidR="00FD7385" w:rsidRPr="000D6E1E">
        <w:rPr>
          <w:sz w:val="20"/>
          <w:szCs w:val="20"/>
          <w:lang w:val="en-US"/>
        </w:rPr>
        <w:t xml:space="preserve">ocial </w:t>
      </w:r>
      <w:r w:rsidR="001546B1">
        <w:rPr>
          <w:sz w:val="20"/>
          <w:szCs w:val="20"/>
          <w:lang w:val="en-US"/>
        </w:rPr>
        <w:t>m</w:t>
      </w:r>
      <w:r w:rsidR="00FD7385" w:rsidRPr="000D6E1E">
        <w:rPr>
          <w:sz w:val="20"/>
          <w:szCs w:val="20"/>
          <w:lang w:val="en-US"/>
        </w:rPr>
        <w:t xml:space="preserve">edia </w:t>
      </w:r>
      <w:r w:rsidR="001546B1">
        <w:rPr>
          <w:sz w:val="20"/>
          <w:szCs w:val="20"/>
          <w:lang w:val="en-US"/>
        </w:rPr>
        <w:t>p</w:t>
      </w:r>
      <w:r w:rsidR="00FD7385" w:rsidRPr="000D6E1E">
        <w:rPr>
          <w:sz w:val="20"/>
          <w:szCs w:val="20"/>
          <w:lang w:val="en-US"/>
        </w:rPr>
        <w:t xml:space="preserve">olicy </w:t>
      </w:r>
      <w:r w:rsidR="001546B1">
        <w:rPr>
          <w:sz w:val="20"/>
          <w:szCs w:val="20"/>
          <w:lang w:val="en-US"/>
        </w:rPr>
        <w:t>s</w:t>
      </w:r>
      <w:r w:rsidR="00FD7385">
        <w:rPr>
          <w:sz w:val="20"/>
          <w:szCs w:val="20"/>
          <w:lang w:val="en-US"/>
        </w:rPr>
        <w:t>tatement</w:t>
      </w:r>
      <w:r w:rsidR="000D6E1E" w:rsidRPr="000D6E1E">
        <w:rPr>
          <w:sz w:val="20"/>
          <w:szCs w:val="20"/>
          <w:lang w:val="en-US"/>
        </w:rPr>
        <w:t>.</w:t>
      </w:r>
      <w:r w:rsidR="00094031">
        <w:rPr>
          <w:sz w:val="20"/>
          <w:szCs w:val="20"/>
          <w:lang w:val="en-US"/>
        </w:rPr>
        <w:t xml:space="preserve"> </w:t>
      </w:r>
      <w:r w:rsidR="000D6E1E" w:rsidRPr="000D6E1E">
        <w:rPr>
          <w:sz w:val="20"/>
          <w:szCs w:val="20"/>
          <w:lang w:val="en-US"/>
        </w:rPr>
        <w:t xml:space="preserve">With </w:t>
      </w:r>
      <w:r w:rsidR="00175143">
        <w:rPr>
          <w:sz w:val="20"/>
          <w:szCs w:val="20"/>
          <w:lang w:val="en-US"/>
        </w:rPr>
        <w:t xml:space="preserve">the </w:t>
      </w:r>
      <w:r w:rsidR="00E1764A">
        <w:rPr>
          <w:sz w:val="20"/>
          <w:szCs w:val="20"/>
          <w:lang w:val="en-US"/>
        </w:rPr>
        <w:t>progress and commitment made by the te</w:t>
      </w:r>
      <w:r w:rsidR="002F047F">
        <w:rPr>
          <w:sz w:val="20"/>
          <w:szCs w:val="20"/>
          <w:lang w:val="en-US"/>
        </w:rPr>
        <w:t>am already</w:t>
      </w:r>
      <w:r w:rsidR="00134166">
        <w:rPr>
          <w:sz w:val="20"/>
          <w:szCs w:val="20"/>
          <w:lang w:val="en-US"/>
        </w:rPr>
        <w:t xml:space="preserve">, I believe the group will achieve </w:t>
      </w:r>
      <w:proofErr w:type="gramStart"/>
      <w:r w:rsidR="007B5B54">
        <w:rPr>
          <w:sz w:val="20"/>
          <w:szCs w:val="20"/>
          <w:lang w:val="en-US"/>
        </w:rPr>
        <w:t>all</w:t>
      </w:r>
      <w:r w:rsidR="00134166">
        <w:rPr>
          <w:sz w:val="20"/>
          <w:szCs w:val="20"/>
          <w:lang w:val="en-US"/>
        </w:rPr>
        <w:t xml:space="preserve"> </w:t>
      </w:r>
      <w:r w:rsidR="007B5B54">
        <w:rPr>
          <w:sz w:val="20"/>
          <w:szCs w:val="20"/>
          <w:lang w:val="en-US"/>
        </w:rPr>
        <w:t>of</w:t>
      </w:r>
      <w:proofErr w:type="gramEnd"/>
      <w:r w:rsidR="007B5B54">
        <w:rPr>
          <w:sz w:val="20"/>
          <w:szCs w:val="20"/>
          <w:lang w:val="en-US"/>
        </w:rPr>
        <w:t xml:space="preserve"> </w:t>
      </w:r>
      <w:r w:rsidR="00134166">
        <w:rPr>
          <w:sz w:val="20"/>
          <w:szCs w:val="20"/>
          <w:lang w:val="en-US"/>
        </w:rPr>
        <w:t>its objectives</w:t>
      </w:r>
      <w:r w:rsidR="00CF72CF">
        <w:rPr>
          <w:sz w:val="20"/>
          <w:szCs w:val="20"/>
          <w:lang w:val="en-US"/>
        </w:rPr>
        <w:t xml:space="preserve"> and aims by </w:t>
      </w:r>
      <w:r w:rsidR="00134166">
        <w:rPr>
          <w:sz w:val="20"/>
          <w:szCs w:val="20"/>
          <w:lang w:val="en-US"/>
        </w:rPr>
        <w:t>the end of the semester</w:t>
      </w:r>
      <w:r w:rsidR="007B5B54">
        <w:rPr>
          <w:sz w:val="20"/>
          <w:szCs w:val="20"/>
          <w:lang w:val="en-US"/>
        </w:rPr>
        <w:t xml:space="preserve">. </w:t>
      </w:r>
      <w:r w:rsidR="00E1764A">
        <w:rPr>
          <w:sz w:val="20"/>
          <w:szCs w:val="20"/>
          <w:lang w:val="en-US"/>
        </w:rPr>
        <w:t xml:space="preserve"> </w:t>
      </w:r>
    </w:p>
    <w:p w14:paraId="2366360A" w14:textId="77777777" w:rsidR="00E82EAA" w:rsidRPr="006771EF" w:rsidRDefault="0096327E" w:rsidP="00136215">
      <w:pPr>
        <w:spacing w:before="180" w:after="0"/>
        <w:rPr>
          <w:i/>
          <w:sz w:val="20"/>
          <w:szCs w:val="20"/>
        </w:rPr>
      </w:pPr>
      <w:r w:rsidRPr="006771EF">
        <w:rPr>
          <w:i/>
          <w:sz w:val="20"/>
          <w:szCs w:val="20"/>
          <w:lang w:val="en-US"/>
        </w:rPr>
        <w:t xml:space="preserve">Ruolin </w:t>
      </w:r>
      <w:r>
        <w:rPr>
          <w:i/>
          <w:sz w:val="20"/>
          <w:szCs w:val="20"/>
          <w:lang w:val="en-US"/>
        </w:rPr>
        <w:t>(Alex) Mai</w:t>
      </w:r>
      <w:r w:rsidR="00E75E0D" w:rsidRPr="006771EF">
        <w:rPr>
          <w:i/>
          <w:sz w:val="20"/>
          <w:szCs w:val="20"/>
        </w:rPr>
        <w:t>, CIO</w:t>
      </w:r>
    </w:p>
    <w:p w14:paraId="2333E950" w14:textId="77777777" w:rsidR="007D766D" w:rsidRDefault="007D766D">
      <w:pPr>
        <w:widowControl/>
        <w:spacing w:line="312" w:lineRule="auto"/>
        <w:jc w:val="left"/>
        <w:rPr>
          <w:lang w:eastAsia="zh-CN"/>
        </w:rPr>
      </w:pPr>
      <w:r>
        <w:rPr>
          <w:lang w:eastAsia="zh-CN"/>
        </w:rPr>
        <w:br w:type="page"/>
      </w:r>
    </w:p>
    <w:p w14:paraId="198A6713" w14:textId="77777777" w:rsidR="00AD68C8" w:rsidRDefault="00AD68C8" w:rsidP="00DE67CC">
      <w:pPr>
        <w:pStyle w:val="Heading1"/>
        <w:spacing w:before="360"/>
        <w:rPr>
          <w:sz w:val="24"/>
          <w:szCs w:val="24"/>
          <w:lang w:eastAsia="zh-CN"/>
        </w:rPr>
      </w:pPr>
      <w:bookmarkStart w:id="13" w:name="_Toc524277816"/>
      <w:r>
        <w:rPr>
          <w:sz w:val="24"/>
          <w:szCs w:val="24"/>
          <w:lang w:eastAsia="zh-CN"/>
        </w:rPr>
        <w:t>Team Update</w:t>
      </w:r>
      <w:bookmarkEnd w:id="13"/>
    </w:p>
    <w:p w14:paraId="6DA1028A" w14:textId="77777777" w:rsidR="006235D5" w:rsidRPr="00293FDB" w:rsidRDefault="00293FDB" w:rsidP="00293FDB">
      <w:pPr>
        <w:rPr>
          <w:sz w:val="20"/>
          <w:lang w:eastAsia="zh-CN"/>
        </w:rPr>
      </w:pPr>
      <w:r>
        <w:rPr>
          <w:sz w:val="20"/>
          <w:lang w:eastAsia="zh-CN"/>
        </w:rPr>
        <w:t xml:space="preserve">This semester the SMF </w:t>
      </w:r>
      <w:r w:rsidR="00A3369F">
        <w:rPr>
          <w:sz w:val="20"/>
          <w:lang w:eastAsia="zh-CN"/>
        </w:rPr>
        <w:t xml:space="preserve">team </w:t>
      </w:r>
      <w:r>
        <w:rPr>
          <w:sz w:val="20"/>
          <w:lang w:eastAsia="zh-CN"/>
        </w:rPr>
        <w:t xml:space="preserve">expanded </w:t>
      </w:r>
      <w:r w:rsidR="000008E2">
        <w:rPr>
          <w:sz w:val="20"/>
          <w:lang w:eastAsia="zh-CN"/>
        </w:rPr>
        <w:t>to</w:t>
      </w:r>
      <w:r w:rsidR="006103EC">
        <w:rPr>
          <w:sz w:val="20"/>
          <w:lang w:eastAsia="zh-CN"/>
        </w:rPr>
        <w:t xml:space="preserve"> 18 members</w:t>
      </w:r>
      <w:r w:rsidR="00A3369F">
        <w:rPr>
          <w:sz w:val="20"/>
          <w:lang w:eastAsia="zh-CN"/>
        </w:rPr>
        <w:t>, with</w:t>
      </w:r>
      <w:r w:rsidR="006103EC">
        <w:rPr>
          <w:sz w:val="20"/>
          <w:lang w:eastAsia="zh-CN"/>
        </w:rPr>
        <w:t xml:space="preserve"> </w:t>
      </w:r>
      <w:r w:rsidR="00293E59">
        <w:rPr>
          <w:sz w:val="20"/>
          <w:lang w:eastAsia="zh-CN"/>
        </w:rPr>
        <w:t xml:space="preserve">8 </w:t>
      </w:r>
      <w:r w:rsidR="002A0C6D">
        <w:rPr>
          <w:sz w:val="20"/>
          <w:lang w:eastAsia="zh-CN"/>
        </w:rPr>
        <w:t xml:space="preserve">senior members </w:t>
      </w:r>
      <w:r w:rsidR="00A3369F">
        <w:rPr>
          <w:sz w:val="20"/>
          <w:lang w:eastAsia="zh-CN"/>
        </w:rPr>
        <w:t xml:space="preserve">carrying over </w:t>
      </w:r>
      <w:r w:rsidR="002A0C6D">
        <w:rPr>
          <w:sz w:val="20"/>
          <w:lang w:eastAsia="zh-CN"/>
        </w:rPr>
        <w:t>from the previous semester and the addition of 10 new members. The structure of the SMF</w:t>
      </w:r>
      <w:r w:rsidR="00A3369F">
        <w:rPr>
          <w:sz w:val="20"/>
          <w:lang w:eastAsia="zh-CN"/>
        </w:rPr>
        <w:t xml:space="preserve">, </w:t>
      </w:r>
      <w:proofErr w:type="gramStart"/>
      <w:r w:rsidR="002A0C6D">
        <w:rPr>
          <w:sz w:val="20"/>
          <w:lang w:eastAsia="zh-CN"/>
        </w:rPr>
        <w:t>in particular</w:t>
      </w:r>
      <w:r w:rsidR="009D78C1">
        <w:rPr>
          <w:sz w:val="20"/>
          <w:lang w:eastAsia="zh-CN"/>
        </w:rPr>
        <w:t xml:space="preserve"> </w:t>
      </w:r>
      <w:r w:rsidR="002A0C6D">
        <w:rPr>
          <w:sz w:val="20"/>
          <w:lang w:eastAsia="zh-CN"/>
        </w:rPr>
        <w:t>its</w:t>
      </w:r>
      <w:proofErr w:type="gramEnd"/>
      <w:r w:rsidR="002A0C6D">
        <w:rPr>
          <w:sz w:val="20"/>
          <w:lang w:eastAsia="zh-CN"/>
        </w:rPr>
        <w:t xml:space="preserve"> key value of </w:t>
      </w:r>
      <w:r w:rsidR="00A3369F">
        <w:rPr>
          <w:sz w:val="20"/>
          <w:lang w:eastAsia="zh-CN"/>
        </w:rPr>
        <w:t>‘</w:t>
      </w:r>
      <w:r w:rsidR="002A0C6D">
        <w:rPr>
          <w:sz w:val="20"/>
          <w:lang w:eastAsia="zh-CN"/>
        </w:rPr>
        <w:t>legacy</w:t>
      </w:r>
      <w:r w:rsidR="00A3369F">
        <w:rPr>
          <w:sz w:val="20"/>
          <w:lang w:eastAsia="zh-CN"/>
        </w:rPr>
        <w:t>’,</w:t>
      </w:r>
      <w:r w:rsidR="002A0C6D">
        <w:rPr>
          <w:sz w:val="20"/>
          <w:lang w:eastAsia="zh-CN"/>
        </w:rPr>
        <w:t xml:space="preserve"> </w:t>
      </w:r>
      <w:r w:rsidR="00A3369F">
        <w:rPr>
          <w:sz w:val="20"/>
          <w:lang w:eastAsia="zh-CN"/>
        </w:rPr>
        <w:t>places</w:t>
      </w:r>
      <w:r w:rsidR="002B6B47">
        <w:rPr>
          <w:sz w:val="20"/>
          <w:lang w:eastAsia="zh-CN"/>
        </w:rPr>
        <w:t xml:space="preserve"> high importance </w:t>
      </w:r>
      <w:r w:rsidR="00A3369F">
        <w:rPr>
          <w:sz w:val="20"/>
          <w:lang w:eastAsia="zh-CN"/>
        </w:rPr>
        <w:t>on</w:t>
      </w:r>
      <w:r w:rsidR="002B6B47">
        <w:rPr>
          <w:sz w:val="20"/>
          <w:lang w:eastAsia="zh-CN"/>
        </w:rPr>
        <w:t xml:space="preserve"> teaching, guidance and leadership </w:t>
      </w:r>
      <w:r w:rsidR="00A3369F">
        <w:rPr>
          <w:sz w:val="20"/>
          <w:lang w:eastAsia="zh-CN"/>
        </w:rPr>
        <w:t>being</w:t>
      </w:r>
      <w:r w:rsidR="00A75848">
        <w:rPr>
          <w:sz w:val="20"/>
          <w:lang w:eastAsia="zh-CN"/>
        </w:rPr>
        <w:t xml:space="preserve"> passed from senior members to new incoming members. This </w:t>
      </w:r>
      <w:r w:rsidR="00666001">
        <w:rPr>
          <w:sz w:val="20"/>
          <w:lang w:eastAsia="zh-CN"/>
        </w:rPr>
        <w:t xml:space="preserve">over-lapping </w:t>
      </w:r>
      <w:r w:rsidR="00666001" w:rsidRPr="006235D5">
        <w:rPr>
          <w:sz w:val="20"/>
          <w:lang w:eastAsia="zh-CN"/>
        </w:rPr>
        <w:t xml:space="preserve">cohort structure </w:t>
      </w:r>
      <w:r w:rsidR="00A75848" w:rsidRPr="006235D5">
        <w:rPr>
          <w:sz w:val="20"/>
          <w:lang w:eastAsia="zh-CN"/>
        </w:rPr>
        <w:t xml:space="preserve">enhances the learning outcomes of students </w:t>
      </w:r>
      <w:r w:rsidR="00786F36" w:rsidRPr="006235D5">
        <w:rPr>
          <w:sz w:val="20"/>
          <w:lang w:eastAsia="zh-CN"/>
        </w:rPr>
        <w:t>and</w:t>
      </w:r>
      <w:r w:rsidR="00666001" w:rsidRPr="006235D5">
        <w:rPr>
          <w:sz w:val="20"/>
          <w:lang w:eastAsia="zh-CN"/>
        </w:rPr>
        <w:t xml:space="preserve"> ensures the SMF retains stability and continuity in its </w:t>
      </w:r>
      <w:r w:rsidR="00AE005C" w:rsidRPr="001918CE">
        <w:rPr>
          <w:sz w:val="20"/>
          <w:lang w:eastAsia="zh-CN"/>
        </w:rPr>
        <w:t>operations</w:t>
      </w:r>
      <w:r w:rsidR="00786F36" w:rsidRPr="001918CE">
        <w:rPr>
          <w:sz w:val="20"/>
          <w:lang w:eastAsia="zh-CN"/>
        </w:rPr>
        <w:t xml:space="preserve">. </w:t>
      </w:r>
      <w:r w:rsidR="00437E17" w:rsidRPr="001918CE">
        <w:rPr>
          <w:sz w:val="20"/>
          <w:lang w:eastAsia="zh-CN"/>
        </w:rPr>
        <w:t>Across the SMF</w:t>
      </w:r>
      <w:r w:rsidR="00D8181A" w:rsidRPr="001918CE">
        <w:rPr>
          <w:sz w:val="20"/>
          <w:lang w:eastAsia="zh-CN"/>
        </w:rPr>
        <w:t xml:space="preserve">, a major theme </w:t>
      </w:r>
      <w:r w:rsidR="00EB580F" w:rsidRPr="001918CE">
        <w:rPr>
          <w:sz w:val="20"/>
          <w:lang w:eastAsia="zh-CN"/>
        </w:rPr>
        <w:t xml:space="preserve">for the semester has been the effort </w:t>
      </w:r>
      <w:r w:rsidR="00D8181A" w:rsidRPr="001918CE">
        <w:rPr>
          <w:sz w:val="20"/>
          <w:lang w:eastAsia="zh-CN"/>
        </w:rPr>
        <w:t>to contextualise, develop and integrate SRI issues into the Fund</w:t>
      </w:r>
      <w:r w:rsidR="00EB580F" w:rsidRPr="001918CE">
        <w:rPr>
          <w:sz w:val="20"/>
          <w:lang w:eastAsia="zh-CN"/>
        </w:rPr>
        <w:t xml:space="preserve">. </w:t>
      </w:r>
      <w:r w:rsidR="00D55C1A" w:rsidRPr="001918CE">
        <w:rPr>
          <w:sz w:val="20"/>
          <w:lang w:eastAsia="zh-CN"/>
        </w:rPr>
        <w:t xml:space="preserve">This process has been aided by the contributions of </w:t>
      </w:r>
      <w:r w:rsidR="00A17406" w:rsidRPr="001918CE">
        <w:rPr>
          <w:sz w:val="20"/>
          <w:lang w:eastAsia="zh-CN"/>
        </w:rPr>
        <w:t xml:space="preserve">our guest speakers David Nolan and </w:t>
      </w:r>
      <w:proofErr w:type="spellStart"/>
      <w:proofErr w:type="gramStart"/>
      <w:r w:rsidR="00A17406" w:rsidRPr="001918CE">
        <w:rPr>
          <w:sz w:val="20"/>
          <w:lang w:eastAsia="zh-CN"/>
        </w:rPr>
        <w:t>Risman</w:t>
      </w:r>
      <w:proofErr w:type="spellEnd"/>
      <w:r w:rsidR="00A17406" w:rsidRPr="001918CE">
        <w:rPr>
          <w:sz w:val="20"/>
          <w:lang w:eastAsia="zh-CN"/>
        </w:rPr>
        <w:t xml:space="preserve"> Cornelius</w:t>
      </w:r>
      <w:r w:rsidR="00705D70">
        <w:rPr>
          <w:sz w:val="20"/>
          <w:lang w:eastAsia="zh-CN"/>
        </w:rPr>
        <w:t>,</w:t>
      </w:r>
      <w:r w:rsidR="00A17406" w:rsidRPr="001918CE">
        <w:rPr>
          <w:sz w:val="20"/>
          <w:lang w:eastAsia="zh-CN"/>
        </w:rPr>
        <w:t xml:space="preserve"> and</w:t>
      </w:r>
      <w:proofErr w:type="gramEnd"/>
      <w:r w:rsidR="00A17406" w:rsidRPr="001918CE">
        <w:rPr>
          <w:sz w:val="20"/>
          <w:lang w:eastAsia="zh-CN"/>
        </w:rPr>
        <w:t xml:space="preserve"> has resulted in the </w:t>
      </w:r>
      <w:r w:rsidR="00291C3F" w:rsidRPr="001918CE">
        <w:rPr>
          <w:sz w:val="20"/>
          <w:lang w:eastAsia="zh-CN"/>
        </w:rPr>
        <w:t xml:space="preserve">creation of </w:t>
      </w:r>
      <w:r w:rsidR="003D4EB5" w:rsidRPr="001918CE">
        <w:rPr>
          <w:sz w:val="20"/>
          <w:lang w:eastAsia="zh-CN"/>
        </w:rPr>
        <w:t>an</w:t>
      </w:r>
      <w:r w:rsidR="00291C3F" w:rsidRPr="001918CE">
        <w:rPr>
          <w:sz w:val="20"/>
          <w:lang w:eastAsia="zh-CN"/>
        </w:rPr>
        <w:t xml:space="preserve"> SRI compliance process from </w:t>
      </w:r>
      <w:proofErr w:type="spellStart"/>
      <w:r w:rsidR="00291C3F" w:rsidRPr="001918CE">
        <w:rPr>
          <w:sz w:val="20"/>
          <w:lang w:eastAsia="zh-CN"/>
        </w:rPr>
        <w:t>R&amp;C</w:t>
      </w:r>
      <w:proofErr w:type="spellEnd"/>
      <w:r w:rsidR="00291C3F" w:rsidRPr="001918CE">
        <w:rPr>
          <w:sz w:val="20"/>
          <w:lang w:eastAsia="zh-CN"/>
        </w:rPr>
        <w:t xml:space="preserve"> an</w:t>
      </w:r>
      <w:r w:rsidR="00DF1423" w:rsidRPr="001918CE">
        <w:rPr>
          <w:sz w:val="20"/>
          <w:lang w:eastAsia="zh-CN"/>
        </w:rPr>
        <w:t xml:space="preserve">d a </w:t>
      </w:r>
      <w:r w:rsidR="00EE494B" w:rsidRPr="001918CE">
        <w:rPr>
          <w:sz w:val="20"/>
          <w:lang w:eastAsia="zh-CN"/>
        </w:rPr>
        <w:t xml:space="preserve">document detailing </w:t>
      </w:r>
      <w:r w:rsidR="003E5366" w:rsidRPr="001918CE">
        <w:rPr>
          <w:sz w:val="20"/>
          <w:lang w:eastAsia="zh-CN"/>
        </w:rPr>
        <w:t xml:space="preserve">the integration of SRI </w:t>
      </w:r>
      <w:r w:rsidR="00EE494B" w:rsidRPr="001918CE">
        <w:rPr>
          <w:sz w:val="20"/>
          <w:lang w:eastAsia="zh-CN"/>
        </w:rPr>
        <w:t>in</w:t>
      </w:r>
      <w:r w:rsidR="003E5366" w:rsidRPr="001918CE">
        <w:rPr>
          <w:sz w:val="20"/>
          <w:lang w:eastAsia="zh-CN"/>
        </w:rPr>
        <w:t>to</w:t>
      </w:r>
      <w:r w:rsidR="00EE494B" w:rsidRPr="001918CE">
        <w:rPr>
          <w:sz w:val="20"/>
          <w:lang w:eastAsia="zh-CN"/>
        </w:rPr>
        <w:t xml:space="preserve"> the </w:t>
      </w:r>
      <w:r w:rsidR="003E5366" w:rsidRPr="001918CE">
        <w:rPr>
          <w:sz w:val="20"/>
          <w:lang w:eastAsia="zh-CN"/>
        </w:rPr>
        <w:t xml:space="preserve">way that </w:t>
      </w:r>
      <w:proofErr w:type="spellStart"/>
      <w:r w:rsidR="003E5366" w:rsidRPr="001918CE">
        <w:rPr>
          <w:sz w:val="20"/>
          <w:lang w:eastAsia="zh-CN"/>
        </w:rPr>
        <w:t>AAE</w:t>
      </w:r>
      <w:proofErr w:type="spellEnd"/>
      <w:r w:rsidR="003E5366" w:rsidRPr="001918CE">
        <w:rPr>
          <w:sz w:val="20"/>
          <w:lang w:eastAsia="zh-CN"/>
        </w:rPr>
        <w:t xml:space="preserve"> analyses stocks</w:t>
      </w:r>
      <w:r w:rsidR="00EE494B" w:rsidRPr="001918CE">
        <w:rPr>
          <w:sz w:val="20"/>
          <w:lang w:eastAsia="zh-CN"/>
        </w:rPr>
        <w:t xml:space="preserve">. </w:t>
      </w:r>
      <w:r w:rsidR="003E5366" w:rsidRPr="001918CE">
        <w:rPr>
          <w:sz w:val="20"/>
          <w:lang w:eastAsia="zh-CN"/>
        </w:rPr>
        <w:t xml:space="preserve">A </w:t>
      </w:r>
      <w:r w:rsidR="00786F36" w:rsidRPr="001918CE">
        <w:rPr>
          <w:sz w:val="20"/>
          <w:lang w:eastAsia="zh-CN"/>
        </w:rPr>
        <w:t xml:space="preserve">brief introduction of the new team members and </w:t>
      </w:r>
      <w:r w:rsidR="006D530E" w:rsidRPr="001918CE">
        <w:rPr>
          <w:sz w:val="20"/>
          <w:lang w:eastAsia="zh-CN"/>
        </w:rPr>
        <w:t>an</w:t>
      </w:r>
      <w:r w:rsidR="00D2366E" w:rsidRPr="001918CE">
        <w:rPr>
          <w:sz w:val="20"/>
          <w:lang w:eastAsia="zh-CN"/>
        </w:rPr>
        <w:t xml:space="preserve"> indication of the tasks allocated to </w:t>
      </w:r>
      <w:r w:rsidR="00A3369F" w:rsidRPr="001918CE">
        <w:rPr>
          <w:sz w:val="20"/>
          <w:lang w:eastAsia="zh-CN"/>
        </w:rPr>
        <w:t xml:space="preserve">each </w:t>
      </w:r>
      <w:r w:rsidR="004854C7" w:rsidRPr="001918CE">
        <w:rPr>
          <w:sz w:val="20"/>
          <w:lang w:eastAsia="zh-CN"/>
        </w:rPr>
        <w:t xml:space="preserve">is </w:t>
      </w:r>
      <w:r w:rsidR="00786F36" w:rsidRPr="001918CE">
        <w:rPr>
          <w:sz w:val="20"/>
          <w:lang w:eastAsia="zh-CN"/>
        </w:rPr>
        <w:t>presented below.</w:t>
      </w:r>
      <w:r w:rsidR="00161F33">
        <w:rPr>
          <w:sz w:val="20"/>
          <w:lang w:eastAsia="zh-CN"/>
        </w:rPr>
        <w:t xml:space="preserve"> </w:t>
      </w:r>
    </w:p>
    <w:p w14:paraId="54EB62A4" w14:textId="77777777" w:rsidR="004854C7" w:rsidRDefault="002027BE" w:rsidP="002027BE">
      <w:pPr>
        <w:pStyle w:val="Heading2"/>
        <w:rPr>
          <w:lang w:eastAsia="zh-CN"/>
        </w:rPr>
      </w:pPr>
      <w:bookmarkStart w:id="14" w:name="_Toc524277817"/>
      <w:r>
        <w:rPr>
          <w:lang w:eastAsia="zh-CN"/>
        </w:rPr>
        <w:t>AA Team</w:t>
      </w:r>
      <w:bookmarkEnd w:id="14"/>
    </w:p>
    <w:p w14:paraId="653406D1" w14:textId="77777777" w:rsidR="006235D5" w:rsidRPr="006235D5" w:rsidRDefault="001830BB" w:rsidP="001830BB">
      <w:pPr>
        <w:rPr>
          <w:sz w:val="20"/>
          <w:lang w:val="en-GB" w:eastAsia="zh-CN"/>
        </w:rPr>
      </w:pPr>
      <w:r w:rsidRPr="001830BB">
        <w:rPr>
          <w:sz w:val="20"/>
          <w:lang w:val="en-GB" w:eastAsia="zh-CN"/>
        </w:rPr>
        <w:t>Join</w:t>
      </w:r>
      <w:r w:rsidR="000469C7">
        <w:rPr>
          <w:sz w:val="20"/>
          <w:lang w:val="en-GB" w:eastAsia="zh-CN"/>
        </w:rPr>
        <w:t xml:space="preserve">ing the AA team as </w:t>
      </w:r>
      <w:r w:rsidRPr="001830BB">
        <w:rPr>
          <w:sz w:val="20"/>
          <w:lang w:val="en-GB" w:eastAsia="zh-CN"/>
        </w:rPr>
        <w:t>junior analysts</w:t>
      </w:r>
      <w:r w:rsidR="00B05589">
        <w:rPr>
          <w:sz w:val="20"/>
          <w:lang w:val="en-GB" w:eastAsia="zh-CN"/>
        </w:rPr>
        <w:t xml:space="preserve"> </w:t>
      </w:r>
      <w:r w:rsidR="00480FF5">
        <w:rPr>
          <w:sz w:val="20"/>
          <w:lang w:val="en-GB" w:eastAsia="zh-CN"/>
        </w:rPr>
        <w:t>are</w:t>
      </w:r>
      <w:r w:rsidRPr="001830BB">
        <w:rPr>
          <w:sz w:val="20"/>
          <w:lang w:val="en-GB" w:eastAsia="zh-CN"/>
        </w:rPr>
        <w:t xml:space="preserve"> </w:t>
      </w:r>
      <w:proofErr w:type="spellStart"/>
      <w:r w:rsidRPr="001830BB">
        <w:rPr>
          <w:sz w:val="20"/>
          <w:lang w:val="en-GB" w:eastAsia="zh-CN"/>
        </w:rPr>
        <w:t>Jak</w:t>
      </w:r>
      <w:proofErr w:type="spellEnd"/>
      <w:r w:rsidRPr="001830BB">
        <w:rPr>
          <w:sz w:val="20"/>
          <w:lang w:val="en-GB" w:eastAsia="zh-CN"/>
        </w:rPr>
        <w:t xml:space="preserve"> Carty and </w:t>
      </w:r>
      <w:proofErr w:type="spellStart"/>
      <w:r w:rsidRPr="001830BB">
        <w:rPr>
          <w:sz w:val="20"/>
          <w:lang w:val="en-GB" w:eastAsia="zh-CN"/>
        </w:rPr>
        <w:t>Hongyi</w:t>
      </w:r>
      <w:proofErr w:type="spellEnd"/>
      <w:r w:rsidRPr="001830BB">
        <w:rPr>
          <w:sz w:val="20"/>
          <w:lang w:val="en-GB" w:eastAsia="zh-CN"/>
        </w:rPr>
        <w:t xml:space="preserve"> Xu. </w:t>
      </w:r>
      <w:r w:rsidR="00101739">
        <w:rPr>
          <w:sz w:val="20"/>
          <w:lang w:val="en-GB" w:eastAsia="zh-CN"/>
        </w:rPr>
        <w:t xml:space="preserve">Under the guidance of AA Team Leaders Victor </w:t>
      </w:r>
      <w:proofErr w:type="spellStart"/>
      <w:r w:rsidR="00101739">
        <w:rPr>
          <w:sz w:val="20"/>
          <w:lang w:val="en-GB" w:eastAsia="zh-CN"/>
        </w:rPr>
        <w:t>Munagala</w:t>
      </w:r>
      <w:proofErr w:type="spellEnd"/>
      <w:r w:rsidR="00101739">
        <w:rPr>
          <w:sz w:val="20"/>
          <w:lang w:val="en-GB" w:eastAsia="zh-CN"/>
        </w:rPr>
        <w:t xml:space="preserve"> and Harrison Papworth, </w:t>
      </w:r>
      <w:proofErr w:type="spellStart"/>
      <w:r w:rsidR="005C34DB">
        <w:rPr>
          <w:sz w:val="20"/>
          <w:lang w:val="en-GB" w:eastAsia="zh-CN"/>
        </w:rPr>
        <w:t>Jak</w:t>
      </w:r>
      <w:proofErr w:type="spellEnd"/>
      <w:r w:rsidR="005C34DB">
        <w:rPr>
          <w:sz w:val="20"/>
          <w:lang w:val="en-GB" w:eastAsia="zh-CN"/>
        </w:rPr>
        <w:t xml:space="preserve"> and </w:t>
      </w:r>
      <w:proofErr w:type="spellStart"/>
      <w:r w:rsidR="005C34DB">
        <w:rPr>
          <w:sz w:val="20"/>
          <w:lang w:val="en-GB" w:eastAsia="zh-CN"/>
        </w:rPr>
        <w:t>Hongyi</w:t>
      </w:r>
      <w:proofErr w:type="spellEnd"/>
      <w:r w:rsidR="005C34DB">
        <w:rPr>
          <w:sz w:val="20"/>
          <w:lang w:val="en-GB" w:eastAsia="zh-CN"/>
        </w:rPr>
        <w:t xml:space="preserve"> </w:t>
      </w:r>
      <w:r w:rsidR="00101739">
        <w:rPr>
          <w:sz w:val="20"/>
          <w:lang w:val="en-GB" w:eastAsia="zh-CN"/>
        </w:rPr>
        <w:t>have</w:t>
      </w:r>
      <w:r w:rsidR="005C34DB">
        <w:rPr>
          <w:sz w:val="20"/>
          <w:lang w:val="en-GB" w:eastAsia="zh-CN"/>
        </w:rPr>
        <w:t xml:space="preserve"> be</w:t>
      </w:r>
      <w:r w:rsidR="00101739">
        <w:rPr>
          <w:sz w:val="20"/>
          <w:lang w:val="en-GB" w:eastAsia="zh-CN"/>
        </w:rPr>
        <w:t>en</w:t>
      </w:r>
      <w:r w:rsidR="005C34DB">
        <w:rPr>
          <w:sz w:val="20"/>
          <w:lang w:val="en-GB" w:eastAsia="zh-CN"/>
        </w:rPr>
        <w:t xml:space="preserve"> </w:t>
      </w:r>
      <w:r w:rsidRPr="001830BB">
        <w:rPr>
          <w:sz w:val="20"/>
          <w:lang w:val="en-GB" w:eastAsia="zh-CN"/>
        </w:rPr>
        <w:t xml:space="preserve">assisting with the design of </w:t>
      </w:r>
      <w:r w:rsidR="002F1A15">
        <w:rPr>
          <w:sz w:val="20"/>
          <w:lang w:val="en-GB" w:eastAsia="zh-CN"/>
        </w:rPr>
        <w:t xml:space="preserve">the </w:t>
      </w:r>
      <w:r w:rsidR="003E5366">
        <w:rPr>
          <w:sz w:val="20"/>
          <w:lang w:val="en-GB" w:eastAsia="zh-CN"/>
        </w:rPr>
        <w:t xml:space="preserve">AA </w:t>
      </w:r>
      <w:r w:rsidR="005C34DB">
        <w:rPr>
          <w:sz w:val="20"/>
          <w:lang w:val="en-GB" w:eastAsia="zh-CN"/>
        </w:rPr>
        <w:t xml:space="preserve">IP </w:t>
      </w:r>
      <w:r w:rsidR="00987781">
        <w:rPr>
          <w:sz w:val="20"/>
          <w:lang w:val="en-GB" w:eastAsia="zh-CN"/>
        </w:rPr>
        <w:t xml:space="preserve">and </w:t>
      </w:r>
      <w:r w:rsidR="00101739">
        <w:rPr>
          <w:sz w:val="20"/>
          <w:lang w:val="en-GB" w:eastAsia="zh-CN"/>
        </w:rPr>
        <w:t>development of the models that will be used to analyse asset classes. They also took it upon themselves to present to the entire SMF team on some of the foundation concepts that will underpin the AA IP</w:t>
      </w:r>
      <w:r w:rsidR="00AE5D6A">
        <w:rPr>
          <w:sz w:val="20"/>
          <w:lang w:val="en-GB" w:eastAsia="zh-CN"/>
        </w:rPr>
        <w:t xml:space="preserve">. </w:t>
      </w:r>
      <w:r w:rsidR="00457409">
        <w:rPr>
          <w:sz w:val="20"/>
          <w:lang w:val="en-GB" w:eastAsia="zh-CN"/>
        </w:rPr>
        <w:t xml:space="preserve">The input of the new junior members </w:t>
      </w:r>
      <w:r w:rsidR="00E8386E">
        <w:rPr>
          <w:sz w:val="20"/>
          <w:lang w:val="en-GB" w:eastAsia="zh-CN"/>
        </w:rPr>
        <w:t>is proving</w:t>
      </w:r>
      <w:r w:rsidR="00457409">
        <w:rPr>
          <w:sz w:val="20"/>
          <w:lang w:val="en-GB" w:eastAsia="zh-CN"/>
        </w:rPr>
        <w:t xml:space="preserve"> highly valuable for the AA team</w:t>
      </w:r>
      <w:r w:rsidR="00101739">
        <w:rPr>
          <w:sz w:val="20"/>
          <w:lang w:val="en-GB" w:eastAsia="zh-CN"/>
        </w:rPr>
        <w:t>,</w:t>
      </w:r>
      <w:r w:rsidR="00457409">
        <w:rPr>
          <w:sz w:val="20"/>
          <w:lang w:val="en-GB" w:eastAsia="zh-CN"/>
        </w:rPr>
        <w:t xml:space="preserve"> which has been presented with a steep learning curve </w:t>
      </w:r>
      <w:r w:rsidR="00101739">
        <w:rPr>
          <w:sz w:val="20"/>
          <w:lang w:val="en-GB" w:eastAsia="zh-CN"/>
        </w:rPr>
        <w:t>given that</w:t>
      </w:r>
      <w:r w:rsidR="00B97635">
        <w:rPr>
          <w:sz w:val="20"/>
          <w:lang w:val="en-GB" w:eastAsia="zh-CN"/>
        </w:rPr>
        <w:t xml:space="preserve"> the team has been unable to draw from </w:t>
      </w:r>
      <w:r w:rsidR="00186A0E">
        <w:rPr>
          <w:sz w:val="20"/>
          <w:lang w:val="en-GB" w:eastAsia="zh-CN"/>
        </w:rPr>
        <w:t xml:space="preserve">conventional courses and has instead started </w:t>
      </w:r>
      <w:r w:rsidR="00101739">
        <w:rPr>
          <w:sz w:val="20"/>
          <w:lang w:val="en-GB" w:eastAsia="zh-CN"/>
        </w:rPr>
        <w:t xml:space="preserve">building its IP </w:t>
      </w:r>
      <w:r w:rsidR="00186A0E">
        <w:rPr>
          <w:sz w:val="20"/>
          <w:lang w:val="en-GB" w:eastAsia="zh-CN"/>
        </w:rPr>
        <w:t xml:space="preserve">from scratch. </w:t>
      </w:r>
    </w:p>
    <w:p w14:paraId="17F66695" w14:textId="77777777" w:rsidR="002027BE" w:rsidRDefault="00293FDB" w:rsidP="002027BE">
      <w:pPr>
        <w:pStyle w:val="Heading2"/>
        <w:rPr>
          <w:lang w:eastAsia="zh-CN"/>
        </w:rPr>
      </w:pPr>
      <w:bookmarkStart w:id="15" w:name="_Toc524277818"/>
      <w:proofErr w:type="spellStart"/>
      <w:r>
        <w:rPr>
          <w:lang w:eastAsia="zh-CN"/>
        </w:rPr>
        <w:t>AAE</w:t>
      </w:r>
      <w:proofErr w:type="spellEnd"/>
      <w:r>
        <w:rPr>
          <w:lang w:eastAsia="zh-CN"/>
        </w:rPr>
        <w:t xml:space="preserve"> Team</w:t>
      </w:r>
      <w:bookmarkEnd w:id="15"/>
    </w:p>
    <w:p w14:paraId="62CA0FC2" w14:textId="77777777" w:rsidR="006235D5" w:rsidRPr="0086135B" w:rsidRDefault="00D17B76" w:rsidP="009866C0">
      <w:pPr>
        <w:rPr>
          <w:sz w:val="20"/>
          <w:lang w:val="en-GB" w:eastAsia="zh-CN"/>
        </w:rPr>
      </w:pPr>
      <w:r w:rsidRPr="0086135B">
        <w:rPr>
          <w:sz w:val="20"/>
          <w:lang w:val="en-GB" w:eastAsia="zh-CN"/>
        </w:rPr>
        <w:t xml:space="preserve">The </w:t>
      </w:r>
      <w:proofErr w:type="spellStart"/>
      <w:r w:rsidRPr="0086135B">
        <w:rPr>
          <w:sz w:val="20"/>
          <w:lang w:val="en-GB" w:eastAsia="zh-CN"/>
        </w:rPr>
        <w:t>AAE</w:t>
      </w:r>
      <w:proofErr w:type="spellEnd"/>
      <w:r w:rsidRPr="0086135B">
        <w:rPr>
          <w:sz w:val="20"/>
          <w:lang w:val="en-GB" w:eastAsia="zh-CN"/>
        </w:rPr>
        <w:t xml:space="preserve"> team </w:t>
      </w:r>
      <w:r w:rsidR="008424F1">
        <w:rPr>
          <w:sz w:val="20"/>
          <w:lang w:val="en-GB" w:eastAsia="zh-CN"/>
        </w:rPr>
        <w:t xml:space="preserve">is </w:t>
      </w:r>
      <w:r w:rsidRPr="0086135B">
        <w:rPr>
          <w:sz w:val="20"/>
          <w:lang w:val="en-GB" w:eastAsia="zh-CN"/>
        </w:rPr>
        <w:t xml:space="preserve">the most advanced of the four </w:t>
      </w:r>
      <w:r w:rsidR="008424F1">
        <w:rPr>
          <w:sz w:val="20"/>
          <w:lang w:val="en-GB" w:eastAsia="zh-CN"/>
        </w:rPr>
        <w:t xml:space="preserve">SMF </w:t>
      </w:r>
      <w:r w:rsidRPr="0086135B">
        <w:rPr>
          <w:sz w:val="20"/>
          <w:lang w:val="en-GB" w:eastAsia="zh-CN"/>
        </w:rPr>
        <w:t>teams</w:t>
      </w:r>
      <w:r w:rsidR="008424F1">
        <w:rPr>
          <w:sz w:val="20"/>
          <w:lang w:val="en-GB" w:eastAsia="zh-CN"/>
        </w:rPr>
        <w:t xml:space="preserve">, having completed its IP and </w:t>
      </w:r>
      <w:r w:rsidR="00E8386E">
        <w:rPr>
          <w:sz w:val="20"/>
          <w:lang w:val="en-GB" w:eastAsia="zh-CN"/>
        </w:rPr>
        <w:t xml:space="preserve">made </w:t>
      </w:r>
      <w:r w:rsidR="008424F1">
        <w:rPr>
          <w:sz w:val="20"/>
          <w:lang w:val="en-GB" w:eastAsia="zh-CN"/>
        </w:rPr>
        <w:t xml:space="preserve">initial investments in Rio Tinto and Telstra at the end of Semester 1, 2018. The </w:t>
      </w:r>
      <w:proofErr w:type="spellStart"/>
      <w:r w:rsidR="008424F1">
        <w:rPr>
          <w:sz w:val="20"/>
          <w:lang w:val="en-GB" w:eastAsia="zh-CN"/>
        </w:rPr>
        <w:t>AAE</w:t>
      </w:r>
      <w:proofErr w:type="spellEnd"/>
      <w:r w:rsidR="008424F1">
        <w:rPr>
          <w:sz w:val="20"/>
          <w:lang w:val="en-GB" w:eastAsia="zh-CN"/>
        </w:rPr>
        <w:t xml:space="preserve"> </w:t>
      </w:r>
      <w:r w:rsidR="00C626BE">
        <w:rPr>
          <w:sz w:val="20"/>
          <w:lang w:val="en-GB" w:eastAsia="zh-CN"/>
        </w:rPr>
        <w:t xml:space="preserve">team </w:t>
      </w:r>
      <w:r w:rsidR="008424F1">
        <w:rPr>
          <w:sz w:val="20"/>
          <w:lang w:val="en-GB" w:eastAsia="zh-CN"/>
        </w:rPr>
        <w:t xml:space="preserve">has benefitted from </w:t>
      </w:r>
      <w:r w:rsidR="004403AD" w:rsidRPr="0086135B">
        <w:rPr>
          <w:sz w:val="20"/>
          <w:lang w:val="en-GB" w:eastAsia="zh-CN"/>
        </w:rPr>
        <w:t>the similarity</w:t>
      </w:r>
      <w:r w:rsidR="00A37531" w:rsidRPr="0086135B">
        <w:rPr>
          <w:sz w:val="20"/>
          <w:lang w:val="en-GB" w:eastAsia="zh-CN"/>
        </w:rPr>
        <w:t xml:space="preserve"> between </w:t>
      </w:r>
      <w:r w:rsidR="008424F1">
        <w:rPr>
          <w:sz w:val="20"/>
          <w:lang w:val="en-GB" w:eastAsia="zh-CN"/>
        </w:rPr>
        <w:t xml:space="preserve">the </w:t>
      </w:r>
      <w:proofErr w:type="spellStart"/>
      <w:r w:rsidR="00A37531" w:rsidRPr="0086135B">
        <w:rPr>
          <w:sz w:val="20"/>
          <w:lang w:val="en-GB" w:eastAsia="zh-CN"/>
        </w:rPr>
        <w:t>AAE</w:t>
      </w:r>
      <w:proofErr w:type="spellEnd"/>
      <w:r w:rsidR="00A37531" w:rsidRPr="0086135B">
        <w:rPr>
          <w:sz w:val="20"/>
          <w:lang w:val="en-GB" w:eastAsia="zh-CN"/>
        </w:rPr>
        <w:t xml:space="preserve"> analysis and </w:t>
      </w:r>
      <w:r w:rsidR="004403AD" w:rsidRPr="0086135B">
        <w:rPr>
          <w:sz w:val="20"/>
          <w:lang w:val="en-GB" w:eastAsia="zh-CN"/>
        </w:rPr>
        <w:t>teaching provided in advanced finance courses</w:t>
      </w:r>
      <w:r w:rsidR="008424F1">
        <w:rPr>
          <w:sz w:val="20"/>
          <w:lang w:val="en-GB" w:eastAsia="zh-CN"/>
        </w:rPr>
        <w:t xml:space="preserve"> such as Corporate Valuation</w:t>
      </w:r>
      <w:r w:rsidR="004403AD" w:rsidRPr="0086135B">
        <w:rPr>
          <w:sz w:val="20"/>
          <w:lang w:val="en-GB" w:eastAsia="zh-CN"/>
        </w:rPr>
        <w:t xml:space="preserve">. This semester </w:t>
      </w:r>
      <w:r w:rsidR="00A37C03" w:rsidRPr="0086135B">
        <w:rPr>
          <w:sz w:val="20"/>
          <w:lang w:val="en-GB" w:eastAsia="zh-CN"/>
        </w:rPr>
        <w:t xml:space="preserve">the SMF </w:t>
      </w:r>
      <w:r w:rsidR="00351C80">
        <w:rPr>
          <w:sz w:val="20"/>
          <w:lang w:val="en-GB" w:eastAsia="zh-CN"/>
        </w:rPr>
        <w:t xml:space="preserve">has </w:t>
      </w:r>
      <w:r w:rsidR="00A37C03" w:rsidRPr="0086135B">
        <w:rPr>
          <w:sz w:val="20"/>
          <w:lang w:val="en-GB" w:eastAsia="zh-CN"/>
        </w:rPr>
        <w:t>welcome</w:t>
      </w:r>
      <w:r w:rsidR="00351C80">
        <w:rPr>
          <w:sz w:val="20"/>
          <w:lang w:val="en-GB" w:eastAsia="zh-CN"/>
        </w:rPr>
        <w:t>d</w:t>
      </w:r>
      <w:r w:rsidR="00A37C03" w:rsidRPr="0086135B">
        <w:rPr>
          <w:sz w:val="20"/>
          <w:lang w:val="en-GB" w:eastAsia="zh-CN"/>
        </w:rPr>
        <w:t xml:space="preserve"> </w:t>
      </w:r>
      <w:proofErr w:type="spellStart"/>
      <w:r w:rsidR="00A37C03" w:rsidRPr="0086135B">
        <w:rPr>
          <w:sz w:val="20"/>
          <w:lang w:val="en-GB" w:eastAsia="zh-CN"/>
        </w:rPr>
        <w:t>Ruxin</w:t>
      </w:r>
      <w:proofErr w:type="spellEnd"/>
      <w:r w:rsidR="00A37C03" w:rsidRPr="0086135B">
        <w:rPr>
          <w:sz w:val="20"/>
          <w:lang w:val="en-GB" w:eastAsia="zh-CN"/>
        </w:rPr>
        <w:t xml:space="preserve"> </w:t>
      </w:r>
      <w:r w:rsidR="00A159A4" w:rsidRPr="0086135B">
        <w:rPr>
          <w:sz w:val="20"/>
          <w:lang w:val="en-GB" w:eastAsia="zh-CN"/>
        </w:rPr>
        <w:t>(</w:t>
      </w:r>
      <w:proofErr w:type="spellStart"/>
      <w:r w:rsidR="00A159A4" w:rsidRPr="0086135B">
        <w:rPr>
          <w:sz w:val="20"/>
          <w:lang w:val="en-GB" w:eastAsia="zh-CN"/>
        </w:rPr>
        <w:t>Chasel</w:t>
      </w:r>
      <w:proofErr w:type="spellEnd"/>
      <w:r w:rsidR="00A159A4" w:rsidRPr="0086135B">
        <w:rPr>
          <w:sz w:val="20"/>
          <w:lang w:val="en-GB" w:eastAsia="zh-CN"/>
        </w:rPr>
        <w:t xml:space="preserve">) </w:t>
      </w:r>
      <w:r w:rsidR="00A37C03" w:rsidRPr="0086135B">
        <w:rPr>
          <w:sz w:val="20"/>
          <w:lang w:val="en-GB" w:eastAsia="zh-CN"/>
        </w:rPr>
        <w:t xml:space="preserve">Chi, </w:t>
      </w:r>
      <w:proofErr w:type="spellStart"/>
      <w:r w:rsidR="00A37C03" w:rsidRPr="0086135B">
        <w:rPr>
          <w:sz w:val="20"/>
          <w:lang w:val="en-GB" w:eastAsia="zh-CN"/>
        </w:rPr>
        <w:t>Chuxuan</w:t>
      </w:r>
      <w:proofErr w:type="spellEnd"/>
      <w:r w:rsidR="00A37C03" w:rsidRPr="0086135B">
        <w:rPr>
          <w:sz w:val="20"/>
          <w:lang w:val="en-GB" w:eastAsia="zh-CN"/>
        </w:rPr>
        <w:t xml:space="preserve"> </w:t>
      </w:r>
      <w:r w:rsidR="006D1145" w:rsidRPr="0086135B">
        <w:rPr>
          <w:sz w:val="20"/>
          <w:lang w:val="en-GB" w:eastAsia="zh-CN"/>
        </w:rPr>
        <w:t xml:space="preserve">(Jessie) </w:t>
      </w:r>
      <w:r w:rsidR="00A37C03" w:rsidRPr="0086135B">
        <w:rPr>
          <w:sz w:val="20"/>
          <w:lang w:val="en-GB" w:eastAsia="zh-CN"/>
        </w:rPr>
        <w:t xml:space="preserve">Jiang, </w:t>
      </w:r>
      <w:proofErr w:type="spellStart"/>
      <w:r w:rsidR="00A37C03" w:rsidRPr="0086135B">
        <w:rPr>
          <w:sz w:val="20"/>
          <w:lang w:val="en-GB" w:eastAsia="zh-CN"/>
        </w:rPr>
        <w:t>Aiyun</w:t>
      </w:r>
      <w:proofErr w:type="spellEnd"/>
      <w:r w:rsidR="00A37C03" w:rsidRPr="0086135B">
        <w:rPr>
          <w:sz w:val="20"/>
          <w:lang w:val="en-GB" w:eastAsia="zh-CN"/>
        </w:rPr>
        <w:t xml:space="preserve"> Li, </w:t>
      </w:r>
      <w:proofErr w:type="spellStart"/>
      <w:r w:rsidR="00A37C03" w:rsidRPr="0086135B">
        <w:rPr>
          <w:sz w:val="20"/>
          <w:lang w:val="en-GB" w:eastAsia="zh-CN"/>
        </w:rPr>
        <w:t>Jiaqi</w:t>
      </w:r>
      <w:proofErr w:type="spellEnd"/>
      <w:r w:rsidR="00A37C03" w:rsidRPr="0086135B">
        <w:rPr>
          <w:sz w:val="20"/>
          <w:lang w:val="en-GB" w:eastAsia="zh-CN"/>
        </w:rPr>
        <w:t xml:space="preserve"> Liu and </w:t>
      </w:r>
      <w:proofErr w:type="spellStart"/>
      <w:r w:rsidR="00A37C03" w:rsidRPr="0086135B">
        <w:rPr>
          <w:sz w:val="20"/>
          <w:lang w:val="en-GB" w:eastAsia="zh-CN"/>
        </w:rPr>
        <w:t>Chengxuan</w:t>
      </w:r>
      <w:proofErr w:type="spellEnd"/>
      <w:r w:rsidR="00A37C03" w:rsidRPr="0086135B">
        <w:rPr>
          <w:sz w:val="20"/>
          <w:lang w:val="en-GB" w:eastAsia="zh-CN"/>
        </w:rPr>
        <w:t xml:space="preserve"> </w:t>
      </w:r>
      <w:r w:rsidR="00A159A4" w:rsidRPr="0086135B">
        <w:rPr>
          <w:sz w:val="20"/>
          <w:lang w:val="en-GB" w:eastAsia="zh-CN"/>
        </w:rPr>
        <w:t xml:space="preserve">(Charles) </w:t>
      </w:r>
      <w:r w:rsidR="00A37C03" w:rsidRPr="0086135B">
        <w:rPr>
          <w:sz w:val="20"/>
          <w:lang w:val="en-GB" w:eastAsia="zh-CN"/>
        </w:rPr>
        <w:t xml:space="preserve">Zhang </w:t>
      </w:r>
      <w:r w:rsidR="00BD7951" w:rsidRPr="0086135B">
        <w:rPr>
          <w:sz w:val="20"/>
          <w:lang w:val="en-GB" w:eastAsia="zh-CN"/>
        </w:rPr>
        <w:t xml:space="preserve">as </w:t>
      </w:r>
      <w:r w:rsidR="00A37C03" w:rsidRPr="0086135B">
        <w:rPr>
          <w:sz w:val="20"/>
          <w:lang w:val="en-GB" w:eastAsia="zh-CN"/>
        </w:rPr>
        <w:t xml:space="preserve">junior analysts </w:t>
      </w:r>
      <w:r w:rsidR="00BD7951" w:rsidRPr="0086135B">
        <w:rPr>
          <w:sz w:val="20"/>
          <w:lang w:val="en-GB" w:eastAsia="zh-CN"/>
        </w:rPr>
        <w:t xml:space="preserve">in the </w:t>
      </w:r>
      <w:proofErr w:type="spellStart"/>
      <w:r w:rsidR="00BD7951" w:rsidRPr="0086135B">
        <w:rPr>
          <w:sz w:val="20"/>
          <w:lang w:val="en-GB" w:eastAsia="zh-CN"/>
        </w:rPr>
        <w:t>AAE</w:t>
      </w:r>
      <w:proofErr w:type="spellEnd"/>
      <w:r w:rsidR="00BD7951" w:rsidRPr="0086135B">
        <w:rPr>
          <w:sz w:val="20"/>
          <w:lang w:val="en-GB" w:eastAsia="zh-CN"/>
        </w:rPr>
        <w:t xml:space="preserve"> team. Utilising the </w:t>
      </w:r>
      <w:proofErr w:type="gramStart"/>
      <w:r w:rsidR="00EC1A3F" w:rsidRPr="0086135B">
        <w:rPr>
          <w:sz w:val="20"/>
          <w:lang w:val="en-GB" w:eastAsia="zh-CN"/>
        </w:rPr>
        <w:t>knowledge</w:t>
      </w:r>
      <w:proofErr w:type="gramEnd"/>
      <w:r w:rsidR="00EC1A3F" w:rsidRPr="0086135B">
        <w:rPr>
          <w:sz w:val="20"/>
          <w:lang w:val="en-GB" w:eastAsia="zh-CN"/>
        </w:rPr>
        <w:t xml:space="preserve"> </w:t>
      </w:r>
      <w:r w:rsidR="00BD7951" w:rsidRPr="0086135B">
        <w:rPr>
          <w:sz w:val="20"/>
          <w:lang w:val="en-GB" w:eastAsia="zh-CN"/>
        </w:rPr>
        <w:t xml:space="preserve">they have acquired from previous courses and the </w:t>
      </w:r>
      <w:r w:rsidR="00FD2449" w:rsidRPr="0086135B">
        <w:rPr>
          <w:sz w:val="20"/>
          <w:lang w:val="en-GB" w:eastAsia="zh-CN"/>
        </w:rPr>
        <w:t xml:space="preserve">teaching provided by senior </w:t>
      </w:r>
      <w:proofErr w:type="spellStart"/>
      <w:r w:rsidR="00FD2449" w:rsidRPr="0086135B">
        <w:rPr>
          <w:sz w:val="20"/>
          <w:lang w:val="en-GB" w:eastAsia="zh-CN"/>
        </w:rPr>
        <w:t>AAE</w:t>
      </w:r>
      <w:proofErr w:type="spellEnd"/>
      <w:r w:rsidR="00FD2449" w:rsidRPr="0086135B">
        <w:rPr>
          <w:sz w:val="20"/>
          <w:lang w:val="en-GB" w:eastAsia="zh-CN"/>
        </w:rPr>
        <w:t xml:space="preserve"> team members</w:t>
      </w:r>
      <w:r w:rsidR="0011363B">
        <w:rPr>
          <w:sz w:val="20"/>
          <w:lang w:val="en-GB" w:eastAsia="zh-CN"/>
        </w:rPr>
        <w:t xml:space="preserve"> (Isabella Mortimore, Wayne Wang and Zhan Zhang)</w:t>
      </w:r>
      <w:r w:rsidR="00FD2449" w:rsidRPr="0086135B">
        <w:rPr>
          <w:sz w:val="20"/>
          <w:lang w:val="en-GB" w:eastAsia="zh-CN"/>
        </w:rPr>
        <w:t xml:space="preserve">, the junior analysts </w:t>
      </w:r>
      <w:r w:rsidR="0011363B">
        <w:rPr>
          <w:sz w:val="20"/>
          <w:lang w:val="en-GB" w:eastAsia="zh-CN"/>
        </w:rPr>
        <w:t xml:space="preserve">have been taking </w:t>
      </w:r>
      <w:r w:rsidR="00FD2449" w:rsidRPr="0086135B">
        <w:rPr>
          <w:sz w:val="20"/>
          <w:lang w:val="en-GB" w:eastAsia="zh-CN"/>
        </w:rPr>
        <w:t xml:space="preserve">primary responsibility </w:t>
      </w:r>
      <w:r w:rsidR="0011363B">
        <w:rPr>
          <w:sz w:val="20"/>
          <w:lang w:val="en-GB" w:eastAsia="zh-CN"/>
        </w:rPr>
        <w:t>for</w:t>
      </w:r>
      <w:r w:rsidR="00FD2449" w:rsidRPr="0086135B">
        <w:rPr>
          <w:sz w:val="20"/>
          <w:lang w:val="en-GB" w:eastAsia="zh-CN"/>
        </w:rPr>
        <w:t xml:space="preserve"> undertak</w:t>
      </w:r>
      <w:r w:rsidR="0011363B">
        <w:rPr>
          <w:sz w:val="20"/>
          <w:lang w:val="en-GB" w:eastAsia="zh-CN"/>
        </w:rPr>
        <w:t>ing</w:t>
      </w:r>
      <w:r w:rsidR="00FD2449" w:rsidRPr="0086135B">
        <w:rPr>
          <w:sz w:val="20"/>
          <w:lang w:val="en-GB" w:eastAsia="zh-CN"/>
        </w:rPr>
        <w:t xml:space="preserve"> stock analysis</w:t>
      </w:r>
      <w:r w:rsidR="0011363B">
        <w:rPr>
          <w:sz w:val="20"/>
          <w:lang w:val="en-GB" w:eastAsia="zh-CN"/>
        </w:rPr>
        <w:t xml:space="preserve"> and </w:t>
      </w:r>
      <w:r w:rsidR="0086135B" w:rsidRPr="0086135B">
        <w:rPr>
          <w:sz w:val="20"/>
          <w:lang w:val="en-GB" w:eastAsia="zh-CN"/>
        </w:rPr>
        <w:t>writ</w:t>
      </w:r>
      <w:r w:rsidR="0011363B">
        <w:rPr>
          <w:sz w:val="20"/>
          <w:lang w:val="en-GB" w:eastAsia="zh-CN"/>
        </w:rPr>
        <w:t>ing</w:t>
      </w:r>
      <w:r w:rsidR="0086135B" w:rsidRPr="0086135B">
        <w:rPr>
          <w:sz w:val="20"/>
          <w:lang w:val="en-GB" w:eastAsia="zh-CN"/>
        </w:rPr>
        <w:t xml:space="preserve"> stock reports</w:t>
      </w:r>
      <w:r w:rsidR="002F1A15">
        <w:rPr>
          <w:sz w:val="20"/>
          <w:lang w:val="en-GB" w:eastAsia="zh-CN"/>
        </w:rPr>
        <w:t xml:space="preserve">. This process is </w:t>
      </w:r>
      <w:r w:rsidR="003E5366">
        <w:rPr>
          <w:sz w:val="20"/>
          <w:lang w:val="en-GB" w:eastAsia="zh-CN"/>
        </w:rPr>
        <w:t xml:space="preserve">almost </w:t>
      </w:r>
      <w:r w:rsidR="002F1A15">
        <w:rPr>
          <w:sz w:val="20"/>
          <w:lang w:val="en-GB" w:eastAsia="zh-CN"/>
        </w:rPr>
        <w:t>completed</w:t>
      </w:r>
      <w:r w:rsidR="003E5366">
        <w:rPr>
          <w:sz w:val="20"/>
          <w:lang w:val="en-GB" w:eastAsia="zh-CN"/>
        </w:rPr>
        <w:t>,</w:t>
      </w:r>
      <w:r w:rsidR="002F1A15">
        <w:rPr>
          <w:sz w:val="20"/>
          <w:lang w:val="en-GB" w:eastAsia="zh-CN"/>
        </w:rPr>
        <w:t xml:space="preserve"> with the intention of </w:t>
      </w:r>
      <w:r w:rsidR="0086135B" w:rsidRPr="0086135B">
        <w:rPr>
          <w:sz w:val="20"/>
          <w:lang w:val="en-GB" w:eastAsia="zh-CN"/>
        </w:rPr>
        <w:t>presenting additional investment proposals to the IAC for endorsement</w:t>
      </w:r>
      <w:r w:rsidR="003E5366">
        <w:rPr>
          <w:sz w:val="20"/>
          <w:lang w:val="en-GB" w:eastAsia="zh-CN"/>
        </w:rPr>
        <w:t xml:space="preserve"> soon</w:t>
      </w:r>
      <w:r w:rsidR="0086135B" w:rsidRPr="0086135B">
        <w:rPr>
          <w:sz w:val="20"/>
          <w:lang w:val="en-GB" w:eastAsia="zh-CN"/>
        </w:rPr>
        <w:t xml:space="preserve">. </w:t>
      </w:r>
      <w:r w:rsidR="00FD2449" w:rsidRPr="0086135B">
        <w:rPr>
          <w:sz w:val="20"/>
          <w:lang w:val="en-GB" w:eastAsia="zh-CN"/>
        </w:rPr>
        <w:t xml:space="preserve"> </w:t>
      </w:r>
    </w:p>
    <w:p w14:paraId="7CCB7711" w14:textId="77777777" w:rsidR="00293FDB" w:rsidRDefault="00293FDB" w:rsidP="00293FDB">
      <w:pPr>
        <w:pStyle w:val="Heading2"/>
        <w:rPr>
          <w:lang w:eastAsia="zh-CN"/>
        </w:rPr>
      </w:pPr>
      <w:bookmarkStart w:id="16" w:name="_Toc524277819"/>
      <w:proofErr w:type="spellStart"/>
      <w:r>
        <w:rPr>
          <w:lang w:eastAsia="zh-CN"/>
        </w:rPr>
        <w:t>R&amp;C</w:t>
      </w:r>
      <w:proofErr w:type="spellEnd"/>
      <w:r>
        <w:rPr>
          <w:lang w:eastAsia="zh-CN"/>
        </w:rPr>
        <w:t xml:space="preserve"> Team</w:t>
      </w:r>
      <w:bookmarkEnd w:id="16"/>
    </w:p>
    <w:p w14:paraId="24A3AF1A" w14:textId="77777777" w:rsidR="006235D5" w:rsidRPr="006235D5" w:rsidRDefault="008140E5" w:rsidP="009866C0">
      <w:pPr>
        <w:rPr>
          <w:sz w:val="20"/>
          <w:lang w:val="en-GB" w:eastAsia="zh-CN"/>
        </w:rPr>
      </w:pPr>
      <w:proofErr w:type="spellStart"/>
      <w:r w:rsidRPr="009A4E88">
        <w:rPr>
          <w:sz w:val="20"/>
          <w:lang w:val="en-GB" w:eastAsia="zh-CN"/>
        </w:rPr>
        <w:t>Azmina</w:t>
      </w:r>
      <w:proofErr w:type="spellEnd"/>
      <w:r w:rsidRPr="009A4E88">
        <w:rPr>
          <w:sz w:val="20"/>
          <w:lang w:val="en-GB" w:eastAsia="zh-CN"/>
        </w:rPr>
        <w:t xml:space="preserve"> Hossain and Saurav Patel</w:t>
      </w:r>
      <w:r w:rsidR="00294C84">
        <w:rPr>
          <w:sz w:val="20"/>
          <w:lang w:val="en-GB" w:eastAsia="zh-CN"/>
        </w:rPr>
        <w:t xml:space="preserve"> (50%)</w:t>
      </w:r>
      <w:r w:rsidR="00351C80">
        <w:rPr>
          <w:sz w:val="20"/>
          <w:lang w:val="en-GB" w:eastAsia="zh-CN"/>
        </w:rPr>
        <w:t xml:space="preserve"> have joined the </w:t>
      </w:r>
      <w:proofErr w:type="spellStart"/>
      <w:r w:rsidR="00351C80">
        <w:rPr>
          <w:sz w:val="20"/>
          <w:lang w:val="en-GB" w:eastAsia="zh-CN"/>
        </w:rPr>
        <w:t>R&amp;C</w:t>
      </w:r>
      <w:proofErr w:type="spellEnd"/>
      <w:r w:rsidR="00351C80">
        <w:rPr>
          <w:sz w:val="20"/>
          <w:lang w:val="en-GB" w:eastAsia="zh-CN"/>
        </w:rPr>
        <w:t xml:space="preserve"> team as junior analysts</w:t>
      </w:r>
      <w:r w:rsidRPr="009A4E88">
        <w:rPr>
          <w:sz w:val="20"/>
          <w:lang w:val="en-GB" w:eastAsia="zh-CN"/>
        </w:rPr>
        <w:t>.</w:t>
      </w:r>
      <w:r w:rsidR="004F00DA">
        <w:rPr>
          <w:sz w:val="20"/>
          <w:lang w:val="en-GB" w:eastAsia="zh-CN"/>
        </w:rPr>
        <w:t xml:space="preserve"> This introduction will assist the </w:t>
      </w:r>
      <w:proofErr w:type="spellStart"/>
      <w:r w:rsidR="004F00DA">
        <w:rPr>
          <w:sz w:val="20"/>
          <w:lang w:val="en-GB" w:eastAsia="zh-CN"/>
        </w:rPr>
        <w:t>R&amp;C</w:t>
      </w:r>
      <w:proofErr w:type="spellEnd"/>
      <w:r w:rsidR="004F00DA">
        <w:rPr>
          <w:sz w:val="20"/>
          <w:lang w:val="en-GB" w:eastAsia="zh-CN"/>
        </w:rPr>
        <w:t xml:space="preserve"> team in furthering its progress regarding SRI and </w:t>
      </w:r>
      <w:r w:rsidR="00282C1E">
        <w:rPr>
          <w:sz w:val="20"/>
          <w:lang w:val="en-GB" w:eastAsia="zh-CN"/>
        </w:rPr>
        <w:t>Risk Management.</w:t>
      </w:r>
      <w:r w:rsidR="00EE5136">
        <w:rPr>
          <w:sz w:val="20"/>
          <w:lang w:val="en-GB" w:eastAsia="zh-CN"/>
        </w:rPr>
        <w:t xml:space="preserve"> </w:t>
      </w:r>
      <w:r w:rsidR="00282C1E">
        <w:rPr>
          <w:sz w:val="20"/>
          <w:lang w:val="en-GB" w:eastAsia="zh-CN"/>
        </w:rPr>
        <w:t>The junior analysts</w:t>
      </w:r>
      <w:r w:rsidR="002F1A15">
        <w:rPr>
          <w:sz w:val="20"/>
          <w:lang w:val="en-GB" w:eastAsia="zh-CN"/>
        </w:rPr>
        <w:t xml:space="preserve">, </w:t>
      </w:r>
      <w:r w:rsidR="000A0EB7">
        <w:rPr>
          <w:sz w:val="20"/>
          <w:lang w:val="en-GB" w:eastAsia="zh-CN"/>
        </w:rPr>
        <w:t>with the assistance of</w:t>
      </w:r>
      <w:r w:rsidR="002F1A15">
        <w:rPr>
          <w:sz w:val="20"/>
          <w:lang w:val="en-GB" w:eastAsia="zh-CN"/>
        </w:rPr>
        <w:t xml:space="preserve"> senior team members Lanyu</w:t>
      </w:r>
      <w:r w:rsidR="000A0EB7">
        <w:rPr>
          <w:sz w:val="20"/>
          <w:lang w:val="en-GB" w:eastAsia="zh-CN"/>
        </w:rPr>
        <w:t xml:space="preserve"> Zhang and </w:t>
      </w:r>
      <w:proofErr w:type="spellStart"/>
      <w:r w:rsidR="000A0EB7">
        <w:rPr>
          <w:sz w:val="20"/>
          <w:lang w:val="en-GB" w:eastAsia="zh-CN"/>
        </w:rPr>
        <w:t>Zhon</w:t>
      </w:r>
      <w:r w:rsidR="00F80C06">
        <w:rPr>
          <w:sz w:val="20"/>
          <w:lang w:val="en-GB" w:eastAsia="zh-CN"/>
        </w:rPr>
        <w:t>gxi</w:t>
      </w:r>
      <w:proofErr w:type="spellEnd"/>
      <w:r w:rsidR="00F80C06">
        <w:rPr>
          <w:sz w:val="20"/>
          <w:lang w:val="en-GB" w:eastAsia="zh-CN"/>
        </w:rPr>
        <w:t xml:space="preserve"> Zheng</w:t>
      </w:r>
      <w:r w:rsidR="003A74C7">
        <w:rPr>
          <w:sz w:val="20"/>
          <w:lang w:val="en-GB" w:eastAsia="zh-CN"/>
        </w:rPr>
        <w:t>,</w:t>
      </w:r>
      <w:r w:rsidR="00F80C06">
        <w:rPr>
          <w:sz w:val="20"/>
          <w:lang w:val="en-GB" w:eastAsia="zh-CN"/>
        </w:rPr>
        <w:t xml:space="preserve"> </w:t>
      </w:r>
      <w:r w:rsidR="007269E3">
        <w:rPr>
          <w:sz w:val="20"/>
          <w:lang w:val="en-GB" w:eastAsia="zh-CN"/>
        </w:rPr>
        <w:t>have</w:t>
      </w:r>
      <w:r w:rsidR="002F1A15">
        <w:rPr>
          <w:sz w:val="20"/>
          <w:lang w:val="en-GB" w:eastAsia="zh-CN"/>
        </w:rPr>
        <w:t xml:space="preserve"> </w:t>
      </w:r>
      <w:r w:rsidR="00206CC1">
        <w:rPr>
          <w:sz w:val="20"/>
          <w:lang w:val="en-GB" w:eastAsia="zh-CN"/>
        </w:rPr>
        <w:t>been performing</w:t>
      </w:r>
      <w:r w:rsidR="002918BE">
        <w:rPr>
          <w:sz w:val="20"/>
          <w:lang w:val="en-GB" w:eastAsia="zh-CN"/>
        </w:rPr>
        <w:t xml:space="preserve"> </w:t>
      </w:r>
      <w:r w:rsidR="00AA3EBF">
        <w:rPr>
          <w:sz w:val="20"/>
          <w:lang w:val="en-GB" w:eastAsia="zh-CN"/>
        </w:rPr>
        <w:t xml:space="preserve">risk and SRI </w:t>
      </w:r>
      <w:r w:rsidR="00C626BE">
        <w:rPr>
          <w:sz w:val="20"/>
          <w:lang w:val="en-GB" w:eastAsia="zh-CN"/>
        </w:rPr>
        <w:t xml:space="preserve">evaluation </w:t>
      </w:r>
      <w:r w:rsidR="00AA3EBF">
        <w:rPr>
          <w:sz w:val="20"/>
          <w:lang w:val="en-GB" w:eastAsia="zh-CN"/>
        </w:rPr>
        <w:t xml:space="preserve">on the </w:t>
      </w:r>
      <w:r w:rsidR="00761333">
        <w:rPr>
          <w:sz w:val="20"/>
          <w:lang w:val="en-GB" w:eastAsia="zh-CN"/>
        </w:rPr>
        <w:t>stock</w:t>
      </w:r>
      <w:r w:rsidR="002C5178">
        <w:rPr>
          <w:sz w:val="20"/>
          <w:lang w:val="en-GB" w:eastAsia="zh-CN"/>
        </w:rPr>
        <w:t xml:space="preserve">s selected by </w:t>
      </w:r>
      <w:proofErr w:type="spellStart"/>
      <w:r w:rsidR="002C5178">
        <w:rPr>
          <w:sz w:val="20"/>
          <w:lang w:val="en-GB" w:eastAsia="zh-CN"/>
        </w:rPr>
        <w:t>AAE</w:t>
      </w:r>
      <w:proofErr w:type="spellEnd"/>
      <w:r w:rsidR="002C5178">
        <w:rPr>
          <w:sz w:val="20"/>
          <w:lang w:val="en-GB" w:eastAsia="zh-CN"/>
        </w:rPr>
        <w:t xml:space="preserve"> for further analysis. </w:t>
      </w:r>
      <w:proofErr w:type="spellStart"/>
      <w:r w:rsidR="00B17F26">
        <w:rPr>
          <w:sz w:val="20"/>
          <w:lang w:val="en-GB" w:eastAsia="zh-CN"/>
        </w:rPr>
        <w:t>Azmina</w:t>
      </w:r>
      <w:proofErr w:type="spellEnd"/>
      <w:r w:rsidR="00B17F26">
        <w:rPr>
          <w:sz w:val="20"/>
          <w:lang w:val="en-GB" w:eastAsia="zh-CN"/>
        </w:rPr>
        <w:t xml:space="preserve"> and Saurav have also been advancing the funds </w:t>
      </w:r>
      <w:r w:rsidR="00D36C79">
        <w:rPr>
          <w:sz w:val="20"/>
          <w:lang w:val="en-GB" w:eastAsia="zh-CN"/>
        </w:rPr>
        <w:t>internal and external performance reporting</w:t>
      </w:r>
      <w:r w:rsidR="00C626BE">
        <w:rPr>
          <w:sz w:val="20"/>
          <w:lang w:val="en-GB" w:eastAsia="zh-CN"/>
        </w:rPr>
        <w:t>,</w:t>
      </w:r>
      <w:r w:rsidR="00D36C79">
        <w:rPr>
          <w:sz w:val="20"/>
          <w:lang w:val="en-GB" w:eastAsia="zh-CN"/>
        </w:rPr>
        <w:t xml:space="preserve"> </w:t>
      </w:r>
      <w:r w:rsidR="00C626BE">
        <w:rPr>
          <w:sz w:val="20"/>
          <w:lang w:val="en-GB" w:eastAsia="zh-CN"/>
        </w:rPr>
        <w:t xml:space="preserve">through </w:t>
      </w:r>
      <w:r w:rsidR="0028764E">
        <w:rPr>
          <w:sz w:val="20"/>
          <w:lang w:val="en-GB" w:eastAsia="zh-CN"/>
        </w:rPr>
        <w:t xml:space="preserve">their work </w:t>
      </w:r>
      <w:r w:rsidR="00C626BE">
        <w:rPr>
          <w:sz w:val="20"/>
          <w:lang w:val="en-GB" w:eastAsia="zh-CN"/>
        </w:rPr>
        <w:t xml:space="preserve">on </w:t>
      </w:r>
      <w:r w:rsidR="0028764E">
        <w:rPr>
          <w:sz w:val="20"/>
          <w:lang w:val="en-GB" w:eastAsia="zh-CN"/>
        </w:rPr>
        <w:t xml:space="preserve">performance attribution analysis and </w:t>
      </w:r>
      <w:r w:rsidR="00C626BE">
        <w:rPr>
          <w:sz w:val="20"/>
          <w:lang w:val="en-GB" w:eastAsia="zh-CN"/>
        </w:rPr>
        <w:t xml:space="preserve">providing </w:t>
      </w:r>
      <w:r w:rsidR="0028764E">
        <w:rPr>
          <w:sz w:val="20"/>
          <w:lang w:val="en-GB" w:eastAsia="zh-CN"/>
        </w:rPr>
        <w:t xml:space="preserve">weekly performance updates for the SMF. </w:t>
      </w:r>
      <w:r w:rsidR="00D36C79">
        <w:rPr>
          <w:sz w:val="20"/>
          <w:lang w:val="en-GB" w:eastAsia="zh-CN"/>
        </w:rPr>
        <w:t xml:space="preserve"> </w:t>
      </w:r>
      <w:r w:rsidR="00761333">
        <w:rPr>
          <w:sz w:val="20"/>
          <w:lang w:val="en-GB" w:eastAsia="zh-CN"/>
        </w:rPr>
        <w:t xml:space="preserve"> </w:t>
      </w:r>
    </w:p>
    <w:p w14:paraId="36814FE3" w14:textId="77777777" w:rsidR="00293FDB" w:rsidRPr="00466F52" w:rsidRDefault="00293FDB" w:rsidP="00293FDB">
      <w:pPr>
        <w:pStyle w:val="Heading2"/>
        <w:rPr>
          <w:sz w:val="20"/>
          <w:lang w:eastAsia="zh-CN"/>
        </w:rPr>
      </w:pPr>
      <w:bookmarkStart w:id="17" w:name="_Toc524277820"/>
      <w:r>
        <w:rPr>
          <w:lang w:eastAsia="zh-CN"/>
        </w:rPr>
        <w:t>Relationship Team</w:t>
      </w:r>
      <w:bookmarkEnd w:id="17"/>
    </w:p>
    <w:p w14:paraId="19E29055" w14:textId="77777777" w:rsidR="00293FDB" w:rsidRDefault="00B54E5B" w:rsidP="00293FDB">
      <w:pPr>
        <w:rPr>
          <w:sz w:val="20"/>
          <w:lang w:eastAsia="zh-CN"/>
        </w:rPr>
      </w:pPr>
      <w:r>
        <w:rPr>
          <w:sz w:val="20"/>
          <w:lang w:eastAsia="zh-CN"/>
        </w:rPr>
        <w:t xml:space="preserve">This </w:t>
      </w:r>
      <w:r w:rsidR="003E5366">
        <w:rPr>
          <w:sz w:val="20"/>
          <w:lang w:eastAsia="zh-CN"/>
        </w:rPr>
        <w:t>s</w:t>
      </w:r>
      <w:r>
        <w:rPr>
          <w:sz w:val="20"/>
          <w:lang w:eastAsia="zh-CN"/>
        </w:rPr>
        <w:t>emester see</w:t>
      </w:r>
      <w:r w:rsidR="003E5366">
        <w:rPr>
          <w:sz w:val="20"/>
          <w:lang w:eastAsia="zh-CN"/>
        </w:rPr>
        <w:t>s</w:t>
      </w:r>
      <w:r>
        <w:rPr>
          <w:sz w:val="20"/>
          <w:lang w:eastAsia="zh-CN"/>
        </w:rPr>
        <w:t xml:space="preserve"> the formation of a formal Relationship team, comprising Rory Roche and Saurav Patel (50%), who operate under the guidance of the </w:t>
      </w:r>
      <w:proofErr w:type="spellStart"/>
      <w:r>
        <w:rPr>
          <w:sz w:val="20"/>
          <w:lang w:eastAsia="zh-CN"/>
        </w:rPr>
        <w:t>CRO</w:t>
      </w:r>
      <w:proofErr w:type="spellEnd"/>
      <w:r>
        <w:rPr>
          <w:sz w:val="20"/>
          <w:lang w:eastAsia="zh-CN"/>
        </w:rPr>
        <w:t xml:space="preserve">, </w:t>
      </w:r>
      <w:proofErr w:type="spellStart"/>
      <w:r>
        <w:rPr>
          <w:sz w:val="20"/>
          <w:lang w:eastAsia="zh-CN"/>
        </w:rPr>
        <w:t>Zhongxi</w:t>
      </w:r>
      <w:proofErr w:type="spellEnd"/>
      <w:r>
        <w:rPr>
          <w:sz w:val="20"/>
          <w:lang w:eastAsia="zh-CN"/>
        </w:rPr>
        <w:t xml:space="preserve"> Zheng, and SMF CIO Alex Mai</w:t>
      </w:r>
      <w:r w:rsidR="003E5366">
        <w:rPr>
          <w:sz w:val="20"/>
          <w:lang w:eastAsia="zh-CN"/>
        </w:rPr>
        <w:t xml:space="preserve"> (</w:t>
      </w:r>
      <w:r>
        <w:rPr>
          <w:sz w:val="20"/>
          <w:lang w:eastAsia="zh-CN"/>
        </w:rPr>
        <w:t>who was the previous Relationship Manager</w:t>
      </w:r>
      <w:r w:rsidR="003E5366">
        <w:rPr>
          <w:sz w:val="20"/>
          <w:lang w:eastAsia="zh-CN"/>
        </w:rPr>
        <w:t>)</w:t>
      </w:r>
      <w:r>
        <w:rPr>
          <w:sz w:val="20"/>
          <w:lang w:eastAsia="zh-CN"/>
        </w:rPr>
        <w:t xml:space="preserve">. </w:t>
      </w:r>
      <w:r w:rsidR="00A52461">
        <w:rPr>
          <w:sz w:val="20"/>
          <w:lang w:eastAsia="zh-CN"/>
        </w:rPr>
        <w:t xml:space="preserve">The expansion of the </w:t>
      </w:r>
      <w:r w:rsidR="00BC15A9">
        <w:rPr>
          <w:sz w:val="20"/>
          <w:lang w:eastAsia="zh-CN"/>
        </w:rPr>
        <w:t>relation</w:t>
      </w:r>
      <w:r w:rsidR="00760E75">
        <w:rPr>
          <w:sz w:val="20"/>
          <w:lang w:eastAsia="zh-CN"/>
        </w:rPr>
        <w:t>ship</w:t>
      </w:r>
      <w:r w:rsidR="00BC15A9">
        <w:rPr>
          <w:sz w:val="20"/>
          <w:lang w:eastAsia="zh-CN"/>
        </w:rPr>
        <w:t xml:space="preserve"> </w:t>
      </w:r>
      <w:r>
        <w:rPr>
          <w:sz w:val="20"/>
          <w:lang w:eastAsia="zh-CN"/>
        </w:rPr>
        <w:t>function</w:t>
      </w:r>
      <w:r w:rsidR="00A52461">
        <w:rPr>
          <w:sz w:val="20"/>
          <w:lang w:eastAsia="zh-CN"/>
        </w:rPr>
        <w:t xml:space="preserve"> out from</w:t>
      </w:r>
      <w:r>
        <w:rPr>
          <w:sz w:val="20"/>
          <w:lang w:eastAsia="zh-CN"/>
        </w:rPr>
        <w:t xml:space="preserve"> </w:t>
      </w:r>
      <w:r w:rsidR="00D7692B">
        <w:rPr>
          <w:sz w:val="20"/>
          <w:lang w:eastAsia="zh-CN"/>
        </w:rPr>
        <w:t xml:space="preserve">within the </w:t>
      </w:r>
      <w:proofErr w:type="spellStart"/>
      <w:r w:rsidR="00D7692B">
        <w:rPr>
          <w:sz w:val="20"/>
          <w:lang w:eastAsia="zh-CN"/>
        </w:rPr>
        <w:t>R&amp;C</w:t>
      </w:r>
      <w:proofErr w:type="spellEnd"/>
      <w:r w:rsidR="00D7692B">
        <w:rPr>
          <w:sz w:val="20"/>
          <w:lang w:eastAsia="zh-CN"/>
        </w:rPr>
        <w:t xml:space="preserve"> team</w:t>
      </w:r>
      <w:r w:rsidR="00A52461">
        <w:rPr>
          <w:sz w:val="20"/>
          <w:lang w:eastAsia="zh-CN"/>
        </w:rPr>
        <w:t xml:space="preserve"> reflects the</w:t>
      </w:r>
      <w:r w:rsidR="00631B23">
        <w:rPr>
          <w:sz w:val="20"/>
          <w:lang w:eastAsia="zh-CN"/>
        </w:rPr>
        <w:t xml:space="preserve"> importance the Fund places on </w:t>
      </w:r>
      <w:r w:rsidR="008866EB">
        <w:rPr>
          <w:sz w:val="20"/>
          <w:lang w:eastAsia="zh-CN"/>
        </w:rPr>
        <w:t xml:space="preserve">the </w:t>
      </w:r>
      <w:r w:rsidR="00631B23">
        <w:rPr>
          <w:sz w:val="20"/>
          <w:lang w:eastAsia="zh-CN"/>
        </w:rPr>
        <w:t xml:space="preserve">communication of its activities and values, and </w:t>
      </w:r>
      <w:r w:rsidR="00363E2D">
        <w:rPr>
          <w:sz w:val="20"/>
          <w:lang w:eastAsia="zh-CN"/>
        </w:rPr>
        <w:t xml:space="preserve">on </w:t>
      </w:r>
      <w:r w:rsidR="00631B23">
        <w:rPr>
          <w:sz w:val="20"/>
          <w:lang w:eastAsia="zh-CN"/>
        </w:rPr>
        <w:t>attract</w:t>
      </w:r>
      <w:r w:rsidR="00363E2D">
        <w:rPr>
          <w:sz w:val="20"/>
          <w:lang w:eastAsia="zh-CN"/>
        </w:rPr>
        <w:t>ing</w:t>
      </w:r>
      <w:r w:rsidR="00631B23">
        <w:rPr>
          <w:sz w:val="20"/>
          <w:lang w:eastAsia="zh-CN"/>
        </w:rPr>
        <w:t xml:space="preserve"> </w:t>
      </w:r>
      <w:r w:rsidR="000468F8">
        <w:rPr>
          <w:sz w:val="20"/>
          <w:lang w:eastAsia="zh-CN"/>
        </w:rPr>
        <w:t>top</w:t>
      </w:r>
      <w:r w:rsidR="00363E2D">
        <w:rPr>
          <w:sz w:val="20"/>
          <w:lang w:eastAsia="zh-CN"/>
        </w:rPr>
        <w:t xml:space="preserve"> </w:t>
      </w:r>
      <w:r w:rsidR="000468F8">
        <w:rPr>
          <w:sz w:val="20"/>
          <w:lang w:eastAsia="zh-CN"/>
        </w:rPr>
        <w:t>students to continue the legacy of the SMF</w:t>
      </w:r>
      <w:r w:rsidR="004616E9">
        <w:rPr>
          <w:sz w:val="20"/>
          <w:lang w:eastAsia="zh-CN"/>
        </w:rPr>
        <w:t xml:space="preserve">. </w:t>
      </w:r>
      <w:r w:rsidR="002B2469">
        <w:rPr>
          <w:sz w:val="20"/>
          <w:lang w:eastAsia="zh-CN"/>
        </w:rPr>
        <w:t xml:space="preserve">The team </w:t>
      </w:r>
      <w:r w:rsidR="0011363B">
        <w:rPr>
          <w:sz w:val="20"/>
          <w:lang w:eastAsia="zh-CN"/>
        </w:rPr>
        <w:t>are developing the SMF’s</w:t>
      </w:r>
      <w:r w:rsidR="00193954">
        <w:rPr>
          <w:sz w:val="20"/>
          <w:lang w:eastAsia="zh-CN"/>
        </w:rPr>
        <w:t xml:space="preserve"> external </w:t>
      </w:r>
      <w:proofErr w:type="gramStart"/>
      <w:r w:rsidR="00193954">
        <w:rPr>
          <w:sz w:val="20"/>
          <w:lang w:eastAsia="zh-CN"/>
        </w:rPr>
        <w:t>communication</w:t>
      </w:r>
      <w:r w:rsidR="0011363B">
        <w:rPr>
          <w:sz w:val="20"/>
          <w:lang w:eastAsia="zh-CN"/>
        </w:rPr>
        <w:t xml:space="preserve">s, </w:t>
      </w:r>
      <w:r w:rsidR="00193954">
        <w:rPr>
          <w:sz w:val="20"/>
          <w:lang w:eastAsia="zh-CN"/>
        </w:rPr>
        <w:t>a</w:t>
      </w:r>
      <w:r w:rsidR="00387259">
        <w:rPr>
          <w:sz w:val="20"/>
          <w:lang w:eastAsia="zh-CN"/>
        </w:rPr>
        <w:t>nd</w:t>
      </w:r>
      <w:proofErr w:type="gramEnd"/>
      <w:r w:rsidR="00387259">
        <w:rPr>
          <w:sz w:val="20"/>
          <w:lang w:eastAsia="zh-CN"/>
        </w:rPr>
        <w:t xml:space="preserve"> will look to advance this process with the creation of a </w:t>
      </w:r>
      <w:r w:rsidR="002A66C9">
        <w:rPr>
          <w:sz w:val="20"/>
          <w:lang w:eastAsia="zh-CN"/>
        </w:rPr>
        <w:t>s</w:t>
      </w:r>
      <w:r w:rsidR="00387259">
        <w:rPr>
          <w:sz w:val="20"/>
          <w:lang w:eastAsia="zh-CN"/>
        </w:rPr>
        <w:t>o</w:t>
      </w:r>
      <w:r w:rsidR="002A66C9">
        <w:rPr>
          <w:sz w:val="20"/>
          <w:lang w:eastAsia="zh-CN"/>
        </w:rPr>
        <w:t>cial media policy s</w:t>
      </w:r>
      <w:r w:rsidR="00387259">
        <w:rPr>
          <w:sz w:val="20"/>
          <w:lang w:eastAsia="zh-CN"/>
        </w:rPr>
        <w:t xml:space="preserve">tatement. </w:t>
      </w:r>
      <w:r w:rsidR="008537F6">
        <w:rPr>
          <w:sz w:val="20"/>
          <w:lang w:eastAsia="zh-CN"/>
        </w:rPr>
        <w:t>Th</w:t>
      </w:r>
      <w:r w:rsidR="0011363B">
        <w:rPr>
          <w:sz w:val="20"/>
          <w:lang w:eastAsia="zh-CN"/>
        </w:rPr>
        <w:t xml:space="preserve">ey also provide ongoing </w:t>
      </w:r>
      <w:r w:rsidR="008537F6">
        <w:rPr>
          <w:sz w:val="20"/>
          <w:lang w:eastAsia="zh-CN"/>
        </w:rPr>
        <w:t xml:space="preserve">administrative support by preparing </w:t>
      </w:r>
      <w:r w:rsidR="008E14CB">
        <w:rPr>
          <w:sz w:val="20"/>
          <w:lang w:eastAsia="zh-CN"/>
        </w:rPr>
        <w:t xml:space="preserve">meeting minutes and </w:t>
      </w:r>
      <w:r w:rsidR="00161F33">
        <w:rPr>
          <w:sz w:val="20"/>
          <w:lang w:eastAsia="zh-CN"/>
        </w:rPr>
        <w:t xml:space="preserve">SMF reports. </w:t>
      </w:r>
    </w:p>
    <w:p w14:paraId="23C7D0B1" w14:textId="77777777" w:rsidR="00A47E3C" w:rsidRDefault="00A47E3C" w:rsidP="00293FDB">
      <w:pPr>
        <w:rPr>
          <w:sz w:val="20"/>
          <w:lang w:eastAsia="zh-CN"/>
        </w:rPr>
      </w:pPr>
    </w:p>
    <w:p w14:paraId="439DD88A" w14:textId="77777777" w:rsidR="00A47E3C" w:rsidRDefault="00A47E3C" w:rsidP="00293FDB">
      <w:pPr>
        <w:rPr>
          <w:sz w:val="20"/>
          <w:lang w:eastAsia="zh-CN"/>
        </w:rPr>
      </w:pPr>
    </w:p>
    <w:p w14:paraId="1988EF7E" w14:textId="77777777" w:rsidR="00A47E3C" w:rsidRDefault="00A47E3C" w:rsidP="00293FDB">
      <w:pPr>
        <w:rPr>
          <w:sz w:val="20"/>
          <w:lang w:eastAsia="zh-CN"/>
        </w:rPr>
      </w:pPr>
    </w:p>
    <w:p w14:paraId="35586195" w14:textId="77777777" w:rsidR="00A47E3C" w:rsidRDefault="00A47E3C" w:rsidP="00293FDB">
      <w:pPr>
        <w:rPr>
          <w:sz w:val="20"/>
          <w:lang w:eastAsia="zh-CN"/>
        </w:rPr>
      </w:pPr>
    </w:p>
    <w:p w14:paraId="1AA45C6F" w14:textId="77777777" w:rsidR="00A47E3C" w:rsidRDefault="00A47E3C" w:rsidP="00293FDB">
      <w:pPr>
        <w:rPr>
          <w:sz w:val="20"/>
          <w:lang w:eastAsia="zh-CN"/>
        </w:rPr>
      </w:pPr>
    </w:p>
    <w:p w14:paraId="2E7AD6DB" w14:textId="77777777" w:rsidR="006235D5" w:rsidRPr="00466F52" w:rsidRDefault="006235D5" w:rsidP="006235D5">
      <w:pPr>
        <w:pStyle w:val="Heading2"/>
        <w:rPr>
          <w:sz w:val="20"/>
          <w:lang w:eastAsia="zh-CN"/>
        </w:rPr>
      </w:pPr>
      <w:r>
        <w:rPr>
          <w:lang w:eastAsia="zh-CN"/>
        </w:rPr>
        <w:t>SMF Team</w:t>
      </w:r>
    </w:p>
    <w:p w14:paraId="399162CE" w14:textId="77777777" w:rsidR="00A47E3C" w:rsidRDefault="006235D5" w:rsidP="00293FDB">
      <w:pPr>
        <w:rPr>
          <w:sz w:val="20"/>
          <w:lang w:eastAsia="zh-CN"/>
        </w:rPr>
      </w:pPr>
      <w:r>
        <w:rPr>
          <w:noProof/>
          <w:lang w:val="en-US"/>
        </w:rPr>
        <w:drawing>
          <wp:anchor distT="0" distB="0" distL="114300" distR="114300" simplePos="0" relativeHeight="251687936" behindDoc="0" locked="0" layoutInCell="1" allowOverlap="1" wp14:anchorId="67F6F6AF" wp14:editId="08627A8F">
            <wp:simplePos x="0" y="0"/>
            <wp:positionH relativeFrom="margin">
              <wp:align>right</wp:align>
            </wp:positionH>
            <wp:positionV relativeFrom="paragraph">
              <wp:posOffset>97790</wp:posOffset>
            </wp:positionV>
            <wp:extent cx="6088380" cy="3455494"/>
            <wp:effectExtent l="0" t="0" r="762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t="13740" b="1111"/>
                    <a:stretch/>
                  </pic:blipFill>
                  <pic:spPr bwMode="auto">
                    <a:xfrm>
                      <a:off x="0" y="0"/>
                      <a:ext cx="6088380" cy="3455494"/>
                    </a:xfrm>
                    <a:prstGeom prst="rect">
                      <a:avLst/>
                    </a:prstGeom>
                    <a:noFill/>
                    <a:ln>
                      <a:noFill/>
                    </a:ln>
                    <a:extLst>
                      <a:ext uri="{53640926-AAD7-44D8-BBD7-CCE9431645EC}">
                        <a14:shadowObscured xmlns:a14="http://schemas.microsoft.com/office/drawing/2010/main"/>
                      </a:ext>
                    </a:extLst>
                  </pic:spPr>
                </pic:pic>
              </a:graphicData>
            </a:graphic>
          </wp:anchor>
        </w:drawing>
      </w:r>
    </w:p>
    <w:p w14:paraId="19884B1C" w14:textId="77777777" w:rsidR="00A47E3C" w:rsidRDefault="00A47E3C" w:rsidP="00293FDB">
      <w:pPr>
        <w:rPr>
          <w:sz w:val="20"/>
          <w:lang w:eastAsia="zh-CN"/>
        </w:rPr>
      </w:pPr>
    </w:p>
    <w:p w14:paraId="1CB63595" w14:textId="77777777" w:rsidR="00A47E3C" w:rsidRDefault="00A47E3C" w:rsidP="00293FDB">
      <w:pPr>
        <w:rPr>
          <w:sz w:val="20"/>
          <w:lang w:eastAsia="zh-CN"/>
        </w:rPr>
      </w:pPr>
    </w:p>
    <w:p w14:paraId="153268C0" w14:textId="77777777" w:rsidR="00A47E3C" w:rsidRPr="00BC15A9" w:rsidRDefault="00A47E3C" w:rsidP="00293FDB">
      <w:pPr>
        <w:rPr>
          <w:sz w:val="20"/>
          <w:lang w:eastAsia="zh-CN"/>
        </w:rPr>
      </w:pPr>
    </w:p>
    <w:p w14:paraId="49E95C80" w14:textId="77777777" w:rsidR="00DC4242" w:rsidRDefault="00DC4242" w:rsidP="006A3CEB">
      <w:pPr>
        <w:rPr>
          <w:sz w:val="20"/>
          <w:highlight w:val="yellow"/>
          <w:lang w:val="en-GB" w:eastAsia="zh-CN"/>
        </w:rPr>
      </w:pPr>
    </w:p>
    <w:p w14:paraId="188E70AC" w14:textId="77777777" w:rsidR="00DC4242" w:rsidRDefault="00DC4242" w:rsidP="006A3CEB">
      <w:pPr>
        <w:rPr>
          <w:sz w:val="20"/>
          <w:highlight w:val="yellow"/>
          <w:lang w:val="en-GB" w:eastAsia="zh-CN"/>
        </w:rPr>
      </w:pPr>
    </w:p>
    <w:p w14:paraId="2B85259E" w14:textId="77777777" w:rsidR="00DC4242" w:rsidRDefault="00DC4242" w:rsidP="006A3CEB">
      <w:pPr>
        <w:rPr>
          <w:sz w:val="20"/>
          <w:highlight w:val="yellow"/>
          <w:lang w:val="en-GB" w:eastAsia="zh-CN"/>
        </w:rPr>
      </w:pPr>
    </w:p>
    <w:p w14:paraId="2E00DB8B" w14:textId="77777777" w:rsidR="00DC4242" w:rsidRDefault="00DC4242" w:rsidP="006A3CEB">
      <w:pPr>
        <w:rPr>
          <w:sz w:val="20"/>
          <w:highlight w:val="yellow"/>
          <w:lang w:val="en-GB" w:eastAsia="zh-CN"/>
        </w:rPr>
      </w:pPr>
    </w:p>
    <w:p w14:paraId="71F31F5C" w14:textId="77777777" w:rsidR="00DC4242" w:rsidRDefault="00DC4242" w:rsidP="006A3CEB">
      <w:pPr>
        <w:rPr>
          <w:sz w:val="20"/>
          <w:highlight w:val="yellow"/>
          <w:lang w:val="en-GB" w:eastAsia="zh-CN"/>
        </w:rPr>
      </w:pPr>
    </w:p>
    <w:p w14:paraId="170711A6" w14:textId="77777777" w:rsidR="00DC4242" w:rsidRDefault="00DC4242" w:rsidP="006A3CEB">
      <w:pPr>
        <w:rPr>
          <w:sz w:val="20"/>
          <w:highlight w:val="yellow"/>
          <w:lang w:val="en-GB" w:eastAsia="zh-CN"/>
        </w:rPr>
      </w:pPr>
    </w:p>
    <w:p w14:paraId="053CBF49" w14:textId="77777777" w:rsidR="00DC4242" w:rsidRDefault="00DC4242" w:rsidP="006A3CEB">
      <w:pPr>
        <w:rPr>
          <w:sz w:val="20"/>
          <w:highlight w:val="yellow"/>
          <w:lang w:val="en-GB" w:eastAsia="zh-CN"/>
        </w:rPr>
      </w:pPr>
    </w:p>
    <w:p w14:paraId="06830CEB" w14:textId="77777777" w:rsidR="00DC4242" w:rsidRDefault="00DC4242" w:rsidP="006A3CEB">
      <w:pPr>
        <w:rPr>
          <w:sz w:val="20"/>
          <w:highlight w:val="yellow"/>
          <w:lang w:val="en-GB" w:eastAsia="zh-CN"/>
        </w:rPr>
      </w:pPr>
    </w:p>
    <w:p w14:paraId="6C934C17" w14:textId="77777777" w:rsidR="00DC4242" w:rsidRDefault="00DC4242" w:rsidP="006A3CEB">
      <w:pPr>
        <w:rPr>
          <w:sz w:val="20"/>
          <w:highlight w:val="yellow"/>
          <w:lang w:val="en-GB" w:eastAsia="zh-CN"/>
        </w:rPr>
      </w:pPr>
    </w:p>
    <w:p w14:paraId="69DAFB73" w14:textId="77777777" w:rsidR="00DC4242" w:rsidRDefault="00DC4242" w:rsidP="006A3CEB">
      <w:pPr>
        <w:rPr>
          <w:sz w:val="20"/>
          <w:highlight w:val="yellow"/>
          <w:lang w:val="en-GB" w:eastAsia="zh-CN"/>
        </w:rPr>
      </w:pPr>
    </w:p>
    <w:p w14:paraId="10ED569A" w14:textId="77777777" w:rsidR="00DC4242" w:rsidRDefault="00DC4242" w:rsidP="006A3CEB">
      <w:pPr>
        <w:rPr>
          <w:sz w:val="20"/>
          <w:highlight w:val="yellow"/>
          <w:lang w:val="en-GB" w:eastAsia="zh-CN"/>
        </w:rPr>
      </w:pPr>
    </w:p>
    <w:p w14:paraId="7C201407" w14:textId="77777777" w:rsidR="00DC4242" w:rsidRDefault="00DC4242" w:rsidP="006A3CEB">
      <w:pPr>
        <w:rPr>
          <w:sz w:val="20"/>
          <w:highlight w:val="yellow"/>
          <w:lang w:val="en-GB" w:eastAsia="zh-CN"/>
        </w:rPr>
      </w:pPr>
    </w:p>
    <w:p w14:paraId="75AD58AF" w14:textId="77777777" w:rsidR="00DC4242" w:rsidRDefault="00DC4242" w:rsidP="006A3CEB">
      <w:pPr>
        <w:rPr>
          <w:sz w:val="20"/>
          <w:highlight w:val="yellow"/>
          <w:lang w:val="en-GB" w:eastAsia="zh-CN"/>
        </w:rPr>
      </w:pPr>
    </w:p>
    <w:p w14:paraId="1630336E" w14:textId="77777777" w:rsidR="00DC4242" w:rsidRDefault="00DC4242" w:rsidP="006A3CEB">
      <w:pPr>
        <w:rPr>
          <w:sz w:val="20"/>
          <w:highlight w:val="yellow"/>
          <w:lang w:val="en-GB" w:eastAsia="zh-CN"/>
        </w:rPr>
      </w:pPr>
    </w:p>
    <w:p w14:paraId="5231AE32" w14:textId="77777777" w:rsidR="00DC4242" w:rsidRDefault="00DC4242" w:rsidP="001D76F0">
      <w:pPr>
        <w:rPr>
          <w:sz w:val="20"/>
          <w:highlight w:val="yellow"/>
          <w:lang w:val="en-GB" w:eastAsia="zh-CN"/>
        </w:rPr>
      </w:pPr>
    </w:p>
    <w:p w14:paraId="56F48696" w14:textId="77777777" w:rsidR="00594CE5" w:rsidRDefault="00594CE5" w:rsidP="001D76F0">
      <w:pPr>
        <w:rPr>
          <w:sz w:val="20"/>
          <w:lang w:eastAsia="zh-CN"/>
        </w:rPr>
      </w:pPr>
    </w:p>
    <w:p w14:paraId="7DDBFAD6" w14:textId="77777777" w:rsidR="00DC4242" w:rsidRPr="001D76F0" w:rsidRDefault="00DC4242" w:rsidP="001D76F0">
      <w:pPr>
        <w:rPr>
          <w:sz w:val="20"/>
          <w:lang w:eastAsia="zh-CN"/>
        </w:rPr>
      </w:pPr>
    </w:p>
    <w:p w14:paraId="7B32D57B" w14:textId="77777777" w:rsidR="001D76F0" w:rsidRPr="003A7E80" w:rsidRDefault="001D76F0" w:rsidP="006A3CEB">
      <w:pPr>
        <w:rPr>
          <w:sz w:val="22"/>
          <w:lang w:val="en-GB" w:eastAsia="zh-CN"/>
        </w:rPr>
      </w:pPr>
    </w:p>
    <w:p w14:paraId="6834C5B2" w14:textId="77777777" w:rsidR="00AD68C8" w:rsidRDefault="00AD68C8" w:rsidP="00DE67CC">
      <w:pPr>
        <w:pStyle w:val="Heading1"/>
        <w:spacing w:before="360"/>
        <w:rPr>
          <w:sz w:val="24"/>
          <w:szCs w:val="24"/>
          <w:lang w:eastAsia="zh-CN"/>
        </w:rPr>
      </w:pPr>
    </w:p>
    <w:p w14:paraId="4B911ACD" w14:textId="77777777" w:rsidR="0098486A" w:rsidRDefault="0098486A" w:rsidP="0098486A">
      <w:pPr>
        <w:rPr>
          <w:lang w:eastAsia="zh-CN"/>
        </w:rPr>
      </w:pPr>
    </w:p>
    <w:p w14:paraId="18BDFBD9" w14:textId="77777777" w:rsidR="0098486A" w:rsidRDefault="0098486A" w:rsidP="0098486A">
      <w:pPr>
        <w:rPr>
          <w:lang w:eastAsia="zh-CN"/>
        </w:rPr>
      </w:pPr>
    </w:p>
    <w:p w14:paraId="4B737159" w14:textId="77777777" w:rsidR="0098486A" w:rsidRDefault="0098486A" w:rsidP="0098486A">
      <w:pPr>
        <w:rPr>
          <w:lang w:eastAsia="zh-CN"/>
        </w:rPr>
      </w:pPr>
    </w:p>
    <w:p w14:paraId="26D0420B" w14:textId="77777777" w:rsidR="0098486A" w:rsidRDefault="0098486A" w:rsidP="0098486A">
      <w:pPr>
        <w:rPr>
          <w:lang w:eastAsia="zh-CN"/>
        </w:rPr>
      </w:pPr>
    </w:p>
    <w:p w14:paraId="1E826A41" w14:textId="77777777" w:rsidR="00DC4242" w:rsidRDefault="00DC4242" w:rsidP="0098486A">
      <w:pPr>
        <w:rPr>
          <w:lang w:eastAsia="zh-CN"/>
        </w:rPr>
      </w:pPr>
    </w:p>
    <w:p w14:paraId="0C32F351" w14:textId="77777777" w:rsidR="00DC4242" w:rsidRDefault="00DC4242" w:rsidP="0098486A">
      <w:pPr>
        <w:rPr>
          <w:lang w:eastAsia="zh-CN"/>
        </w:rPr>
      </w:pPr>
    </w:p>
    <w:p w14:paraId="19AD2AA4" w14:textId="77777777" w:rsidR="00DC4242" w:rsidRDefault="00DC4242" w:rsidP="0098486A">
      <w:pPr>
        <w:rPr>
          <w:lang w:eastAsia="zh-CN"/>
        </w:rPr>
      </w:pPr>
    </w:p>
    <w:p w14:paraId="2349A29B" w14:textId="77777777" w:rsidR="00DC4242" w:rsidRDefault="00DC4242" w:rsidP="0098486A">
      <w:pPr>
        <w:rPr>
          <w:lang w:eastAsia="zh-CN"/>
        </w:rPr>
      </w:pPr>
    </w:p>
    <w:p w14:paraId="5AEFE3A8" w14:textId="77777777" w:rsidR="00DC4242" w:rsidRDefault="00DC4242" w:rsidP="0098486A">
      <w:pPr>
        <w:rPr>
          <w:lang w:eastAsia="zh-CN"/>
        </w:rPr>
      </w:pPr>
    </w:p>
    <w:p w14:paraId="3FFD8B95" w14:textId="77777777" w:rsidR="00DC4242" w:rsidRDefault="00DC4242" w:rsidP="0098486A">
      <w:pPr>
        <w:rPr>
          <w:lang w:eastAsia="zh-CN"/>
        </w:rPr>
      </w:pPr>
    </w:p>
    <w:p w14:paraId="7CE0AE03" w14:textId="77777777" w:rsidR="00DE67CC" w:rsidRDefault="002E4353" w:rsidP="00DE67CC">
      <w:pPr>
        <w:pStyle w:val="Heading1"/>
        <w:spacing w:before="360"/>
        <w:rPr>
          <w:sz w:val="24"/>
          <w:szCs w:val="24"/>
          <w:lang w:eastAsia="zh-CN"/>
        </w:rPr>
      </w:pPr>
      <w:bookmarkStart w:id="18" w:name="_Toc524277821"/>
      <w:r>
        <w:rPr>
          <w:sz w:val="24"/>
          <w:szCs w:val="24"/>
          <w:lang w:eastAsia="zh-CN"/>
        </w:rPr>
        <w:t>Active Stock Positions</w:t>
      </w:r>
      <w:bookmarkEnd w:id="18"/>
    </w:p>
    <w:p w14:paraId="5280B5F4" w14:textId="77777777" w:rsidR="0003600B" w:rsidRDefault="0003600B" w:rsidP="00466F52">
      <w:pPr>
        <w:rPr>
          <w:sz w:val="20"/>
          <w:lang w:eastAsia="zh-CN"/>
        </w:rPr>
      </w:pPr>
      <w:r>
        <w:rPr>
          <w:sz w:val="20"/>
          <w:lang w:eastAsia="zh-CN"/>
        </w:rPr>
        <w:t xml:space="preserve">The </w:t>
      </w:r>
      <w:r w:rsidR="00466F52" w:rsidRPr="00466F52">
        <w:rPr>
          <w:sz w:val="20"/>
          <w:lang w:eastAsia="zh-CN"/>
        </w:rPr>
        <w:t>Active Australian Equities team</w:t>
      </w:r>
      <w:r>
        <w:rPr>
          <w:sz w:val="20"/>
          <w:lang w:eastAsia="zh-CN"/>
        </w:rPr>
        <w:t xml:space="preserve"> was </w:t>
      </w:r>
      <w:r w:rsidR="00466F52" w:rsidRPr="00466F52">
        <w:rPr>
          <w:sz w:val="20"/>
          <w:lang w:eastAsia="zh-CN"/>
        </w:rPr>
        <w:t xml:space="preserve">tremendously pleased to have produced </w:t>
      </w:r>
      <w:r>
        <w:rPr>
          <w:sz w:val="20"/>
          <w:lang w:eastAsia="zh-CN"/>
        </w:rPr>
        <w:t xml:space="preserve">the SMF’s </w:t>
      </w:r>
      <w:r w:rsidR="00466F52" w:rsidRPr="00466F52">
        <w:rPr>
          <w:sz w:val="20"/>
          <w:lang w:eastAsia="zh-CN"/>
        </w:rPr>
        <w:t>first set of investment recommendations</w:t>
      </w:r>
      <w:r>
        <w:rPr>
          <w:sz w:val="20"/>
          <w:lang w:eastAsia="zh-CN"/>
        </w:rPr>
        <w:t xml:space="preserve"> towards the end of</w:t>
      </w:r>
      <w:r w:rsidR="00466F52" w:rsidRPr="00466F52">
        <w:rPr>
          <w:sz w:val="20"/>
          <w:lang w:eastAsia="zh-CN"/>
        </w:rPr>
        <w:t xml:space="preserve"> last semester. These recommendations represent our efforts to advance our fund’s core investment objectives and </w:t>
      </w:r>
      <w:r w:rsidR="0003772C">
        <w:rPr>
          <w:sz w:val="20"/>
          <w:lang w:eastAsia="zh-CN"/>
        </w:rPr>
        <w:t>improve</w:t>
      </w:r>
      <w:r w:rsidR="00466F52" w:rsidRPr="00466F52">
        <w:rPr>
          <w:sz w:val="20"/>
          <w:lang w:eastAsia="zh-CN"/>
        </w:rPr>
        <w:t xml:space="preserve"> the long-term risk-return trade-off of our portfolio. </w:t>
      </w:r>
      <w:r>
        <w:rPr>
          <w:sz w:val="20"/>
          <w:lang w:eastAsia="zh-CN"/>
        </w:rPr>
        <w:t xml:space="preserve">They involved purchasing </w:t>
      </w:r>
      <w:r w:rsidR="00466F52" w:rsidRPr="00466F52">
        <w:rPr>
          <w:sz w:val="20"/>
          <w:lang w:eastAsia="zh-CN"/>
        </w:rPr>
        <w:t>Telstra (</w:t>
      </w:r>
      <w:proofErr w:type="spellStart"/>
      <w:r w:rsidR="00466F52" w:rsidRPr="00466F52">
        <w:rPr>
          <w:sz w:val="20"/>
          <w:lang w:eastAsia="zh-CN"/>
        </w:rPr>
        <w:t>ASX</w:t>
      </w:r>
      <w:proofErr w:type="spellEnd"/>
      <w:r w:rsidR="00466F52" w:rsidRPr="00466F52">
        <w:rPr>
          <w:sz w:val="20"/>
          <w:lang w:eastAsia="zh-CN"/>
        </w:rPr>
        <w:t>:</w:t>
      </w:r>
      <w:r w:rsidR="007824B1">
        <w:rPr>
          <w:sz w:val="20"/>
          <w:lang w:eastAsia="zh-CN"/>
        </w:rPr>
        <w:t xml:space="preserve"> </w:t>
      </w:r>
      <w:r w:rsidR="00466F52" w:rsidRPr="00466F52">
        <w:rPr>
          <w:sz w:val="20"/>
          <w:lang w:eastAsia="zh-CN"/>
        </w:rPr>
        <w:t>TLS) and Rio Tinto (</w:t>
      </w:r>
      <w:proofErr w:type="spellStart"/>
      <w:r w:rsidR="00466F52" w:rsidRPr="00466F52">
        <w:rPr>
          <w:sz w:val="20"/>
          <w:lang w:eastAsia="zh-CN"/>
        </w:rPr>
        <w:t>ASX</w:t>
      </w:r>
      <w:proofErr w:type="spellEnd"/>
      <w:r w:rsidR="00466F52" w:rsidRPr="00466F52">
        <w:rPr>
          <w:sz w:val="20"/>
          <w:lang w:eastAsia="zh-CN"/>
        </w:rPr>
        <w:t>:</w:t>
      </w:r>
      <w:r w:rsidR="007824B1">
        <w:rPr>
          <w:sz w:val="20"/>
          <w:lang w:eastAsia="zh-CN"/>
        </w:rPr>
        <w:t xml:space="preserve"> </w:t>
      </w:r>
      <w:r w:rsidR="00466F52" w:rsidRPr="00466F52">
        <w:rPr>
          <w:sz w:val="20"/>
          <w:lang w:eastAsia="zh-CN"/>
        </w:rPr>
        <w:t xml:space="preserve">RIO) in the </w:t>
      </w:r>
      <w:proofErr w:type="spellStart"/>
      <w:r w:rsidR="003E5366">
        <w:rPr>
          <w:sz w:val="20"/>
          <w:lang w:eastAsia="zh-CN"/>
        </w:rPr>
        <w:t>AAE</w:t>
      </w:r>
      <w:proofErr w:type="spellEnd"/>
      <w:r w:rsidR="00466F52" w:rsidRPr="00466F52">
        <w:rPr>
          <w:sz w:val="20"/>
          <w:lang w:eastAsia="zh-CN"/>
        </w:rPr>
        <w:t xml:space="preserve"> portfolio</w:t>
      </w:r>
      <w:r>
        <w:rPr>
          <w:sz w:val="20"/>
          <w:lang w:eastAsia="zh-CN"/>
        </w:rPr>
        <w:t>, funded by reducing holdings in the iShares Core S&amp;P/</w:t>
      </w:r>
      <w:proofErr w:type="spellStart"/>
      <w:r>
        <w:rPr>
          <w:sz w:val="20"/>
          <w:lang w:eastAsia="zh-CN"/>
        </w:rPr>
        <w:t>ASX200</w:t>
      </w:r>
      <w:proofErr w:type="spellEnd"/>
      <w:r>
        <w:rPr>
          <w:sz w:val="20"/>
          <w:lang w:eastAsia="zh-CN"/>
        </w:rPr>
        <w:t xml:space="preserve"> ETF</w:t>
      </w:r>
      <w:r w:rsidR="00466F52" w:rsidRPr="00466F52">
        <w:rPr>
          <w:sz w:val="20"/>
          <w:lang w:eastAsia="zh-CN"/>
        </w:rPr>
        <w:t>.</w:t>
      </w:r>
    </w:p>
    <w:p w14:paraId="2ED13E10" w14:textId="77777777" w:rsidR="00E346F1" w:rsidRDefault="00466F52" w:rsidP="00466F52">
      <w:pPr>
        <w:rPr>
          <w:sz w:val="20"/>
          <w:lang w:eastAsia="zh-CN"/>
        </w:rPr>
      </w:pPr>
      <w:r w:rsidRPr="00466F52">
        <w:rPr>
          <w:sz w:val="20"/>
          <w:lang w:eastAsia="zh-CN"/>
        </w:rPr>
        <w:t>Th</w:t>
      </w:r>
      <w:r w:rsidR="0003600B">
        <w:rPr>
          <w:sz w:val="20"/>
          <w:lang w:eastAsia="zh-CN"/>
        </w:rPr>
        <w:t xml:space="preserve">e recommendations were </w:t>
      </w:r>
      <w:r w:rsidRPr="00466F52">
        <w:rPr>
          <w:sz w:val="20"/>
          <w:lang w:eastAsia="zh-CN"/>
        </w:rPr>
        <w:t>endorsed by the IAC</w:t>
      </w:r>
      <w:r w:rsidR="0003600B">
        <w:rPr>
          <w:sz w:val="20"/>
          <w:lang w:eastAsia="zh-CN"/>
        </w:rPr>
        <w:t>,</w:t>
      </w:r>
      <w:r w:rsidRPr="00466F52">
        <w:rPr>
          <w:sz w:val="20"/>
          <w:lang w:eastAsia="zh-CN"/>
        </w:rPr>
        <w:t xml:space="preserve"> and subsequently implemented with a target weight of 6% and 3% for Telstra and Rio Tinto, respectively.</w:t>
      </w:r>
      <w:r w:rsidR="0003600B">
        <w:rPr>
          <w:sz w:val="20"/>
          <w:lang w:eastAsia="zh-CN"/>
        </w:rPr>
        <w:t xml:space="preserve"> </w:t>
      </w:r>
      <w:r w:rsidRPr="00466F52">
        <w:rPr>
          <w:sz w:val="20"/>
          <w:lang w:eastAsia="zh-CN"/>
        </w:rPr>
        <w:t xml:space="preserve">The weightings assigned to these investments were based on the attractiveness of </w:t>
      </w:r>
      <w:r w:rsidR="0003600B">
        <w:rPr>
          <w:sz w:val="20"/>
          <w:lang w:eastAsia="zh-CN"/>
        </w:rPr>
        <w:t>their</w:t>
      </w:r>
      <w:r w:rsidRPr="00466F52">
        <w:rPr>
          <w:sz w:val="20"/>
          <w:lang w:eastAsia="zh-CN"/>
        </w:rPr>
        <w:t xml:space="preserve"> risk-return profile</w:t>
      </w:r>
      <w:r w:rsidR="0003600B">
        <w:rPr>
          <w:sz w:val="20"/>
          <w:lang w:eastAsia="zh-CN"/>
        </w:rPr>
        <w:t>s</w:t>
      </w:r>
      <w:r w:rsidRPr="00466F52">
        <w:rPr>
          <w:sz w:val="20"/>
          <w:lang w:eastAsia="zh-CN"/>
        </w:rPr>
        <w:t xml:space="preserve">, the </w:t>
      </w:r>
      <w:r w:rsidR="001D2350">
        <w:rPr>
          <w:sz w:val="20"/>
          <w:lang w:eastAsia="zh-CN"/>
        </w:rPr>
        <w:t xml:space="preserve">SRI </w:t>
      </w:r>
      <w:r w:rsidRPr="00466F52">
        <w:rPr>
          <w:sz w:val="20"/>
          <w:lang w:eastAsia="zh-CN"/>
        </w:rPr>
        <w:t>policy of the fund</w:t>
      </w:r>
      <w:r w:rsidR="0003600B">
        <w:rPr>
          <w:sz w:val="20"/>
          <w:lang w:eastAsia="zh-CN"/>
        </w:rPr>
        <w:t>,</w:t>
      </w:r>
      <w:r w:rsidRPr="00466F52">
        <w:rPr>
          <w:sz w:val="20"/>
          <w:lang w:eastAsia="zh-CN"/>
        </w:rPr>
        <w:t xml:space="preserve"> and the advice provided by members of the IAC.</w:t>
      </w:r>
      <w:r>
        <w:rPr>
          <w:sz w:val="20"/>
          <w:lang w:eastAsia="zh-CN"/>
        </w:rPr>
        <w:t xml:space="preserve"> </w:t>
      </w:r>
      <w:r w:rsidR="001F3452">
        <w:rPr>
          <w:sz w:val="20"/>
          <w:lang w:eastAsia="zh-CN"/>
        </w:rPr>
        <w:t xml:space="preserve">While there have been no new </w:t>
      </w:r>
      <w:r w:rsidR="00F70F62">
        <w:rPr>
          <w:sz w:val="20"/>
          <w:lang w:eastAsia="zh-CN"/>
        </w:rPr>
        <w:t>acquisitions</w:t>
      </w:r>
      <w:r w:rsidR="001F3452">
        <w:rPr>
          <w:sz w:val="20"/>
          <w:lang w:eastAsia="zh-CN"/>
        </w:rPr>
        <w:t xml:space="preserve"> or disposals to report</w:t>
      </w:r>
      <w:r w:rsidR="0003600B">
        <w:rPr>
          <w:sz w:val="20"/>
          <w:lang w:eastAsia="zh-CN"/>
        </w:rPr>
        <w:t xml:space="preserve"> at this stage</w:t>
      </w:r>
      <w:r w:rsidR="001F3452">
        <w:rPr>
          <w:sz w:val="20"/>
          <w:lang w:eastAsia="zh-CN"/>
        </w:rPr>
        <w:t xml:space="preserve">, the </w:t>
      </w:r>
      <w:proofErr w:type="spellStart"/>
      <w:r w:rsidR="001F3452">
        <w:rPr>
          <w:sz w:val="20"/>
          <w:lang w:eastAsia="zh-CN"/>
        </w:rPr>
        <w:t>AAE</w:t>
      </w:r>
      <w:proofErr w:type="spellEnd"/>
      <w:r w:rsidR="001F3452">
        <w:rPr>
          <w:sz w:val="20"/>
          <w:lang w:eastAsia="zh-CN"/>
        </w:rPr>
        <w:t xml:space="preserve"> team would like to provide </w:t>
      </w:r>
      <w:r w:rsidR="00F70F62">
        <w:rPr>
          <w:sz w:val="20"/>
          <w:lang w:eastAsia="zh-CN"/>
        </w:rPr>
        <w:t xml:space="preserve">further insight into its holdings of Telstra and Rio Tinto. </w:t>
      </w:r>
    </w:p>
    <w:p w14:paraId="2C46BF49" w14:textId="77777777" w:rsidR="00CE6431" w:rsidRPr="00466F52" w:rsidRDefault="00CE6431" w:rsidP="000118DF">
      <w:pPr>
        <w:pStyle w:val="Heading2"/>
        <w:rPr>
          <w:sz w:val="20"/>
          <w:lang w:eastAsia="zh-CN"/>
        </w:rPr>
      </w:pPr>
      <w:bookmarkStart w:id="19" w:name="_Toc524277822"/>
      <w:r>
        <w:rPr>
          <w:lang w:eastAsia="zh-CN"/>
        </w:rPr>
        <w:t>Telstra</w:t>
      </w:r>
      <w:bookmarkEnd w:id="19"/>
    </w:p>
    <w:p w14:paraId="31251455" w14:textId="77777777" w:rsidR="00E346F1" w:rsidRPr="00A870BE" w:rsidRDefault="00E346F1" w:rsidP="00E346F1">
      <w:pPr>
        <w:rPr>
          <w:sz w:val="20"/>
          <w:lang w:eastAsia="zh-CN"/>
        </w:rPr>
      </w:pPr>
      <w:r w:rsidRPr="00A870BE">
        <w:rPr>
          <w:sz w:val="20"/>
          <w:lang w:eastAsia="zh-CN"/>
        </w:rPr>
        <w:t>The first active security to enter the portfolio was Telstra</w:t>
      </w:r>
      <w:r w:rsidR="0003772C" w:rsidRPr="00A870BE">
        <w:rPr>
          <w:sz w:val="20"/>
          <w:lang w:eastAsia="zh-CN"/>
        </w:rPr>
        <w:t>,</w:t>
      </w:r>
      <w:r w:rsidRPr="00A870BE">
        <w:rPr>
          <w:sz w:val="20"/>
          <w:lang w:eastAsia="zh-CN"/>
        </w:rPr>
        <w:t xml:space="preserve"> Australia's largest telecommunications company</w:t>
      </w:r>
      <w:r w:rsidR="0003772C" w:rsidRPr="00A870BE">
        <w:rPr>
          <w:sz w:val="20"/>
          <w:lang w:eastAsia="zh-CN"/>
        </w:rPr>
        <w:t>,</w:t>
      </w:r>
      <w:r w:rsidRPr="00A870BE">
        <w:rPr>
          <w:sz w:val="20"/>
          <w:lang w:eastAsia="zh-CN"/>
        </w:rPr>
        <w:t xml:space="preserve"> which builds and operates telecommunications networks and markets voice, mobile, internet access, pay television and other products and services.</w:t>
      </w:r>
      <w:r w:rsidR="003E5366">
        <w:rPr>
          <w:sz w:val="20"/>
          <w:lang w:eastAsia="zh-CN"/>
        </w:rPr>
        <w:t xml:space="preserve"> </w:t>
      </w:r>
      <w:r w:rsidRPr="00A870BE">
        <w:rPr>
          <w:sz w:val="20"/>
          <w:lang w:eastAsia="zh-CN"/>
        </w:rPr>
        <w:t xml:space="preserve">Our investment thesis was driven by the belief that </w:t>
      </w:r>
      <w:r w:rsidR="0003600B" w:rsidRPr="00A870BE">
        <w:rPr>
          <w:sz w:val="20"/>
          <w:lang w:eastAsia="zh-CN"/>
        </w:rPr>
        <w:t>Telstra had been too heavily discounted by the market notwithstanding it</w:t>
      </w:r>
      <w:r w:rsidR="003E5366">
        <w:rPr>
          <w:sz w:val="20"/>
          <w:lang w:eastAsia="zh-CN"/>
        </w:rPr>
        <w:t>s</w:t>
      </w:r>
      <w:r w:rsidR="0003600B" w:rsidRPr="00A870BE">
        <w:rPr>
          <w:sz w:val="20"/>
          <w:lang w:eastAsia="zh-CN"/>
        </w:rPr>
        <w:t xml:space="preserve"> business challenges, made </w:t>
      </w:r>
      <w:r w:rsidR="0003600B" w:rsidRPr="00A870BE">
        <w:rPr>
          <w:sz w:val="20"/>
          <w:lang w:val="en-US" w:eastAsia="zh-CN"/>
        </w:rPr>
        <w:t xml:space="preserve">evident by the reactionary drop in the share price following TLS's announcement of a 30% cut in dividend payout. Further, any </w:t>
      </w:r>
      <w:r w:rsidRPr="00A870BE">
        <w:rPr>
          <w:sz w:val="20"/>
          <w:lang w:eastAsia="zh-CN"/>
        </w:rPr>
        <w:t xml:space="preserve">upside </w:t>
      </w:r>
      <w:r w:rsidR="0003600B" w:rsidRPr="00A870BE">
        <w:rPr>
          <w:sz w:val="20"/>
          <w:lang w:eastAsia="zh-CN"/>
        </w:rPr>
        <w:t>from</w:t>
      </w:r>
      <w:r w:rsidRPr="00A870BE">
        <w:rPr>
          <w:sz w:val="20"/>
          <w:lang w:eastAsia="zh-CN"/>
        </w:rPr>
        <w:t xml:space="preserve"> the new reinvestment strategy </w:t>
      </w:r>
      <w:r w:rsidRPr="00A870BE">
        <w:rPr>
          <w:sz w:val="20"/>
          <w:lang w:val="en-US" w:eastAsia="zh-CN"/>
        </w:rPr>
        <w:t>(moving towards technology and cybersecurity fields)</w:t>
      </w:r>
      <w:r w:rsidR="0003600B" w:rsidRPr="00A870BE">
        <w:rPr>
          <w:sz w:val="20"/>
          <w:lang w:val="en-US" w:eastAsia="zh-CN"/>
        </w:rPr>
        <w:t xml:space="preserve"> </w:t>
      </w:r>
      <w:r w:rsidR="0003600B" w:rsidRPr="00A870BE">
        <w:rPr>
          <w:sz w:val="20"/>
          <w:lang w:eastAsia="zh-CN"/>
        </w:rPr>
        <w:t>was not priced into the market</w:t>
      </w:r>
      <w:r w:rsidR="002E4353" w:rsidRPr="00A870BE">
        <w:rPr>
          <w:sz w:val="20"/>
          <w:lang w:eastAsia="zh-CN"/>
        </w:rPr>
        <w:t>, providing the possibility of some upside</w:t>
      </w:r>
      <w:r w:rsidRPr="00A870BE">
        <w:rPr>
          <w:sz w:val="20"/>
          <w:lang w:val="en-US" w:eastAsia="zh-CN"/>
        </w:rPr>
        <w:t xml:space="preserve">. </w:t>
      </w:r>
      <w:r w:rsidR="002E4353" w:rsidRPr="00A870BE">
        <w:rPr>
          <w:sz w:val="20"/>
          <w:lang w:eastAsia="zh-CN"/>
        </w:rPr>
        <w:t xml:space="preserve">We were also attracted by </w:t>
      </w:r>
      <w:r w:rsidRPr="00A870BE">
        <w:rPr>
          <w:sz w:val="20"/>
          <w:lang w:eastAsia="zh-CN"/>
        </w:rPr>
        <w:t>the historically high-quality nature of the business</w:t>
      </w:r>
      <w:r w:rsidR="00F67A32" w:rsidRPr="00A870BE">
        <w:rPr>
          <w:sz w:val="20"/>
          <w:lang w:eastAsia="zh-CN"/>
        </w:rPr>
        <w:t xml:space="preserve"> which</w:t>
      </w:r>
      <w:r w:rsidR="002E4353" w:rsidRPr="00A870BE">
        <w:rPr>
          <w:sz w:val="20"/>
          <w:lang w:eastAsia="zh-CN"/>
        </w:rPr>
        <w:t xml:space="preserve">, </w:t>
      </w:r>
      <w:r w:rsidRPr="00A870BE">
        <w:rPr>
          <w:sz w:val="20"/>
          <w:lang w:eastAsia="zh-CN"/>
        </w:rPr>
        <w:t>supported by a robust financial position</w:t>
      </w:r>
      <w:r w:rsidR="002E4353" w:rsidRPr="00A870BE">
        <w:rPr>
          <w:sz w:val="20"/>
          <w:lang w:eastAsia="zh-CN"/>
        </w:rPr>
        <w:t>,</w:t>
      </w:r>
      <w:r w:rsidRPr="00A870BE">
        <w:rPr>
          <w:sz w:val="20"/>
          <w:lang w:eastAsia="zh-CN"/>
        </w:rPr>
        <w:t xml:space="preserve"> provid</w:t>
      </w:r>
      <w:r w:rsidR="00F67A32" w:rsidRPr="00A870BE">
        <w:rPr>
          <w:sz w:val="20"/>
          <w:lang w:eastAsia="zh-CN"/>
        </w:rPr>
        <w:t>es</w:t>
      </w:r>
      <w:r w:rsidRPr="00A870BE">
        <w:rPr>
          <w:sz w:val="20"/>
          <w:lang w:eastAsia="zh-CN"/>
        </w:rPr>
        <w:t xml:space="preserve"> </w:t>
      </w:r>
      <w:r w:rsidR="005335A9" w:rsidRPr="00A870BE">
        <w:rPr>
          <w:sz w:val="20"/>
          <w:lang w:eastAsia="zh-CN"/>
        </w:rPr>
        <w:t xml:space="preserve">an </w:t>
      </w:r>
      <w:r w:rsidRPr="00A870BE">
        <w:rPr>
          <w:sz w:val="20"/>
          <w:lang w:eastAsia="zh-CN"/>
        </w:rPr>
        <w:t xml:space="preserve">opportunity for solid cash flow generation </w:t>
      </w:r>
      <w:r w:rsidR="002E4353" w:rsidRPr="00A870BE">
        <w:rPr>
          <w:sz w:val="20"/>
          <w:lang w:eastAsia="zh-CN"/>
        </w:rPr>
        <w:t xml:space="preserve">and fully-franked dividends </w:t>
      </w:r>
      <w:r w:rsidRPr="00A870BE">
        <w:rPr>
          <w:sz w:val="20"/>
          <w:lang w:eastAsia="zh-CN"/>
        </w:rPr>
        <w:t>over the long run</w:t>
      </w:r>
      <w:r w:rsidR="003E5366">
        <w:rPr>
          <w:sz w:val="20"/>
          <w:lang w:eastAsia="zh-CN"/>
        </w:rPr>
        <w:t xml:space="preserve"> –</w:t>
      </w:r>
      <w:r w:rsidR="0003772C" w:rsidRPr="00A870BE">
        <w:rPr>
          <w:sz w:val="20"/>
          <w:lang w:eastAsia="zh-CN"/>
        </w:rPr>
        <w:t xml:space="preserve"> valuable feature</w:t>
      </w:r>
      <w:r w:rsidR="003E5366">
        <w:rPr>
          <w:sz w:val="20"/>
          <w:lang w:eastAsia="zh-CN"/>
        </w:rPr>
        <w:t>s</w:t>
      </w:r>
      <w:r w:rsidRPr="00A870BE">
        <w:rPr>
          <w:sz w:val="20"/>
          <w:lang w:eastAsia="zh-CN"/>
        </w:rPr>
        <w:t xml:space="preserve"> given the objectives of the fund. </w:t>
      </w:r>
    </w:p>
    <w:p w14:paraId="7689DF49" w14:textId="77777777" w:rsidR="00E346F1" w:rsidRPr="00466F52" w:rsidRDefault="00E346F1" w:rsidP="00E346F1">
      <w:pPr>
        <w:pStyle w:val="Heading2"/>
        <w:rPr>
          <w:sz w:val="20"/>
          <w:lang w:eastAsia="zh-CN"/>
        </w:rPr>
      </w:pPr>
      <w:bookmarkStart w:id="20" w:name="_Toc524277823"/>
      <w:r>
        <w:rPr>
          <w:lang w:eastAsia="zh-CN"/>
        </w:rPr>
        <w:t>Rio Tinto</w:t>
      </w:r>
      <w:bookmarkEnd w:id="20"/>
    </w:p>
    <w:p w14:paraId="2247EEA1" w14:textId="77777777" w:rsidR="001B5616" w:rsidRPr="001B5616" w:rsidRDefault="001B5616" w:rsidP="001B5616">
      <w:pPr>
        <w:rPr>
          <w:sz w:val="20"/>
          <w:lang w:eastAsia="zh-CN"/>
        </w:rPr>
      </w:pPr>
      <w:r w:rsidRPr="001B5616">
        <w:rPr>
          <w:sz w:val="20"/>
          <w:lang w:eastAsia="zh-CN"/>
        </w:rPr>
        <w:t>Our second recommendation was in Rio Tinto</w:t>
      </w:r>
      <w:r w:rsidR="00F67A32">
        <w:rPr>
          <w:sz w:val="20"/>
          <w:lang w:eastAsia="zh-CN"/>
        </w:rPr>
        <w:t>,</w:t>
      </w:r>
      <w:r w:rsidRPr="001B5616">
        <w:rPr>
          <w:sz w:val="20"/>
          <w:lang w:eastAsia="zh-CN"/>
        </w:rPr>
        <w:t xml:space="preserve"> a large and global diversified mining company with operations in the production of iron ore, aluminium and other basic materials and metals. We put forward an investment thesis built on the company’s high-quality asset base, operational efficiency and cost leadership</w:t>
      </w:r>
      <w:r w:rsidR="002E4353">
        <w:rPr>
          <w:sz w:val="20"/>
          <w:lang w:eastAsia="zh-CN"/>
        </w:rPr>
        <w:t>;</w:t>
      </w:r>
      <w:r w:rsidRPr="001B5616">
        <w:rPr>
          <w:sz w:val="20"/>
          <w:lang w:eastAsia="zh-CN"/>
        </w:rPr>
        <w:t xml:space="preserve"> with the expectation of strong and sustainable cash flow generation. Our analysis</w:t>
      </w:r>
      <w:r w:rsidR="00F67A32">
        <w:rPr>
          <w:sz w:val="20"/>
          <w:lang w:eastAsia="zh-CN"/>
        </w:rPr>
        <w:t>,</w:t>
      </w:r>
      <w:r w:rsidR="002E4353">
        <w:rPr>
          <w:sz w:val="20"/>
          <w:lang w:eastAsia="zh-CN"/>
        </w:rPr>
        <w:t xml:space="preserve"> entailing </w:t>
      </w:r>
      <w:r w:rsidRPr="001B5616">
        <w:rPr>
          <w:sz w:val="20"/>
          <w:lang w:eastAsia="zh-CN"/>
        </w:rPr>
        <w:t xml:space="preserve">a quantitative discounted cash flow valuation </w:t>
      </w:r>
      <w:r w:rsidR="00F67A32">
        <w:rPr>
          <w:sz w:val="20"/>
          <w:lang w:eastAsia="zh-CN"/>
        </w:rPr>
        <w:t>and</w:t>
      </w:r>
      <w:r w:rsidRPr="001B5616">
        <w:rPr>
          <w:sz w:val="20"/>
          <w:lang w:eastAsia="zh-CN"/>
        </w:rPr>
        <w:t xml:space="preserve"> a qualitative assessment of economic fundamentals, provided indications that the company would benefit the </w:t>
      </w:r>
      <w:r w:rsidR="002E4353">
        <w:rPr>
          <w:sz w:val="20"/>
          <w:lang w:eastAsia="zh-CN"/>
        </w:rPr>
        <w:t xml:space="preserve">SMF </w:t>
      </w:r>
      <w:r w:rsidRPr="001B5616">
        <w:rPr>
          <w:sz w:val="20"/>
          <w:lang w:eastAsia="zh-CN"/>
        </w:rPr>
        <w:t>portfolio through its favourable base valuation and attractive upside potential.</w:t>
      </w:r>
    </w:p>
    <w:p w14:paraId="3C9A5AC0" w14:textId="77777777" w:rsidR="0070736A" w:rsidRPr="006771EF" w:rsidRDefault="0070736A" w:rsidP="0070736A">
      <w:pPr>
        <w:spacing w:before="180" w:after="0"/>
        <w:rPr>
          <w:i/>
          <w:sz w:val="20"/>
          <w:szCs w:val="20"/>
        </w:rPr>
      </w:pPr>
      <w:r>
        <w:rPr>
          <w:i/>
          <w:sz w:val="20"/>
          <w:szCs w:val="20"/>
          <w:lang w:val="en-US"/>
        </w:rPr>
        <w:t xml:space="preserve">Zhan </w:t>
      </w:r>
      <w:r w:rsidR="006816C7">
        <w:rPr>
          <w:i/>
          <w:sz w:val="20"/>
          <w:szCs w:val="20"/>
          <w:lang w:val="en-US"/>
        </w:rPr>
        <w:t>Zhang</w:t>
      </w:r>
      <w:r w:rsidRPr="006771EF">
        <w:rPr>
          <w:i/>
          <w:sz w:val="20"/>
          <w:szCs w:val="20"/>
        </w:rPr>
        <w:t xml:space="preserve">, </w:t>
      </w:r>
      <w:r w:rsidR="006816C7">
        <w:rPr>
          <w:i/>
          <w:sz w:val="20"/>
          <w:szCs w:val="20"/>
        </w:rPr>
        <w:t xml:space="preserve">Head of </w:t>
      </w:r>
      <w:proofErr w:type="spellStart"/>
      <w:r w:rsidR="006816C7">
        <w:rPr>
          <w:i/>
          <w:sz w:val="20"/>
          <w:szCs w:val="20"/>
        </w:rPr>
        <w:t>AAE</w:t>
      </w:r>
      <w:proofErr w:type="spellEnd"/>
    </w:p>
    <w:p w14:paraId="08983D70" w14:textId="77777777" w:rsidR="009B28F6" w:rsidRDefault="009B28F6" w:rsidP="009B28F6">
      <w:pPr>
        <w:rPr>
          <w:lang w:eastAsia="zh-CN"/>
        </w:rPr>
      </w:pPr>
    </w:p>
    <w:p w14:paraId="5379A251" w14:textId="77777777" w:rsidR="009B28F6" w:rsidRDefault="009B28F6" w:rsidP="009B28F6">
      <w:pPr>
        <w:rPr>
          <w:lang w:eastAsia="zh-CN"/>
        </w:rPr>
      </w:pPr>
    </w:p>
    <w:p w14:paraId="7C54D2D7" w14:textId="77777777" w:rsidR="009B28F6" w:rsidRDefault="009B28F6" w:rsidP="009B28F6">
      <w:pPr>
        <w:rPr>
          <w:lang w:eastAsia="zh-CN"/>
        </w:rPr>
      </w:pPr>
    </w:p>
    <w:p w14:paraId="5D298501" w14:textId="77777777" w:rsidR="009B28F6" w:rsidRDefault="009B28F6" w:rsidP="009B28F6">
      <w:pPr>
        <w:rPr>
          <w:lang w:eastAsia="zh-CN"/>
        </w:rPr>
      </w:pPr>
    </w:p>
    <w:p w14:paraId="1CE05DCB" w14:textId="77777777" w:rsidR="009B28F6" w:rsidRDefault="009B28F6" w:rsidP="009B28F6">
      <w:pPr>
        <w:rPr>
          <w:lang w:eastAsia="zh-CN"/>
        </w:rPr>
      </w:pPr>
    </w:p>
    <w:p w14:paraId="667AF3D5" w14:textId="77777777" w:rsidR="009B28F6" w:rsidRDefault="009B28F6" w:rsidP="009B28F6">
      <w:pPr>
        <w:rPr>
          <w:lang w:eastAsia="zh-CN"/>
        </w:rPr>
      </w:pPr>
    </w:p>
    <w:p w14:paraId="15E93056" w14:textId="77777777" w:rsidR="00992174" w:rsidRDefault="00992174" w:rsidP="009B28F6">
      <w:pPr>
        <w:rPr>
          <w:lang w:eastAsia="zh-CN"/>
        </w:rPr>
      </w:pPr>
    </w:p>
    <w:p w14:paraId="2DF013AF" w14:textId="77777777" w:rsidR="00992174" w:rsidRDefault="00992174" w:rsidP="009B28F6">
      <w:pPr>
        <w:rPr>
          <w:lang w:eastAsia="zh-CN"/>
        </w:rPr>
      </w:pPr>
    </w:p>
    <w:p w14:paraId="6E2FDC24" w14:textId="77777777" w:rsidR="00992174" w:rsidRDefault="00992174" w:rsidP="009B28F6">
      <w:pPr>
        <w:rPr>
          <w:lang w:eastAsia="zh-CN"/>
        </w:rPr>
      </w:pPr>
    </w:p>
    <w:p w14:paraId="3D1D3A6E" w14:textId="77777777" w:rsidR="00992174" w:rsidRDefault="00992174" w:rsidP="009B28F6">
      <w:pPr>
        <w:rPr>
          <w:lang w:eastAsia="zh-CN"/>
        </w:rPr>
      </w:pPr>
    </w:p>
    <w:p w14:paraId="2557506D" w14:textId="77777777" w:rsidR="009B28F6" w:rsidRDefault="009B28F6" w:rsidP="009B28F6">
      <w:pPr>
        <w:rPr>
          <w:lang w:eastAsia="zh-CN"/>
        </w:rPr>
      </w:pPr>
    </w:p>
    <w:p w14:paraId="21B51D7F" w14:textId="77777777" w:rsidR="009B28F6" w:rsidRDefault="009B28F6" w:rsidP="009B28F6">
      <w:pPr>
        <w:rPr>
          <w:lang w:eastAsia="zh-CN"/>
        </w:rPr>
      </w:pPr>
    </w:p>
    <w:p w14:paraId="3C3957F2" w14:textId="77777777" w:rsidR="00380F71" w:rsidRPr="00136215" w:rsidRDefault="00380F71" w:rsidP="00380F71">
      <w:pPr>
        <w:pStyle w:val="Heading1"/>
        <w:rPr>
          <w:sz w:val="24"/>
          <w:szCs w:val="24"/>
          <w:lang w:eastAsia="zh-CN"/>
        </w:rPr>
      </w:pPr>
      <w:bookmarkStart w:id="21" w:name="_Toc524277824"/>
      <w:bookmarkEnd w:id="1"/>
      <w:r w:rsidRPr="00136215">
        <w:rPr>
          <w:sz w:val="24"/>
          <w:szCs w:val="24"/>
          <w:lang w:eastAsia="zh-CN"/>
        </w:rPr>
        <w:t>Portfolio Overview</w:t>
      </w:r>
      <w:bookmarkEnd w:id="21"/>
    </w:p>
    <w:p w14:paraId="7EEFAB56" w14:textId="77777777" w:rsidR="001C0447" w:rsidRDefault="00D23552" w:rsidP="00C25D62">
      <w:pPr>
        <w:spacing w:before="180" w:after="0"/>
        <w:rPr>
          <w:sz w:val="20"/>
          <w:szCs w:val="20"/>
        </w:rPr>
      </w:pPr>
      <w:r>
        <w:rPr>
          <w:sz w:val="20"/>
          <w:szCs w:val="20"/>
          <w:lang w:val="en-US"/>
        </w:rPr>
        <w:t>In providing such information</w:t>
      </w:r>
      <w:r w:rsidDel="00D23552">
        <w:rPr>
          <w:sz w:val="20"/>
          <w:szCs w:val="20"/>
          <w:lang w:val="en-US"/>
        </w:rPr>
        <w:t xml:space="preserve"> </w:t>
      </w:r>
      <w:r>
        <w:rPr>
          <w:sz w:val="20"/>
          <w:szCs w:val="20"/>
          <w:lang w:val="en-US"/>
        </w:rPr>
        <w:t xml:space="preserve">on </w:t>
      </w:r>
      <w:r w:rsidR="006528BA">
        <w:rPr>
          <w:sz w:val="20"/>
          <w:szCs w:val="20"/>
          <w:lang w:val="en-US"/>
        </w:rPr>
        <w:t xml:space="preserve">asset allocation and </w:t>
      </w:r>
      <w:r w:rsidR="00967777">
        <w:rPr>
          <w:sz w:val="20"/>
          <w:szCs w:val="20"/>
          <w:lang w:val="en-US"/>
        </w:rPr>
        <w:t>performance</w:t>
      </w:r>
      <w:r w:rsidR="004546CF">
        <w:rPr>
          <w:sz w:val="20"/>
          <w:szCs w:val="20"/>
          <w:lang w:val="en-US"/>
        </w:rPr>
        <w:t xml:space="preserve">, it is worth reiterating the </w:t>
      </w:r>
      <w:r w:rsidR="005C7F7F">
        <w:rPr>
          <w:sz w:val="20"/>
          <w:szCs w:val="20"/>
          <w:lang w:val="en-US"/>
        </w:rPr>
        <w:t>l</w:t>
      </w:r>
      <w:r w:rsidR="00795378">
        <w:rPr>
          <w:sz w:val="20"/>
          <w:szCs w:val="20"/>
          <w:lang w:val="en-US"/>
        </w:rPr>
        <w:t xml:space="preserve">ong-term </w:t>
      </w:r>
      <w:r w:rsidR="001C0447">
        <w:rPr>
          <w:sz w:val="20"/>
          <w:szCs w:val="20"/>
          <w:lang w:val="en-US"/>
        </w:rPr>
        <w:t xml:space="preserve">objectives </w:t>
      </w:r>
      <w:r w:rsidR="000A3549">
        <w:rPr>
          <w:sz w:val="20"/>
          <w:szCs w:val="20"/>
          <w:lang w:val="en-US"/>
        </w:rPr>
        <w:t>of</w:t>
      </w:r>
      <w:r w:rsidR="001C0447">
        <w:rPr>
          <w:sz w:val="20"/>
          <w:szCs w:val="20"/>
          <w:lang w:val="en-US"/>
        </w:rPr>
        <w:t xml:space="preserve"> the SMF. </w:t>
      </w:r>
      <w:r w:rsidR="000E7D64">
        <w:rPr>
          <w:sz w:val="20"/>
          <w:szCs w:val="20"/>
          <w:lang w:val="en-US"/>
        </w:rPr>
        <w:t>T</w:t>
      </w:r>
      <w:r w:rsidR="007C6FE4">
        <w:rPr>
          <w:sz w:val="20"/>
          <w:szCs w:val="20"/>
          <w:lang w:val="en-US"/>
        </w:rPr>
        <w:t xml:space="preserve">he SMF </w:t>
      </w:r>
      <w:r w:rsidR="00927BCD">
        <w:rPr>
          <w:sz w:val="20"/>
          <w:szCs w:val="20"/>
          <w:lang w:val="en-US"/>
        </w:rPr>
        <w:t>strive</w:t>
      </w:r>
      <w:r w:rsidR="000E7D64">
        <w:rPr>
          <w:sz w:val="20"/>
          <w:szCs w:val="20"/>
          <w:lang w:val="en-US"/>
        </w:rPr>
        <w:t>s</w:t>
      </w:r>
      <w:r w:rsidR="00927BCD">
        <w:rPr>
          <w:sz w:val="20"/>
          <w:szCs w:val="20"/>
          <w:lang w:val="en-US"/>
        </w:rPr>
        <w:t xml:space="preserve"> to </w:t>
      </w:r>
      <w:r w:rsidR="005C7F7F">
        <w:rPr>
          <w:sz w:val="20"/>
          <w:szCs w:val="20"/>
        </w:rPr>
        <w:t>m</w:t>
      </w:r>
      <w:r w:rsidR="00927BCD" w:rsidRPr="00927BCD">
        <w:rPr>
          <w:sz w:val="20"/>
          <w:szCs w:val="20"/>
        </w:rPr>
        <w:t>aximise the long-term trade-off between the expected value of funds invested, against the risk of sustained reduction in the real value</w:t>
      </w:r>
      <w:r w:rsidR="000E7D64">
        <w:rPr>
          <w:sz w:val="20"/>
          <w:szCs w:val="20"/>
        </w:rPr>
        <w:t xml:space="preserve"> </w:t>
      </w:r>
      <w:r w:rsidR="002753D8">
        <w:rPr>
          <w:sz w:val="20"/>
          <w:szCs w:val="20"/>
        </w:rPr>
        <w:t>of the portfolio</w:t>
      </w:r>
      <w:r w:rsidR="000A3549">
        <w:rPr>
          <w:sz w:val="20"/>
          <w:szCs w:val="20"/>
        </w:rPr>
        <w:t>. The aim is</w:t>
      </w:r>
      <w:r w:rsidR="002753D8">
        <w:rPr>
          <w:sz w:val="20"/>
          <w:szCs w:val="20"/>
        </w:rPr>
        <w:t xml:space="preserve"> </w:t>
      </w:r>
      <w:r w:rsidR="000E7D64">
        <w:rPr>
          <w:sz w:val="20"/>
          <w:szCs w:val="20"/>
        </w:rPr>
        <w:t xml:space="preserve">to support </w:t>
      </w:r>
      <w:r w:rsidR="000A3549">
        <w:rPr>
          <w:sz w:val="20"/>
          <w:szCs w:val="20"/>
        </w:rPr>
        <w:t xml:space="preserve">the real value of </w:t>
      </w:r>
      <w:r w:rsidR="000E7D64">
        <w:rPr>
          <w:sz w:val="20"/>
          <w:szCs w:val="20"/>
        </w:rPr>
        <w:t xml:space="preserve">its </w:t>
      </w:r>
      <w:r w:rsidR="005F6BE6">
        <w:rPr>
          <w:sz w:val="20"/>
          <w:szCs w:val="20"/>
        </w:rPr>
        <w:t xml:space="preserve">philanthropic activities in </w:t>
      </w:r>
      <w:r w:rsidR="00E51358">
        <w:rPr>
          <w:sz w:val="20"/>
          <w:szCs w:val="20"/>
        </w:rPr>
        <w:t>perpetuity</w:t>
      </w:r>
      <w:r>
        <w:rPr>
          <w:sz w:val="20"/>
          <w:szCs w:val="20"/>
        </w:rPr>
        <w:t>, i.e. maintain the real value of the fund and its distributions over the long run</w:t>
      </w:r>
      <w:r w:rsidR="00E51358">
        <w:rPr>
          <w:sz w:val="20"/>
          <w:szCs w:val="20"/>
        </w:rPr>
        <w:t xml:space="preserve">. </w:t>
      </w:r>
    </w:p>
    <w:p w14:paraId="4B8D0CEF" w14:textId="5482541F" w:rsidR="00610FAB" w:rsidRPr="001918CE" w:rsidRDefault="000A3549" w:rsidP="00C25D62">
      <w:pPr>
        <w:spacing w:before="180" w:after="0"/>
        <w:rPr>
          <w:sz w:val="20"/>
          <w:szCs w:val="20"/>
          <w:lang w:val="en-US"/>
        </w:rPr>
      </w:pPr>
      <w:r>
        <w:rPr>
          <w:sz w:val="20"/>
          <w:szCs w:val="20"/>
          <w:lang w:val="en-US"/>
        </w:rPr>
        <w:t>This report reflects portfolio data as at 31 August 2018, with performance struck over the period since 9 June 2018</w:t>
      </w:r>
      <w:r w:rsidR="008D4435">
        <w:rPr>
          <w:sz w:val="20"/>
          <w:szCs w:val="20"/>
          <w:lang w:val="en-US"/>
        </w:rPr>
        <w:t>,</w:t>
      </w:r>
      <w:r>
        <w:rPr>
          <w:sz w:val="20"/>
          <w:szCs w:val="20"/>
          <w:lang w:val="en-US"/>
        </w:rPr>
        <w:t xml:space="preserve"> which was the basis </w:t>
      </w:r>
      <w:r w:rsidRPr="00252399">
        <w:rPr>
          <w:sz w:val="20"/>
          <w:szCs w:val="20"/>
          <w:lang w:val="en-US"/>
        </w:rPr>
        <w:t xml:space="preserve">for </w:t>
      </w:r>
      <w:r w:rsidR="002A66C9">
        <w:rPr>
          <w:sz w:val="20"/>
          <w:szCs w:val="20"/>
          <w:lang w:val="en-US"/>
        </w:rPr>
        <w:t>the r</w:t>
      </w:r>
      <w:r w:rsidRPr="001918CE">
        <w:rPr>
          <w:sz w:val="20"/>
          <w:szCs w:val="20"/>
          <w:lang w:val="en-US"/>
        </w:rPr>
        <w:t xml:space="preserve">eport for End-Semester 1 2018. </w:t>
      </w:r>
      <w:r w:rsidR="007D6985" w:rsidRPr="001918CE">
        <w:rPr>
          <w:sz w:val="20"/>
          <w:szCs w:val="20"/>
          <w:lang w:val="en-US"/>
        </w:rPr>
        <w:t xml:space="preserve">Asset allocation data </w:t>
      </w:r>
      <w:r w:rsidR="00CC346C" w:rsidRPr="001918CE">
        <w:rPr>
          <w:sz w:val="20"/>
          <w:szCs w:val="20"/>
          <w:lang w:val="en-US"/>
        </w:rPr>
        <w:t xml:space="preserve">for </w:t>
      </w:r>
      <w:r w:rsidR="002A66C9">
        <w:rPr>
          <w:sz w:val="20"/>
          <w:szCs w:val="20"/>
          <w:lang w:val="en-US"/>
        </w:rPr>
        <w:t>9 June and 31 August</w:t>
      </w:r>
      <w:r w:rsidR="002753D8" w:rsidRPr="001918CE">
        <w:rPr>
          <w:sz w:val="20"/>
          <w:szCs w:val="20"/>
          <w:lang w:val="en-US"/>
        </w:rPr>
        <w:t xml:space="preserve"> </w:t>
      </w:r>
      <w:r w:rsidR="002A66C9">
        <w:rPr>
          <w:sz w:val="20"/>
          <w:szCs w:val="20"/>
          <w:lang w:val="en-US"/>
        </w:rPr>
        <w:t>are</w:t>
      </w:r>
      <w:r w:rsidR="00CC346C" w:rsidRPr="001918CE">
        <w:rPr>
          <w:sz w:val="20"/>
          <w:szCs w:val="20"/>
          <w:lang w:val="en-US"/>
        </w:rPr>
        <w:t xml:space="preserve"> </w:t>
      </w:r>
      <w:r w:rsidR="00FD373E" w:rsidRPr="001918CE">
        <w:rPr>
          <w:sz w:val="20"/>
          <w:szCs w:val="20"/>
          <w:lang w:val="en-US"/>
        </w:rPr>
        <w:t xml:space="preserve">presented </w:t>
      </w:r>
      <w:r w:rsidR="00CC346C" w:rsidRPr="001918CE">
        <w:rPr>
          <w:sz w:val="20"/>
          <w:szCs w:val="20"/>
          <w:lang w:val="en-US"/>
        </w:rPr>
        <w:t xml:space="preserve">in Figure 1 </w:t>
      </w:r>
      <w:r w:rsidR="00253FB0" w:rsidRPr="001918CE">
        <w:rPr>
          <w:sz w:val="20"/>
          <w:szCs w:val="20"/>
          <w:lang w:val="en-US"/>
        </w:rPr>
        <w:t>and</w:t>
      </w:r>
      <w:r w:rsidR="00CC346C" w:rsidRPr="001918CE">
        <w:rPr>
          <w:sz w:val="20"/>
          <w:szCs w:val="20"/>
          <w:lang w:val="en-US"/>
        </w:rPr>
        <w:t xml:space="preserve"> </w:t>
      </w:r>
      <w:r w:rsidR="00FD373E" w:rsidRPr="001918CE">
        <w:rPr>
          <w:sz w:val="20"/>
          <w:szCs w:val="20"/>
          <w:lang w:val="en-US"/>
        </w:rPr>
        <w:t>Figure 2</w:t>
      </w:r>
      <w:r w:rsidR="002A66C9">
        <w:rPr>
          <w:sz w:val="20"/>
          <w:szCs w:val="20"/>
          <w:lang w:val="en-US"/>
        </w:rPr>
        <w:t>,</w:t>
      </w:r>
      <w:r w:rsidR="00CC346C" w:rsidRPr="001918CE">
        <w:rPr>
          <w:sz w:val="20"/>
          <w:szCs w:val="20"/>
          <w:lang w:val="en-US"/>
        </w:rPr>
        <w:t xml:space="preserve"> </w:t>
      </w:r>
      <w:r w:rsidR="00253FB0" w:rsidRPr="001918CE">
        <w:rPr>
          <w:sz w:val="20"/>
          <w:szCs w:val="20"/>
          <w:lang w:val="en-US"/>
        </w:rPr>
        <w:t xml:space="preserve">respectively. </w:t>
      </w:r>
      <w:r w:rsidR="00D23552" w:rsidRPr="001918CE">
        <w:rPr>
          <w:sz w:val="20"/>
          <w:szCs w:val="20"/>
          <w:lang w:val="en-US"/>
        </w:rPr>
        <w:t>M</w:t>
      </w:r>
      <w:r w:rsidR="007665AF" w:rsidRPr="001918CE">
        <w:rPr>
          <w:sz w:val="20"/>
          <w:szCs w:val="20"/>
          <w:lang w:val="en-US"/>
        </w:rPr>
        <w:t xml:space="preserve">inor changes in asset allocation have </w:t>
      </w:r>
      <w:r w:rsidR="00916759" w:rsidRPr="001918CE">
        <w:rPr>
          <w:sz w:val="20"/>
          <w:szCs w:val="20"/>
          <w:lang w:val="en-US"/>
        </w:rPr>
        <w:t>occurred as a result of</w:t>
      </w:r>
      <w:r w:rsidR="00D23552" w:rsidRPr="001918CE">
        <w:rPr>
          <w:sz w:val="20"/>
          <w:szCs w:val="20"/>
          <w:lang w:val="en-US"/>
        </w:rPr>
        <w:t xml:space="preserve"> differing</w:t>
      </w:r>
      <w:r w:rsidR="00052E24" w:rsidRPr="001918CE">
        <w:rPr>
          <w:sz w:val="20"/>
          <w:szCs w:val="20"/>
          <w:lang w:val="en-US"/>
        </w:rPr>
        <w:t xml:space="preserve"> performance of the asset classes </w:t>
      </w:r>
      <w:r w:rsidR="00D23552" w:rsidRPr="001918CE">
        <w:rPr>
          <w:sz w:val="20"/>
          <w:szCs w:val="20"/>
          <w:lang w:val="en-US"/>
        </w:rPr>
        <w:t xml:space="preserve">acting to shift the weights, </w:t>
      </w:r>
      <w:r w:rsidR="00052E24" w:rsidRPr="001918CE">
        <w:rPr>
          <w:sz w:val="20"/>
          <w:szCs w:val="20"/>
          <w:lang w:val="en-US"/>
        </w:rPr>
        <w:t>rather th</w:t>
      </w:r>
      <w:r w:rsidR="008D6578" w:rsidRPr="001918CE">
        <w:rPr>
          <w:sz w:val="20"/>
          <w:szCs w:val="20"/>
          <w:lang w:val="en-US"/>
        </w:rPr>
        <w:t>a</w:t>
      </w:r>
      <w:r w:rsidR="00052E24" w:rsidRPr="001918CE">
        <w:rPr>
          <w:sz w:val="20"/>
          <w:szCs w:val="20"/>
          <w:lang w:val="en-US"/>
        </w:rPr>
        <w:t xml:space="preserve">n </w:t>
      </w:r>
      <w:r w:rsidR="00E96035" w:rsidRPr="001918CE">
        <w:rPr>
          <w:sz w:val="20"/>
          <w:szCs w:val="20"/>
          <w:lang w:val="en-US"/>
        </w:rPr>
        <w:t xml:space="preserve">deliberate asset allocation decisions. </w:t>
      </w:r>
      <w:r w:rsidR="004C52E1" w:rsidRPr="001918CE">
        <w:rPr>
          <w:sz w:val="20"/>
          <w:szCs w:val="20"/>
          <w:lang w:val="en-US"/>
        </w:rPr>
        <w:t xml:space="preserve">The SMF monitors these </w:t>
      </w:r>
      <w:r w:rsidR="00294038" w:rsidRPr="001918CE">
        <w:rPr>
          <w:sz w:val="20"/>
          <w:szCs w:val="20"/>
          <w:lang w:val="en-US"/>
        </w:rPr>
        <w:t>deviations and</w:t>
      </w:r>
      <w:r w:rsidR="004C52E1" w:rsidRPr="001918CE">
        <w:rPr>
          <w:sz w:val="20"/>
          <w:szCs w:val="20"/>
          <w:lang w:val="en-US"/>
        </w:rPr>
        <w:t xml:space="preserve"> has appropriate</w:t>
      </w:r>
      <w:r w:rsidR="00A03F1F" w:rsidRPr="001918CE">
        <w:rPr>
          <w:sz w:val="20"/>
          <w:szCs w:val="20"/>
          <w:lang w:val="en-US"/>
        </w:rPr>
        <w:t xml:space="preserve"> policies in place </w:t>
      </w:r>
      <w:r w:rsidR="00A62057" w:rsidRPr="001918CE">
        <w:rPr>
          <w:sz w:val="20"/>
          <w:szCs w:val="20"/>
          <w:lang w:val="en-US"/>
        </w:rPr>
        <w:t xml:space="preserve">if rebalancing is required. </w:t>
      </w:r>
    </w:p>
    <w:p w14:paraId="7D360F0D" w14:textId="10A896E6" w:rsidR="00380F71" w:rsidRPr="006771EF" w:rsidRDefault="00380F71" w:rsidP="008F27E5">
      <w:pPr>
        <w:pStyle w:val="TableFigure"/>
        <w:spacing w:before="360" w:after="40"/>
        <w:ind w:left="1267"/>
        <w:rPr>
          <w:sz w:val="20"/>
          <w:szCs w:val="20"/>
          <w:lang w:val="en-US"/>
        </w:rPr>
      </w:pPr>
      <w:r w:rsidRPr="001918CE">
        <w:rPr>
          <w:sz w:val="20"/>
          <w:szCs w:val="20"/>
          <w:lang w:val="en-US" w:eastAsia="zh-CN"/>
        </w:rPr>
        <w:t xml:space="preserve">Figure 1: </w:t>
      </w:r>
      <w:r w:rsidR="00DF6E90" w:rsidRPr="001918CE">
        <w:rPr>
          <w:sz w:val="20"/>
          <w:szCs w:val="20"/>
          <w:lang w:val="en-US"/>
        </w:rPr>
        <w:t xml:space="preserve">Asset Allocation as at </w:t>
      </w:r>
      <w:r w:rsidR="008F27E5" w:rsidRPr="001918CE">
        <w:rPr>
          <w:sz w:val="20"/>
          <w:szCs w:val="20"/>
          <w:lang w:val="en-US" w:eastAsia="zh-CN"/>
        </w:rPr>
        <w:t>9/6/2018</w:t>
      </w:r>
    </w:p>
    <w:p w14:paraId="1DEC6AF3" w14:textId="22D76951" w:rsidR="00380F71" w:rsidRPr="006771EF" w:rsidRDefault="00380F71" w:rsidP="00380F71">
      <w:pPr>
        <w:pStyle w:val="TableFigure"/>
        <w:jc w:val="center"/>
        <w:rPr>
          <w:sz w:val="20"/>
          <w:szCs w:val="20"/>
          <w:lang w:val="en-US" w:eastAsia="zh-CN"/>
        </w:rPr>
      </w:pPr>
      <w:r w:rsidRPr="006771EF">
        <w:rPr>
          <w:noProof/>
          <w:sz w:val="20"/>
          <w:szCs w:val="20"/>
          <w:lang w:val="en-US"/>
        </w:rPr>
        <w:drawing>
          <wp:inline distT="0" distB="0" distL="0" distR="0" wp14:anchorId="45047167" wp14:editId="5DB97D6D">
            <wp:extent cx="4572000" cy="2743200"/>
            <wp:effectExtent l="0" t="0" r="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bookmarkStart w:id="22" w:name="_GoBack"/>
      <w:bookmarkEnd w:id="22"/>
    </w:p>
    <w:p w14:paraId="701AED08" w14:textId="77777777" w:rsidR="002F1534" w:rsidRDefault="002F1534" w:rsidP="002F1534">
      <w:pPr>
        <w:pStyle w:val="TableFigure"/>
        <w:spacing w:before="0" w:after="40"/>
        <w:rPr>
          <w:sz w:val="22"/>
          <w:szCs w:val="22"/>
          <w:lang w:val="en-US"/>
        </w:rPr>
      </w:pPr>
    </w:p>
    <w:p w14:paraId="11CF9E42" w14:textId="1DD42EFA" w:rsidR="00F627EC" w:rsidRPr="006771EF" w:rsidRDefault="002F1534" w:rsidP="002F1534">
      <w:pPr>
        <w:pStyle w:val="TableFigure"/>
        <w:spacing w:before="0" w:after="40"/>
        <w:rPr>
          <w:sz w:val="20"/>
          <w:szCs w:val="20"/>
          <w:lang w:val="en-US"/>
        </w:rPr>
      </w:pPr>
      <w:r>
        <w:rPr>
          <w:sz w:val="20"/>
          <w:szCs w:val="20"/>
          <w:lang w:val="en-US" w:eastAsia="zh-CN"/>
        </w:rPr>
        <w:t>F</w:t>
      </w:r>
      <w:r w:rsidR="00F627EC" w:rsidRPr="006771EF">
        <w:rPr>
          <w:sz w:val="20"/>
          <w:szCs w:val="20"/>
          <w:lang w:val="en-US" w:eastAsia="zh-CN"/>
        </w:rPr>
        <w:t xml:space="preserve">igure </w:t>
      </w:r>
      <w:r w:rsidR="00F627EC">
        <w:rPr>
          <w:sz w:val="20"/>
          <w:szCs w:val="20"/>
          <w:lang w:val="en-US" w:eastAsia="zh-CN"/>
        </w:rPr>
        <w:t>2</w:t>
      </w:r>
      <w:r w:rsidR="00F627EC" w:rsidRPr="006771EF">
        <w:rPr>
          <w:sz w:val="20"/>
          <w:szCs w:val="20"/>
          <w:lang w:val="en-US" w:eastAsia="zh-CN"/>
        </w:rPr>
        <w:t xml:space="preserve">: </w:t>
      </w:r>
      <w:r w:rsidR="00F627EC">
        <w:rPr>
          <w:sz w:val="20"/>
          <w:szCs w:val="20"/>
          <w:lang w:val="en-US"/>
        </w:rPr>
        <w:t xml:space="preserve">Asset Allocation as at </w:t>
      </w:r>
      <w:r w:rsidR="00F627EC">
        <w:rPr>
          <w:sz w:val="20"/>
          <w:szCs w:val="20"/>
          <w:lang w:val="en-US" w:eastAsia="zh-CN"/>
        </w:rPr>
        <w:t>31/8</w:t>
      </w:r>
      <w:r w:rsidR="00F627EC" w:rsidRPr="006771EF">
        <w:rPr>
          <w:sz w:val="20"/>
          <w:szCs w:val="20"/>
          <w:lang w:val="en-US" w:eastAsia="zh-CN"/>
        </w:rPr>
        <w:t>/2018</w:t>
      </w:r>
    </w:p>
    <w:p w14:paraId="64F7035F" w14:textId="2EB1B0AD" w:rsidR="00C25D62" w:rsidRDefault="002F1534" w:rsidP="00C25D62">
      <w:pPr>
        <w:spacing w:before="180" w:after="0"/>
        <w:rPr>
          <w:sz w:val="20"/>
          <w:szCs w:val="20"/>
        </w:rPr>
      </w:pPr>
      <w:r>
        <w:rPr>
          <w:noProof/>
        </w:rPr>
        <w:drawing>
          <wp:anchor distT="0" distB="0" distL="114300" distR="114300" simplePos="0" relativeHeight="251695104" behindDoc="0" locked="0" layoutInCell="1" allowOverlap="1" wp14:anchorId="20F9FDB7" wp14:editId="71D39C62">
            <wp:simplePos x="0" y="0"/>
            <wp:positionH relativeFrom="margin">
              <wp:align>right</wp:align>
            </wp:positionH>
            <wp:positionV relativeFrom="paragraph">
              <wp:posOffset>95250</wp:posOffset>
            </wp:positionV>
            <wp:extent cx="6089650" cy="2943225"/>
            <wp:effectExtent l="0" t="0" r="6350" b="9525"/>
            <wp:wrapNone/>
            <wp:docPr id="2" name="Chart 2">
              <a:extLst xmlns:a="http://schemas.openxmlformats.org/drawingml/2006/main">
                <a:ext uri="{FF2B5EF4-FFF2-40B4-BE49-F238E27FC236}">
                  <a16:creationId xmlns:a16="http://schemas.microsoft.com/office/drawing/2014/main" id="{78A9FD54-7B4A-4ADC-A2D3-1AA57594753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14:sizeRelV relativeFrom="margin">
              <wp14:pctHeight>0</wp14:pctHeight>
            </wp14:sizeRelV>
          </wp:anchor>
        </w:drawing>
      </w:r>
    </w:p>
    <w:p w14:paraId="73493298" w14:textId="77777777" w:rsidR="00C25D62" w:rsidRDefault="00C25D62">
      <w:pPr>
        <w:widowControl/>
        <w:spacing w:line="312" w:lineRule="auto"/>
        <w:jc w:val="left"/>
        <w:rPr>
          <w:sz w:val="20"/>
          <w:szCs w:val="20"/>
        </w:rPr>
      </w:pPr>
      <w:r>
        <w:rPr>
          <w:sz w:val="20"/>
          <w:szCs w:val="20"/>
        </w:rPr>
        <w:br w:type="page"/>
      </w:r>
    </w:p>
    <w:p w14:paraId="5A26DE50" w14:textId="77777777" w:rsidR="00506528" w:rsidRPr="001918CE" w:rsidRDefault="00C25D62" w:rsidP="00C25D62">
      <w:pPr>
        <w:spacing w:before="180" w:after="0"/>
        <w:rPr>
          <w:sz w:val="20"/>
          <w:szCs w:val="20"/>
          <w:lang w:val="en-US"/>
        </w:rPr>
      </w:pPr>
      <w:r w:rsidRPr="006771EF">
        <w:rPr>
          <w:sz w:val="20"/>
          <w:szCs w:val="20"/>
        </w:rPr>
        <w:t>Figure 3</w:t>
      </w:r>
      <w:r>
        <w:rPr>
          <w:sz w:val="20"/>
          <w:szCs w:val="20"/>
          <w:lang w:val="en-US"/>
        </w:rPr>
        <w:t xml:space="preserve"> details the investments and </w:t>
      </w:r>
      <w:r w:rsidR="004448A0">
        <w:rPr>
          <w:sz w:val="20"/>
          <w:szCs w:val="20"/>
          <w:lang w:val="en-US"/>
        </w:rPr>
        <w:t xml:space="preserve">total </w:t>
      </w:r>
      <w:r>
        <w:rPr>
          <w:sz w:val="20"/>
          <w:szCs w:val="20"/>
          <w:lang w:val="en-US"/>
        </w:rPr>
        <w:t>performance</w:t>
      </w:r>
      <w:r w:rsidR="001A6D93">
        <w:rPr>
          <w:sz w:val="20"/>
          <w:szCs w:val="20"/>
          <w:lang w:val="en-US"/>
        </w:rPr>
        <w:t xml:space="preserve"> </w:t>
      </w:r>
      <w:r w:rsidR="00253FB0">
        <w:rPr>
          <w:sz w:val="20"/>
          <w:szCs w:val="20"/>
          <w:lang w:val="en-US"/>
        </w:rPr>
        <w:t xml:space="preserve">since the last report. Over this period, </w:t>
      </w:r>
      <w:r w:rsidR="001A6D93">
        <w:rPr>
          <w:sz w:val="20"/>
          <w:szCs w:val="20"/>
          <w:lang w:val="en-US"/>
        </w:rPr>
        <w:t>the SMF portfolio</w:t>
      </w:r>
      <w:r w:rsidR="00A42D46">
        <w:rPr>
          <w:sz w:val="20"/>
          <w:szCs w:val="20"/>
          <w:lang w:val="en-US"/>
        </w:rPr>
        <w:t xml:space="preserve"> achieved </w:t>
      </w:r>
      <w:r w:rsidR="00FE061D" w:rsidRPr="006771EF">
        <w:rPr>
          <w:sz w:val="20"/>
          <w:szCs w:val="20"/>
          <w:lang w:val="en-US"/>
        </w:rPr>
        <w:t>a</w:t>
      </w:r>
      <w:r w:rsidRPr="006771EF">
        <w:rPr>
          <w:sz w:val="20"/>
          <w:szCs w:val="20"/>
          <w:lang w:val="en-US"/>
        </w:rPr>
        <w:t xml:space="preserve"> return of </w:t>
      </w:r>
      <w:r w:rsidR="00E62385" w:rsidRPr="004C0DBC">
        <w:rPr>
          <w:sz w:val="20"/>
          <w:szCs w:val="20"/>
          <w:lang w:val="en-US"/>
        </w:rPr>
        <w:t>5.</w:t>
      </w:r>
      <w:r w:rsidR="004C0DBC" w:rsidRPr="004C0DBC">
        <w:rPr>
          <w:sz w:val="20"/>
          <w:szCs w:val="20"/>
          <w:lang w:val="en-US"/>
        </w:rPr>
        <w:t>08</w:t>
      </w:r>
      <w:r w:rsidRPr="004C0DBC">
        <w:rPr>
          <w:sz w:val="20"/>
          <w:szCs w:val="20"/>
          <w:lang w:val="en-US"/>
        </w:rPr>
        <w:t>%</w:t>
      </w:r>
      <w:r w:rsidR="00A42D46" w:rsidRPr="004C0DBC">
        <w:rPr>
          <w:sz w:val="20"/>
          <w:szCs w:val="20"/>
          <w:lang w:val="en-US"/>
        </w:rPr>
        <w:t xml:space="preserve">. </w:t>
      </w:r>
      <w:r w:rsidR="00CB4F14" w:rsidRPr="004C0DBC">
        <w:rPr>
          <w:sz w:val="20"/>
          <w:szCs w:val="20"/>
          <w:lang w:val="en-US"/>
        </w:rPr>
        <w:t>The</w:t>
      </w:r>
      <w:r w:rsidR="00CB4F14">
        <w:rPr>
          <w:sz w:val="20"/>
          <w:szCs w:val="20"/>
          <w:lang w:val="en-US"/>
        </w:rPr>
        <w:t xml:space="preserve"> SMF portfolio holds </w:t>
      </w:r>
      <w:r w:rsidR="00C735B3">
        <w:rPr>
          <w:sz w:val="20"/>
          <w:szCs w:val="20"/>
          <w:lang w:val="en-US"/>
        </w:rPr>
        <w:t>an</w:t>
      </w:r>
      <w:r w:rsidR="00F802FF">
        <w:rPr>
          <w:sz w:val="20"/>
          <w:szCs w:val="20"/>
          <w:lang w:val="en-US"/>
        </w:rPr>
        <w:t xml:space="preserve"> 80.</w:t>
      </w:r>
      <w:r w:rsidR="00652C25">
        <w:rPr>
          <w:sz w:val="20"/>
          <w:szCs w:val="20"/>
          <w:lang w:val="en-US"/>
        </w:rPr>
        <w:t>5</w:t>
      </w:r>
      <w:r w:rsidR="00F802FF">
        <w:rPr>
          <w:sz w:val="20"/>
          <w:szCs w:val="20"/>
          <w:lang w:val="en-US"/>
        </w:rPr>
        <w:t xml:space="preserve">0% exposure to equity and thus has </w:t>
      </w:r>
      <w:r w:rsidR="00C211F9">
        <w:rPr>
          <w:sz w:val="20"/>
          <w:szCs w:val="20"/>
          <w:lang w:val="en-US"/>
        </w:rPr>
        <w:t>benefited</w:t>
      </w:r>
      <w:r w:rsidR="00F802FF">
        <w:rPr>
          <w:sz w:val="20"/>
          <w:szCs w:val="20"/>
          <w:lang w:val="en-US"/>
        </w:rPr>
        <w:t xml:space="preserve"> </w:t>
      </w:r>
      <w:r w:rsidR="0030012E">
        <w:rPr>
          <w:sz w:val="20"/>
          <w:szCs w:val="20"/>
          <w:lang w:val="en-US"/>
        </w:rPr>
        <w:t xml:space="preserve">from the strong performance of equity markets since the </w:t>
      </w:r>
      <w:r w:rsidR="008D4435">
        <w:rPr>
          <w:sz w:val="20"/>
          <w:szCs w:val="20"/>
          <w:lang w:val="en-US"/>
        </w:rPr>
        <w:t xml:space="preserve">Fund’s </w:t>
      </w:r>
      <w:r w:rsidR="0030012E">
        <w:rPr>
          <w:sz w:val="20"/>
          <w:szCs w:val="20"/>
          <w:lang w:val="en-US"/>
        </w:rPr>
        <w:t xml:space="preserve">investment in the reference portfolio on 16 April 2018. While these short-term returns are </w:t>
      </w:r>
      <w:r w:rsidR="005405E4">
        <w:rPr>
          <w:sz w:val="20"/>
          <w:szCs w:val="20"/>
          <w:lang w:val="en-US"/>
        </w:rPr>
        <w:t>positive, such performance</w:t>
      </w:r>
      <w:r w:rsidR="003274FE">
        <w:rPr>
          <w:sz w:val="20"/>
          <w:szCs w:val="20"/>
          <w:lang w:val="en-US"/>
        </w:rPr>
        <w:t xml:space="preserve">, particularly in </w:t>
      </w:r>
      <w:r w:rsidR="003274FE" w:rsidRPr="001918CE">
        <w:rPr>
          <w:sz w:val="20"/>
          <w:szCs w:val="20"/>
          <w:lang w:val="en-US"/>
        </w:rPr>
        <w:t>equity markets</w:t>
      </w:r>
      <w:r w:rsidR="00C735B3" w:rsidRPr="001918CE">
        <w:rPr>
          <w:sz w:val="20"/>
          <w:szCs w:val="20"/>
          <w:lang w:val="en-US"/>
        </w:rPr>
        <w:t>,</w:t>
      </w:r>
      <w:r w:rsidR="005405E4" w:rsidRPr="001918CE">
        <w:rPr>
          <w:sz w:val="20"/>
          <w:szCs w:val="20"/>
          <w:lang w:val="en-US"/>
        </w:rPr>
        <w:t xml:space="preserve"> </w:t>
      </w:r>
      <w:r w:rsidR="001D2350" w:rsidRPr="001918CE">
        <w:rPr>
          <w:sz w:val="20"/>
          <w:szCs w:val="20"/>
          <w:lang w:val="en-US"/>
        </w:rPr>
        <w:t>is subject to fluctuations</w:t>
      </w:r>
      <w:r w:rsidR="00D1235D" w:rsidRPr="001918CE">
        <w:rPr>
          <w:sz w:val="20"/>
          <w:szCs w:val="20"/>
          <w:lang w:val="en-US"/>
        </w:rPr>
        <w:t xml:space="preserve"> and thus </w:t>
      </w:r>
      <w:r w:rsidR="00CC4FEA" w:rsidRPr="001918CE">
        <w:rPr>
          <w:sz w:val="20"/>
          <w:szCs w:val="20"/>
          <w:lang w:val="en-US"/>
        </w:rPr>
        <w:t xml:space="preserve">these returns are assessed against the context of the </w:t>
      </w:r>
      <w:r w:rsidR="008D4435" w:rsidRPr="001918CE">
        <w:rPr>
          <w:sz w:val="20"/>
          <w:szCs w:val="20"/>
          <w:lang w:val="en-US"/>
        </w:rPr>
        <w:t xml:space="preserve">Fund’s </w:t>
      </w:r>
      <w:r w:rsidR="00316D9D" w:rsidRPr="001918CE">
        <w:rPr>
          <w:sz w:val="20"/>
          <w:szCs w:val="20"/>
          <w:lang w:val="en-US"/>
        </w:rPr>
        <w:t>long-term</w:t>
      </w:r>
      <w:r w:rsidR="00CC4FEA" w:rsidRPr="001918CE">
        <w:rPr>
          <w:sz w:val="20"/>
          <w:szCs w:val="20"/>
          <w:lang w:val="en-US"/>
        </w:rPr>
        <w:t xml:space="preserve"> objectives. </w:t>
      </w:r>
      <w:r w:rsidR="00506528" w:rsidRPr="001918CE">
        <w:rPr>
          <w:sz w:val="20"/>
          <w:szCs w:val="20"/>
          <w:lang w:val="en-US"/>
        </w:rPr>
        <w:t xml:space="preserve">In this regard, </w:t>
      </w:r>
      <w:r w:rsidR="004448A0" w:rsidRPr="001918CE">
        <w:rPr>
          <w:sz w:val="20"/>
          <w:szCs w:val="20"/>
          <w:lang w:val="en-US"/>
        </w:rPr>
        <w:t xml:space="preserve">all we can say is that </w:t>
      </w:r>
      <w:r w:rsidR="00506528" w:rsidRPr="001918CE">
        <w:rPr>
          <w:sz w:val="20"/>
          <w:szCs w:val="20"/>
          <w:lang w:val="en-US"/>
        </w:rPr>
        <w:t>these returns have enhanced the funds progress in funding it</w:t>
      </w:r>
      <w:r w:rsidR="00A1020D" w:rsidRPr="001918CE">
        <w:rPr>
          <w:sz w:val="20"/>
          <w:szCs w:val="20"/>
          <w:lang w:val="en-US"/>
        </w:rPr>
        <w:t>s</w:t>
      </w:r>
      <w:r w:rsidR="00506528" w:rsidRPr="001918CE">
        <w:rPr>
          <w:sz w:val="20"/>
          <w:szCs w:val="20"/>
          <w:lang w:val="en-US"/>
        </w:rPr>
        <w:t xml:space="preserve"> philanthropic activities in </w:t>
      </w:r>
      <w:r w:rsidR="00081FDA" w:rsidRPr="001918CE">
        <w:rPr>
          <w:sz w:val="20"/>
          <w:szCs w:val="20"/>
          <w:lang w:val="en-US"/>
        </w:rPr>
        <w:t>perpetuity</w:t>
      </w:r>
      <w:r w:rsidR="004448A0" w:rsidRPr="001918CE">
        <w:rPr>
          <w:sz w:val="20"/>
          <w:szCs w:val="20"/>
          <w:lang w:val="en-US"/>
        </w:rPr>
        <w:t xml:space="preserve"> at this time</w:t>
      </w:r>
      <w:r w:rsidR="00081FDA" w:rsidRPr="001918CE">
        <w:rPr>
          <w:sz w:val="20"/>
          <w:szCs w:val="20"/>
          <w:lang w:val="en-US"/>
        </w:rPr>
        <w:t xml:space="preserve">. </w:t>
      </w:r>
    </w:p>
    <w:p w14:paraId="202B8EE3" w14:textId="77777777" w:rsidR="007D766D" w:rsidRPr="00B66D5B" w:rsidRDefault="00380F71" w:rsidP="00C25D62">
      <w:pPr>
        <w:pStyle w:val="TableFigure"/>
        <w:spacing w:before="360" w:after="80"/>
        <w:ind w:left="-274"/>
        <w:jc w:val="left"/>
        <w:rPr>
          <w:sz w:val="20"/>
          <w:szCs w:val="20"/>
          <w:lang w:val="en-US"/>
        </w:rPr>
      </w:pPr>
      <w:r w:rsidRPr="001918CE">
        <w:rPr>
          <w:sz w:val="20"/>
          <w:szCs w:val="20"/>
          <w:lang w:val="en-US"/>
        </w:rPr>
        <w:t xml:space="preserve">Figure 3: Portfolio </w:t>
      </w:r>
      <w:r w:rsidR="0077433F" w:rsidRPr="001918CE">
        <w:rPr>
          <w:sz w:val="20"/>
          <w:szCs w:val="20"/>
          <w:lang w:val="en-US"/>
        </w:rPr>
        <w:t xml:space="preserve">Structure at </w:t>
      </w:r>
      <w:r w:rsidR="00D44777" w:rsidRPr="001918CE">
        <w:rPr>
          <w:sz w:val="20"/>
          <w:szCs w:val="20"/>
          <w:lang w:val="en-US"/>
        </w:rPr>
        <w:t xml:space="preserve">31 </w:t>
      </w:r>
      <w:r w:rsidR="008D72D5" w:rsidRPr="001918CE">
        <w:rPr>
          <w:sz w:val="20"/>
          <w:szCs w:val="20"/>
          <w:lang w:val="en-US"/>
        </w:rPr>
        <w:t xml:space="preserve">August </w:t>
      </w:r>
      <w:r w:rsidR="0077433F" w:rsidRPr="001918CE">
        <w:rPr>
          <w:sz w:val="20"/>
          <w:szCs w:val="20"/>
          <w:lang w:val="en-US"/>
        </w:rPr>
        <w:t xml:space="preserve">2018, and Performance </w:t>
      </w:r>
      <w:r w:rsidRPr="001918CE">
        <w:rPr>
          <w:sz w:val="20"/>
          <w:szCs w:val="20"/>
          <w:lang w:val="en-US"/>
        </w:rPr>
        <w:t xml:space="preserve">since </w:t>
      </w:r>
      <w:r w:rsidR="00D44777" w:rsidRPr="001918CE">
        <w:rPr>
          <w:sz w:val="20"/>
          <w:szCs w:val="20"/>
          <w:lang w:val="en-US"/>
        </w:rPr>
        <w:t>9</w:t>
      </w:r>
      <w:r w:rsidR="00427FDE">
        <w:rPr>
          <w:sz w:val="20"/>
          <w:szCs w:val="20"/>
          <w:lang w:val="en-US"/>
        </w:rPr>
        <w:t xml:space="preserve"> June </w:t>
      </w:r>
      <w:r w:rsidR="00B66D5B" w:rsidRPr="001918CE">
        <w:rPr>
          <w:sz w:val="20"/>
          <w:szCs w:val="20"/>
          <w:lang w:val="en-US"/>
        </w:rPr>
        <w:t>2018</w:t>
      </w:r>
    </w:p>
    <w:tbl>
      <w:tblPr>
        <w:tblStyle w:val="TableGrid"/>
        <w:tblW w:w="10613" w:type="dxa"/>
        <w:tblInd w:w="-275"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ayout w:type="fixed"/>
        <w:tblLook w:val="04A0" w:firstRow="1" w:lastRow="0" w:firstColumn="1" w:lastColumn="0" w:noHBand="0" w:noVBand="1"/>
      </w:tblPr>
      <w:tblGrid>
        <w:gridCol w:w="3082"/>
        <w:gridCol w:w="1578"/>
        <w:gridCol w:w="1134"/>
        <w:gridCol w:w="1275"/>
        <w:gridCol w:w="1134"/>
        <w:gridCol w:w="1276"/>
        <w:gridCol w:w="1134"/>
      </w:tblGrid>
      <w:tr w:rsidR="007F7592" w14:paraId="172DB4AF" w14:textId="77777777">
        <w:tc>
          <w:tcPr>
            <w:tcW w:w="3082" w:type="dxa"/>
            <w:shd w:val="clear" w:color="auto" w:fill="DEEAF6" w:themeFill="accent5" w:themeFillTint="33"/>
            <w:vAlign w:val="center"/>
          </w:tcPr>
          <w:p w14:paraId="42155C8D" w14:textId="77777777" w:rsidR="00B66D5B" w:rsidRPr="00DB6913" w:rsidRDefault="00B66D5B" w:rsidP="008403C0">
            <w:pPr>
              <w:widowControl/>
              <w:spacing w:before="40" w:after="40"/>
              <w:jc w:val="left"/>
              <w:rPr>
                <w:b/>
                <w:sz w:val="20"/>
                <w:szCs w:val="20"/>
                <w:lang w:eastAsia="zh-CN"/>
              </w:rPr>
            </w:pPr>
            <w:r w:rsidRPr="00DB6913">
              <w:rPr>
                <w:b/>
                <w:sz w:val="20"/>
                <w:szCs w:val="20"/>
                <w:lang w:val="en-US"/>
              </w:rPr>
              <w:t>Portfolio Component</w:t>
            </w:r>
          </w:p>
        </w:tc>
        <w:tc>
          <w:tcPr>
            <w:tcW w:w="1578" w:type="dxa"/>
            <w:shd w:val="clear" w:color="auto" w:fill="DEEAF6" w:themeFill="accent5" w:themeFillTint="33"/>
            <w:vAlign w:val="center"/>
          </w:tcPr>
          <w:p w14:paraId="488C6F01" w14:textId="77777777" w:rsidR="00B66D5B" w:rsidRPr="00DB6913" w:rsidRDefault="00B66D5B" w:rsidP="008403C0">
            <w:pPr>
              <w:widowControl/>
              <w:spacing w:before="40" w:after="40"/>
              <w:jc w:val="center"/>
              <w:rPr>
                <w:b/>
                <w:sz w:val="20"/>
                <w:szCs w:val="20"/>
                <w:lang w:eastAsia="zh-CN"/>
              </w:rPr>
            </w:pPr>
            <w:r w:rsidRPr="00DB6913">
              <w:rPr>
                <w:b/>
                <w:sz w:val="20"/>
                <w:szCs w:val="20"/>
                <w:lang w:val="en-US"/>
              </w:rPr>
              <w:t>Benchmark ETF</w:t>
            </w:r>
          </w:p>
        </w:tc>
        <w:tc>
          <w:tcPr>
            <w:tcW w:w="1134" w:type="dxa"/>
            <w:shd w:val="clear" w:color="auto" w:fill="DEEAF6" w:themeFill="accent5" w:themeFillTint="33"/>
            <w:vAlign w:val="center"/>
          </w:tcPr>
          <w:p w14:paraId="4E8B54C6" w14:textId="77777777" w:rsidR="00B66D5B" w:rsidRPr="00DB6913" w:rsidRDefault="00B66D5B" w:rsidP="008403C0">
            <w:pPr>
              <w:widowControl/>
              <w:spacing w:before="40" w:after="40"/>
              <w:jc w:val="center"/>
              <w:rPr>
                <w:b/>
                <w:sz w:val="20"/>
                <w:szCs w:val="20"/>
                <w:lang w:eastAsia="zh-CN"/>
              </w:rPr>
            </w:pPr>
            <w:r w:rsidRPr="00DB6913">
              <w:rPr>
                <w:b/>
                <w:sz w:val="20"/>
                <w:szCs w:val="20"/>
                <w:lang w:val="en-US"/>
              </w:rPr>
              <w:t>Opening Balance (</w:t>
            </w:r>
            <w:r w:rsidR="00FE061D" w:rsidRPr="00DB6913">
              <w:rPr>
                <w:b/>
                <w:sz w:val="20"/>
                <w:szCs w:val="20"/>
                <w:lang w:val="en-US"/>
              </w:rPr>
              <w:t>9/6/2018</w:t>
            </w:r>
            <w:r w:rsidRPr="00DB6913">
              <w:rPr>
                <w:b/>
                <w:sz w:val="20"/>
                <w:szCs w:val="20"/>
                <w:lang w:val="en-US"/>
              </w:rPr>
              <w:t>)</w:t>
            </w:r>
          </w:p>
        </w:tc>
        <w:tc>
          <w:tcPr>
            <w:tcW w:w="1275" w:type="dxa"/>
            <w:shd w:val="clear" w:color="auto" w:fill="DEEAF6" w:themeFill="accent5" w:themeFillTint="33"/>
            <w:vAlign w:val="center"/>
          </w:tcPr>
          <w:p w14:paraId="524020D9" w14:textId="77777777" w:rsidR="00B66D5B" w:rsidRPr="00DB6913" w:rsidRDefault="00B66D5B" w:rsidP="008403C0">
            <w:pPr>
              <w:widowControl/>
              <w:spacing w:before="40" w:after="40"/>
              <w:jc w:val="center"/>
              <w:rPr>
                <w:b/>
                <w:sz w:val="20"/>
                <w:szCs w:val="20"/>
                <w:lang w:eastAsia="zh-CN"/>
              </w:rPr>
            </w:pPr>
            <w:r w:rsidRPr="00DB6913">
              <w:rPr>
                <w:b/>
                <w:sz w:val="20"/>
                <w:szCs w:val="20"/>
                <w:lang w:val="en-US"/>
              </w:rPr>
              <w:t>Closing Balance (</w:t>
            </w:r>
            <w:r w:rsidR="00C06D37">
              <w:rPr>
                <w:b/>
                <w:sz w:val="20"/>
                <w:szCs w:val="20"/>
                <w:lang w:val="en-US"/>
              </w:rPr>
              <w:t>31</w:t>
            </w:r>
            <w:r w:rsidRPr="00DB6913">
              <w:rPr>
                <w:b/>
                <w:sz w:val="20"/>
                <w:szCs w:val="20"/>
                <w:lang w:val="en-US"/>
              </w:rPr>
              <w:t>/</w:t>
            </w:r>
            <w:r w:rsidR="00C06D37">
              <w:rPr>
                <w:b/>
                <w:sz w:val="20"/>
                <w:szCs w:val="20"/>
                <w:lang w:val="en-US"/>
              </w:rPr>
              <w:t>8</w:t>
            </w:r>
            <w:r w:rsidRPr="00DB6913">
              <w:rPr>
                <w:b/>
                <w:sz w:val="20"/>
                <w:szCs w:val="20"/>
                <w:lang w:val="en-US"/>
              </w:rPr>
              <w:t>/2018)</w:t>
            </w:r>
          </w:p>
        </w:tc>
        <w:tc>
          <w:tcPr>
            <w:tcW w:w="1134" w:type="dxa"/>
            <w:shd w:val="clear" w:color="auto" w:fill="DEEAF6" w:themeFill="accent5" w:themeFillTint="33"/>
          </w:tcPr>
          <w:p w14:paraId="0138F469" w14:textId="77777777" w:rsidR="00B66D5B" w:rsidRPr="00DB6913" w:rsidRDefault="00B66D5B" w:rsidP="00C25D62">
            <w:pPr>
              <w:widowControl/>
              <w:spacing w:before="120" w:after="40"/>
              <w:jc w:val="center"/>
              <w:rPr>
                <w:b/>
                <w:sz w:val="20"/>
                <w:szCs w:val="20"/>
                <w:lang w:val="en-US"/>
              </w:rPr>
            </w:pPr>
            <w:r>
              <w:rPr>
                <w:b/>
                <w:sz w:val="20"/>
                <w:szCs w:val="20"/>
                <w:lang w:val="en-US"/>
              </w:rPr>
              <w:t>Reference Weights</w:t>
            </w:r>
          </w:p>
        </w:tc>
        <w:tc>
          <w:tcPr>
            <w:tcW w:w="1276" w:type="dxa"/>
            <w:shd w:val="clear" w:color="auto" w:fill="DEEAF6" w:themeFill="accent5" w:themeFillTint="33"/>
            <w:vAlign w:val="center"/>
          </w:tcPr>
          <w:p w14:paraId="01050FE1" w14:textId="77777777" w:rsidR="00B66D5B" w:rsidRPr="00DB6913" w:rsidRDefault="008403C0" w:rsidP="008403C0">
            <w:pPr>
              <w:widowControl/>
              <w:spacing w:before="40" w:after="40"/>
              <w:jc w:val="center"/>
              <w:rPr>
                <w:b/>
                <w:sz w:val="20"/>
                <w:szCs w:val="20"/>
                <w:lang w:eastAsia="zh-CN"/>
              </w:rPr>
            </w:pPr>
            <w:r>
              <w:rPr>
                <w:b/>
                <w:sz w:val="20"/>
                <w:szCs w:val="20"/>
                <w:lang w:val="en-US"/>
              </w:rPr>
              <w:t xml:space="preserve">Portfolio </w:t>
            </w:r>
            <w:r w:rsidR="00B66D5B" w:rsidRPr="00DB6913">
              <w:rPr>
                <w:b/>
                <w:sz w:val="20"/>
                <w:szCs w:val="20"/>
                <w:lang w:val="en-US"/>
              </w:rPr>
              <w:t>Weights (</w:t>
            </w:r>
            <w:r w:rsidR="00FE061D">
              <w:rPr>
                <w:b/>
                <w:sz w:val="20"/>
                <w:szCs w:val="20"/>
                <w:lang w:val="en-US"/>
              </w:rPr>
              <w:t>31</w:t>
            </w:r>
            <w:r w:rsidR="00B66D5B" w:rsidRPr="00DB6913">
              <w:rPr>
                <w:b/>
                <w:sz w:val="20"/>
                <w:szCs w:val="20"/>
                <w:lang w:val="en-US"/>
              </w:rPr>
              <w:t>/</w:t>
            </w:r>
            <w:r w:rsidR="00FE061D">
              <w:rPr>
                <w:b/>
                <w:sz w:val="20"/>
                <w:szCs w:val="20"/>
                <w:lang w:val="en-US"/>
              </w:rPr>
              <w:t>8</w:t>
            </w:r>
            <w:r w:rsidR="00B66D5B" w:rsidRPr="00DB6913">
              <w:rPr>
                <w:b/>
                <w:sz w:val="20"/>
                <w:szCs w:val="20"/>
                <w:lang w:val="en-US"/>
              </w:rPr>
              <w:t>/2018)</w:t>
            </w:r>
          </w:p>
        </w:tc>
        <w:tc>
          <w:tcPr>
            <w:tcW w:w="1134" w:type="dxa"/>
            <w:shd w:val="clear" w:color="auto" w:fill="DEEAF6" w:themeFill="accent5" w:themeFillTint="33"/>
            <w:vAlign w:val="center"/>
          </w:tcPr>
          <w:p w14:paraId="3A3ED2E7" w14:textId="77777777" w:rsidR="00B66D5B" w:rsidRPr="00DB6913" w:rsidRDefault="00B66D5B" w:rsidP="008403C0">
            <w:pPr>
              <w:widowControl/>
              <w:spacing w:before="40" w:after="40"/>
              <w:jc w:val="center"/>
              <w:rPr>
                <w:b/>
                <w:sz w:val="20"/>
                <w:szCs w:val="20"/>
                <w:lang w:eastAsia="zh-CN"/>
              </w:rPr>
            </w:pPr>
            <w:r w:rsidRPr="00DB6913">
              <w:rPr>
                <w:b/>
                <w:sz w:val="20"/>
                <w:szCs w:val="20"/>
                <w:lang w:val="en-US"/>
              </w:rPr>
              <w:t>Return</w:t>
            </w:r>
          </w:p>
        </w:tc>
      </w:tr>
      <w:tr w:rsidR="007F7592" w14:paraId="44C8FA26" w14:textId="77777777">
        <w:tc>
          <w:tcPr>
            <w:tcW w:w="3082" w:type="dxa"/>
            <w:shd w:val="clear" w:color="auto" w:fill="DEEAF6" w:themeFill="accent5" w:themeFillTint="33"/>
            <w:vAlign w:val="center"/>
          </w:tcPr>
          <w:p w14:paraId="4F7950C0" w14:textId="77777777" w:rsidR="00B66D5B" w:rsidRPr="00DB6913" w:rsidRDefault="00B66D5B" w:rsidP="008403C0">
            <w:pPr>
              <w:widowControl/>
              <w:spacing w:before="40" w:after="40"/>
              <w:jc w:val="center"/>
              <w:rPr>
                <w:b/>
                <w:sz w:val="20"/>
                <w:szCs w:val="20"/>
                <w:lang w:eastAsia="zh-CN"/>
              </w:rPr>
            </w:pPr>
          </w:p>
        </w:tc>
        <w:tc>
          <w:tcPr>
            <w:tcW w:w="1578" w:type="dxa"/>
            <w:shd w:val="clear" w:color="auto" w:fill="DEEAF6" w:themeFill="accent5" w:themeFillTint="33"/>
            <w:vAlign w:val="center"/>
          </w:tcPr>
          <w:p w14:paraId="7C1BB1E9" w14:textId="77777777" w:rsidR="00B66D5B" w:rsidRPr="00DB6913" w:rsidRDefault="00B66D5B" w:rsidP="008403C0">
            <w:pPr>
              <w:widowControl/>
              <w:spacing w:before="40" w:after="40"/>
              <w:jc w:val="center"/>
              <w:rPr>
                <w:b/>
                <w:sz w:val="20"/>
                <w:szCs w:val="20"/>
                <w:lang w:eastAsia="zh-CN"/>
              </w:rPr>
            </w:pPr>
          </w:p>
        </w:tc>
        <w:tc>
          <w:tcPr>
            <w:tcW w:w="1134" w:type="dxa"/>
            <w:shd w:val="clear" w:color="auto" w:fill="DEEAF6" w:themeFill="accent5" w:themeFillTint="33"/>
            <w:vAlign w:val="center"/>
          </w:tcPr>
          <w:p w14:paraId="4D852185" w14:textId="77777777" w:rsidR="00B66D5B" w:rsidRPr="00DB6913" w:rsidRDefault="00B66D5B" w:rsidP="008403C0">
            <w:pPr>
              <w:widowControl/>
              <w:spacing w:before="40" w:after="40"/>
              <w:jc w:val="center"/>
              <w:rPr>
                <w:b/>
                <w:sz w:val="20"/>
                <w:szCs w:val="20"/>
                <w:lang w:eastAsia="zh-CN"/>
              </w:rPr>
            </w:pPr>
            <w:r w:rsidRPr="00DB6913">
              <w:rPr>
                <w:b/>
                <w:sz w:val="20"/>
                <w:szCs w:val="20"/>
                <w:lang w:val="en-US"/>
              </w:rPr>
              <w:t>$</w:t>
            </w:r>
          </w:p>
        </w:tc>
        <w:tc>
          <w:tcPr>
            <w:tcW w:w="1275" w:type="dxa"/>
            <w:shd w:val="clear" w:color="auto" w:fill="DEEAF6" w:themeFill="accent5" w:themeFillTint="33"/>
            <w:vAlign w:val="center"/>
          </w:tcPr>
          <w:p w14:paraId="0763B81F" w14:textId="77777777" w:rsidR="00B66D5B" w:rsidRPr="00DB6913" w:rsidRDefault="00B66D5B" w:rsidP="008403C0">
            <w:pPr>
              <w:widowControl/>
              <w:spacing w:before="40" w:after="40"/>
              <w:jc w:val="center"/>
              <w:rPr>
                <w:b/>
                <w:sz w:val="20"/>
                <w:szCs w:val="20"/>
                <w:lang w:eastAsia="zh-CN"/>
              </w:rPr>
            </w:pPr>
            <w:r w:rsidRPr="00DB6913">
              <w:rPr>
                <w:b/>
                <w:sz w:val="20"/>
                <w:szCs w:val="20"/>
                <w:lang w:val="en-US"/>
              </w:rPr>
              <w:t>$</w:t>
            </w:r>
          </w:p>
        </w:tc>
        <w:tc>
          <w:tcPr>
            <w:tcW w:w="1134" w:type="dxa"/>
            <w:shd w:val="clear" w:color="auto" w:fill="DEEAF6" w:themeFill="accent5" w:themeFillTint="33"/>
          </w:tcPr>
          <w:p w14:paraId="179B37B5" w14:textId="77777777" w:rsidR="00B66D5B" w:rsidRPr="00DB6913" w:rsidRDefault="00B66D5B" w:rsidP="008403C0">
            <w:pPr>
              <w:widowControl/>
              <w:spacing w:before="40" w:after="40"/>
              <w:jc w:val="center"/>
              <w:rPr>
                <w:b/>
                <w:sz w:val="20"/>
                <w:szCs w:val="20"/>
                <w:lang w:val="en-US"/>
              </w:rPr>
            </w:pPr>
            <w:r>
              <w:rPr>
                <w:b/>
                <w:sz w:val="20"/>
                <w:szCs w:val="20"/>
                <w:lang w:val="en-US"/>
              </w:rPr>
              <w:t>%</w:t>
            </w:r>
          </w:p>
        </w:tc>
        <w:tc>
          <w:tcPr>
            <w:tcW w:w="1276" w:type="dxa"/>
            <w:shd w:val="clear" w:color="auto" w:fill="DEEAF6" w:themeFill="accent5" w:themeFillTint="33"/>
            <w:vAlign w:val="center"/>
          </w:tcPr>
          <w:p w14:paraId="38B4E84E" w14:textId="77777777" w:rsidR="00B66D5B" w:rsidRPr="00DB6913" w:rsidRDefault="00B66D5B" w:rsidP="008403C0">
            <w:pPr>
              <w:widowControl/>
              <w:spacing w:before="40" w:after="40"/>
              <w:jc w:val="center"/>
              <w:rPr>
                <w:b/>
                <w:sz w:val="20"/>
                <w:szCs w:val="20"/>
                <w:lang w:eastAsia="zh-CN"/>
              </w:rPr>
            </w:pPr>
            <w:r w:rsidRPr="00DB6913">
              <w:rPr>
                <w:b/>
                <w:sz w:val="20"/>
                <w:szCs w:val="20"/>
                <w:lang w:val="en-US"/>
              </w:rPr>
              <w:t>%</w:t>
            </w:r>
          </w:p>
        </w:tc>
        <w:tc>
          <w:tcPr>
            <w:tcW w:w="1134" w:type="dxa"/>
            <w:shd w:val="clear" w:color="auto" w:fill="DEEAF6" w:themeFill="accent5" w:themeFillTint="33"/>
            <w:vAlign w:val="center"/>
          </w:tcPr>
          <w:p w14:paraId="0F40D21A" w14:textId="77777777" w:rsidR="00B66D5B" w:rsidRPr="00DB6913" w:rsidRDefault="00B66D5B" w:rsidP="008403C0">
            <w:pPr>
              <w:widowControl/>
              <w:spacing w:before="40" w:after="40"/>
              <w:jc w:val="center"/>
              <w:rPr>
                <w:b/>
                <w:sz w:val="20"/>
                <w:szCs w:val="20"/>
                <w:lang w:eastAsia="zh-CN"/>
              </w:rPr>
            </w:pPr>
            <w:r w:rsidRPr="00DB6913">
              <w:rPr>
                <w:b/>
                <w:sz w:val="20"/>
                <w:szCs w:val="20"/>
                <w:lang w:val="en-US"/>
              </w:rPr>
              <w:t>%</w:t>
            </w:r>
          </w:p>
        </w:tc>
      </w:tr>
      <w:tr w:rsidR="008403C0" w14:paraId="70C92314" w14:textId="77777777">
        <w:tc>
          <w:tcPr>
            <w:tcW w:w="3082" w:type="dxa"/>
            <w:vAlign w:val="center"/>
          </w:tcPr>
          <w:p w14:paraId="6D316150" w14:textId="77777777" w:rsidR="00B66D5B" w:rsidRPr="008403C0" w:rsidRDefault="00B66D5B" w:rsidP="008403C0">
            <w:pPr>
              <w:widowControl/>
              <w:spacing w:before="40" w:after="40"/>
              <w:jc w:val="left"/>
              <w:rPr>
                <w:b/>
                <w:i/>
                <w:sz w:val="20"/>
                <w:szCs w:val="20"/>
                <w:lang w:eastAsia="zh-CN"/>
              </w:rPr>
            </w:pPr>
            <w:r w:rsidRPr="008403C0">
              <w:rPr>
                <w:b/>
                <w:i/>
                <w:sz w:val="20"/>
                <w:szCs w:val="20"/>
                <w:lang w:val="en-US"/>
              </w:rPr>
              <w:t>Australian Equities</w:t>
            </w:r>
          </w:p>
        </w:tc>
        <w:tc>
          <w:tcPr>
            <w:tcW w:w="1578" w:type="dxa"/>
            <w:vAlign w:val="center"/>
          </w:tcPr>
          <w:p w14:paraId="1A6F2E47" w14:textId="77777777" w:rsidR="00B66D5B" w:rsidRPr="008403C0" w:rsidRDefault="00B66D5B" w:rsidP="00B66D5B">
            <w:pPr>
              <w:widowControl/>
              <w:spacing w:before="40" w:after="40"/>
              <w:jc w:val="center"/>
              <w:rPr>
                <w:b/>
                <w:i/>
                <w:sz w:val="20"/>
                <w:szCs w:val="20"/>
                <w:lang w:eastAsia="zh-CN"/>
              </w:rPr>
            </w:pPr>
          </w:p>
        </w:tc>
        <w:tc>
          <w:tcPr>
            <w:tcW w:w="1134" w:type="dxa"/>
            <w:vAlign w:val="center"/>
          </w:tcPr>
          <w:p w14:paraId="364F2925" w14:textId="77777777" w:rsidR="00B66D5B" w:rsidRPr="008403C0" w:rsidRDefault="00B66D5B" w:rsidP="00B66D5B">
            <w:pPr>
              <w:widowControl/>
              <w:spacing w:before="40" w:after="40"/>
              <w:jc w:val="center"/>
              <w:rPr>
                <w:b/>
                <w:i/>
                <w:sz w:val="20"/>
                <w:szCs w:val="20"/>
                <w:lang w:eastAsia="zh-CN"/>
              </w:rPr>
            </w:pPr>
          </w:p>
        </w:tc>
        <w:tc>
          <w:tcPr>
            <w:tcW w:w="1275" w:type="dxa"/>
            <w:vAlign w:val="center"/>
          </w:tcPr>
          <w:p w14:paraId="15EA31A2" w14:textId="77777777" w:rsidR="00B66D5B" w:rsidRPr="008403C0" w:rsidRDefault="00B66D5B" w:rsidP="00B66D5B">
            <w:pPr>
              <w:widowControl/>
              <w:spacing w:before="40" w:after="40"/>
              <w:jc w:val="center"/>
              <w:rPr>
                <w:b/>
                <w:i/>
                <w:sz w:val="20"/>
                <w:szCs w:val="20"/>
                <w:lang w:eastAsia="zh-CN"/>
              </w:rPr>
            </w:pPr>
          </w:p>
        </w:tc>
        <w:tc>
          <w:tcPr>
            <w:tcW w:w="1134" w:type="dxa"/>
          </w:tcPr>
          <w:p w14:paraId="547EC860" w14:textId="77777777" w:rsidR="00B66D5B" w:rsidRPr="008403C0" w:rsidRDefault="00B66D5B" w:rsidP="00B66D5B">
            <w:pPr>
              <w:widowControl/>
              <w:spacing w:before="40" w:after="40"/>
              <w:jc w:val="center"/>
              <w:rPr>
                <w:b/>
                <w:i/>
                <w:sz w:val="20"/>
                <w:szCs w:val="20"/>
                <w:lang w:eastAsia="zh-CN"/>
              </w:rPr>
            </w:pPr>
          </w:p>
        </w:tc>
        <w:tc>
          <w:tcPr>
            <w:tcW w:w="1276" w:type="dxa"/>
            <w:vAlign w:val="center"/>
          </w:tcPr>
          <w:p w14:paraId="1ED9F161" w14:textId="77777777" w:rsidR="00B66D5B" w:rsidRPr="008403C0" w:rsidRDefault="00B66D5B" w:rsidP="00B66D5B">
            <w:pPr>
              <w:widowControl/>
              <w:spacing w:before="40" w:after="40"/>
              <w:jc w:val="center"/>
              <w:rPr>
                <w:b/>
                <w:i/>
                <w:sz w:val="20"/>
                <w:szCs w:val="20"/>
                <w:lang w:eastAsia="zh-CN"/>
              </w:rPr>
            </w:pPr>
          </w:p>
        </w:tc>
        <w:tc>
          <w:tcPr>
            <w:tcW w:w="1134" w:type="dxa"/>
            <w:vAlign w:val="center"/>
          </w:tcPr>
          <w:p w14:paraId="2A0DDC4C" w14:textId="77777777" w:rsidR="00B66D5B" w:rsidRPr="008403C0" w:rsidRDefault="00B66D5B" w:rsidP="00B66D5B">
            <w:pPr>
              <w:widowControl/>
              <w:spacing w:before="40" w:after="40"/>
              <w:jc w:val="center"/>
              <w:rPr>
                <w:b/>
                <w:i/>
                <w:sz w:val="20"/>
                <w:szCs w:val="20"/>
                <w:lang w:eastAsia="zh-CN"/>
              </w:rPr>
            </w:pPr>
          </w:p>
        </w:tc>
      </w:tr>
      <w:tr w:rsidR="008403C0" w14:paraId="20C56B5D" w14:textId="77777777">
        <w:tc>
          <w:tcPr>
            <w:tcW w:w="3082" w:type="dxa"/>
            <w:vAlign w:val="center"/>
          </w:tcPr>
          <w:p w14:paraId="6F539D70" w14:textId="77777777" w:rsidR="00B66D5B" w:rsidRPr="00DB6913" w:rsidRDefault="00B66D5B" w:rsidP="008403C0">
            <w:pPr>
              <w:widowControl/>
              <w:spacing w:before="40" w:after="40"/>
              <w:jc w:val="left"/>
              <w:rPr>
                <w:sz w:val="20"/>
                <w:szCs w:val="20"/>
                <w:lang w:eastAsia="zh-CN"/>
              </w:rPr>
            </w:pPr>
            <w:r>
              <w:rPr>
                <w:sz w:val="20"/>
                <w:szCs w:val="20"/>
                <w:lang w:val="en-US"/>
              </w:rPr>
              <w:t>iShares Core S&amp;P/</w:t>
            </w:r>
            <w:proofErr w:type="spellStart"/>
            <w:r>
              <w:rPr>
                <w:sz w:val="20"/>
                <w:szCs w:val="20"/>
                <w:lang w:val="en-US"/>
              </w:rPr>
              <w:t>ASX</w:t>
            </w:r>
            <w:proofErr w:type="spellEnd"/>
            <w:r>
              <w:rPr>
                <w:sz w:val="20"/>
                <w:szCs w:val="20"/>
                <w:lang w:val="en-US"/>
              </w:rPr>
              <w:t xml:space="preserve"> 200</w:t>
            </w:r>
          </w:p>
        </w:tc>
        <w:tc>
          <w:tcPr>
            <w:tcW w:w="1578" w:type="dxa"/>
            <w:vAlign w:val="center"/>
          </w:tcPr>
          <w:p w14:paraId="75CBD688" w14:textId="77777777" w:rsidR="00B66D5B" w:rsidRPr="00DB6913" w:rsidRDefault="00B66D5B" w:rsidP="00B66D5B">
            <w:pPr>
              <w:widowControl/>
              <w:spacing w:before="40" w:after="40"/>
              <w:jc w:val="center"/>
              <w:rPr>
                <w:sz w:val="20"/>
                <w:szCs w:val="20"/>
                <w:lang w:eastAsia="zh-CN"/>
              </w:rPr>
            </w:pPr>
          </w:p>
        </w:tc>
        <w:tc>
          <w:tcPr>
            <w:tcW w:w="1134" w:type="dxa"/>
            <w:vAlign w:val="center"/>
          </w:tcPr>
          <w:p w14:paraId="27F2218F" w14:textId="77777777" w:rsidR="00B66D5B" w:rsidRPr="00DB6913" w:rsidRDefault="00FE061D" w:rsidP="00B66D5B">
            <w:pPr>
              <w:widowControl/>
              <w:spacing w:before="40" w:after="40"/>
              <w:jc w:val="center"/>
              <w:rPr>
                <w:sz w:val="20"/>
                <w:szCs w:val="20"/>
                <w:lang w:eastAsia="zh-CN"/>
              </w:rPr>
            </w:pPr>
            <w:r w:rsidRPr="006771EF">
              <w:rPr>
                <w:sz w:val="20"/>
                <w:szCs w:val="20"/>
                <w:lang w:val="en-US"/>
              </w:rPr>
              <w:t>357,42</w:t>
            </w:r>
            <w:r w:rsidR="004448A0">
              <w:rPr>
                <w:sz w:val="20"/>
                <w:szCs w:val="20"/>
                <w:lang w:val="en-US"/>
              </w:rPr>
              <w:t>1</w:t>
            </w:r>
          </w:p>
        </w:tc>
        <w:tc>
          <w:tcPr>
            <w:tcW w:w="1275" w:type="dxa"/>
            <w:vAlign w:val="center"/>
          </w:tcPr>
          <w:p w14:paraId="0EFE320F" w14:textId="77777777" w:rsidR="00B66D5B" w:rsidRPr="00DB6913" w:rsidRDefault="00C06D37" w:rsidP="00C06D37">
            <w:pPr>
              <w:widowControl/>
              <w:spacing w:before="40" w:after="40"/>
              <w:jc w:val="center"/>
              <w:rPr>
                <w:sz w:val="20"/>
                <w:szCs w:val="20"/>
              </w:rPr>
            </w:pPr>
            <w:r w:rsidRPr="00C06D37">
              <w:rPr>
                <w:sz w:val="20"/>
                <w:szCs w:val="20"/>
              </w:rPr>
              <w:t xml:space="preserve">374,835 </w:t>
            </w:r>
          </w:p>
        </w:tc>
        <w:tc>
          <w:tcPr>
            <w:tcW w:w="1134" w:type="dxa"/>
          </w:tcPr>
          <w:p w14:paraId="48D32B63" w14:textId="77777777" w:rsidR="00B66D5B" w:rsidRPr="006771EF" w:rsidRDefault="00B66D5B" w:rsidP="00B66D5B">
            <w:pPr>
              <w:widowControl/>
              <w:spacing w:before="40" w:after="40"/>
              <w:jc w:val="center"/>
              <w:rPr>
                <w:sz w:val="20"/>
                <w:szCs w:val="20"/>
                <w:lang w:val="en-US"/>
              </w:rPr>
            </w:pPr>
          </w:p>
        </w:tc>
        <w:tc>
          <w:tcPr>
            <w:tcW w:w="1276" w:type="dxa"/>
            <w:vAlign w:val="center"/>
          </w:tcPr>
          <w:p w14:paraId="683448CF" w14:textId="39F95433" w:rsidR="00B66D5B" w:rsidRPr="00DB6913" w:rsidRDefault="008403C0" w:rsidP="00B66D5B">
            <w:pPr>
              <w:widowControl/>
              <w:spacing w:before="40" w:after="40"/>
              <w:jc w:val="center"/>
              <w:rPr>
                <w:sz w:val="20"/>
                <w:szCs w:val="20"/>
                <w:lang w:eastAsia="zh-CN"/>
              </w:rPr>
            </w:pPr>
            <w:r>
              <w:rPr>
                <w:sz w:val="20"/>
                <w:szCs w:val="20"/>
                <w:lang w:val="en-US"/>
              </w:rPr>
              <w:t>5</w:t>
            </w:r>
            <w:r w:rsidR="008C5F30">
              <w:rPr>
                <w:sz w:val="20"/>
                <w:szCs w:val="20"/>
                <w:lang w:val="en-US"/>
              </w:rPr>
              <w:t>5</w:t>
            </w:r>
            <w:r w:rsidR="00B07F0C">
              <w:rPr>
                <w:sz w:val="20"/>
                <w:szCs w:val="20"/>
                <w:lang w:val="en-US"/>
              </w:rPr>
              <w:t>.</w:t>
            </w:r>
            <w:r w:rsidR="008C5F30">
              <w:rPr>
                <w:sz w:val="20"/>
                <w:szCs w:val="20"/>
                <w:lang w:val="en-US"/>
              </w:rPr>
              <w:t>90</w:t>
            </w:r>
          </w:p>
        </w:tc>
        <w:tc>
          <w:tcPr>
            <w:tcW w:w="1134" w:type="dxa"/>
            <w:vAlign w:val="center"/>
          </w:tcPr>
          <w:p w14:paraId="38DA10DB" w14:textId="77777777" w:rsidR="00B66D5B" w:rsidRPr="00B5066D" w:rsidRDefault="009B6593" w:rsidP="00B66D5B">
            <w:pPr>
              <w:widowControl/>
              <w:spacing w:before="40" w:after="40"/>
              <w:jc w:val="center"/>
              <w:rPr>
                <w:sz w:val="20"/>
                <w:szCs w:val="20"/>
                <w:lang w:eastAsia="zh-CN"/>
              </w:rPr>
            </w:pPr>
            <w:r w:rsidRPr="00B5066D">
              <w:rPr>
                <w:sz w:val="20"/>
                <w:szCs w:val="20"/>
                <w:lang w:eastAsia="zh-CN"/>
              </w:rPr>
              <w:t>5.</w:t>
            </w:r>
            <w:r w:rsidR="0082226E" w:rsidRPr="00B5066D">
              <w:rPr>
                <w:sz w:val="20"/>
                <w:szCs w:val="20"/>
                <w:lang w:eastAsia="zh-CN"/>
              </w:rPr>
              <w:t>9</w:t>
            </w:r>
            <w:r w:rsidR="00F44E5A" w:rsidRPr="00B5066D">
              <w:rPr>
                <w:sz w:val="20"/>
                <w:szCs w:val="20"/>
                <w:lang w:eastAsia="zh-CN"/>
              </w:rPr>
              <w:t>0</w:t>
            </w:r>
          </w:p>
        </w:tc>
      </w:tr>
      <w:tr w:rsidR="008403C0" w14:paraId="7EBEF0CC" w14:textId="77777777">
        <w:tc>
          <w:tcPr>
            <w:tcW w:w="3082" w:type="dxa"/>
            <w:vAlign w:val="center"/>
          </w:tcPr>
          <w:p w14:paraId="50B4A567" w14:textId="77777777" w:rsidR="00B66D5B" w:rsidRPr="00DB6913" w:rsidRDefault="00B66D5B" w:rsidP="008403C0">
            <w:pPr>
              <w:widowControl/>
              <w:spacing w:before="40" w:after="40"/>
              <w:jc w:val="left"/>
              <w:rPr>
                <w:sz w:val="20"/>
                <w:szCs w:val="20"/>
                <w:lang w:eastAsia="zh-CN"/>
              </w:rPr>
            </w:pPr>
            <w:r w:rsidRPr="006771EF">
              <w:rPr>
                <w:sz w:val="20"/>
                <w:szCs w:val="20"/>
                <w:lang w:val="en-US"/>
              </w:rPr>
              <w:t>Telstra</w:t>
            </w:r>
          </w:p>
        </w:tc>
        <w:tc>
          <w:tcPr>
            <w:tcW w:w="1578" w:type="dxa"/>
            <w:vAlign w:val="center"/>
          </w:tcPr>
          <w:p w14:paraId="3D3A395C" w14:textId="77777777" w:rsidR="00B66D5B" w:rsidRPr="00DB6913" w:rsidRDefault="00B66D5B" w:rsidP="00B66D5B">
            <w:pPr>
              <w:widowControl/>
              <w:spacing w:before="40" w:after="40"/>
              <w:jc w:val="center"/>
              <w:rPr>
                <w:sz w:val="20"/>
                <w:szCs w:val="20"/>
                <w:lang w:eastAsia="zh-CN"/>
              </w:rPr>
            </w:pPr>
            <w:r w:rsidRPr="006771EF">
              <w:rPr>
                <w:sz w:val="20"/>
                <w:szCs w:val="20"/>
                <w:lang w:val="en-US"/>
              </w:rPr>
              <w:t>-</w:t>
            </w:r>
          </w:p>
        </w:tc>
        <w:tc>
          <w:tcPr>
            <w:tcW w:w="1134" w:type="dxa"/>
            <w:vAlign w:val="center"/>
          </w:tcPr>
          <w:p w14:paraId="7DB74932" w14:textId="77777777" w:rsidR="00B66D5B" w:rsidRPr="00DB6913" w:rsidRDefault="00FE061D" w:rsidP="00B66D5B">
            <w:pPr>
              <w:widowControl/>
              <w:spacing w:before="40" w:after="40"/>
              <w:jc w:val="center"/>
              <w:rPr>
                <w:sz w:val="20"/>
                <w:szCs w:val="20"/>
                <w:lang w:eastAsia="zh-CN"/>
              </w:rPr>
            </w:pPr>
            <w:r w:rsidRPr="006771EF">
              <w:rPr>
                <w:sz w:val="20"/>
                <w:szCs w:val="20"/>
                <w:lang w:val="en-US"/>
              </w:rPr>
              <w:t>19,3</w:t>
            </w:r>
            <w:r w:rsidR="004448A0">
              <w:rPr>
                <w:sz w:val="20"/>
                <w:szCs w:val="20"/>
                <w:lang w:val="en-US"/>
              </w:rPr>
              <w:t>60</w:t>
            </w:r>
          </w:p>
        </w:tc>
        <w:tc>
          <w:tcPr>
            <w:tcW w:w="1275" w:type="dxa"/>
            <w:vAlign w:val="center"/>
          </w:tcPr>
          <w:p w14:paraId="7B800E01" w14:textId="77777777" w:rsidR="00B66D5B" w:rsidRPr="00DB6913" w:rsidRDefault="009C7B4E" w:rsidP="004448A0">
            <w:pPr>
              <w:widowControl/>
              <w:spacing w:before="40" w:after="40"/>
              <w:jc w:val="center"/>
              <w:rPr>
                <w:sz w:val="20"/>
                <w:szCs w:val="20"/>
              </w:rPr>
            </w:pPr>
            <w:r w:rsidRPr="009C7B4E">
              <w:rPr>
                <w:sz w:val="20"/>
                <w:szCs w:val="20"/>
              </w:rPr>
              <w:t>21,66</w:t>
            </w:r>
            <w:r w:rsidR="004448A0">
              <w:rPr>
                <w:sz w:val="20"/>
                <w:szCs w:val="20"/>
              </w:rPr>
              <w:t>6</w:t>
            </w:r>
            <w:r w:rsidRPr="009C7B4E">
              <w:rPr>
                <w:sz w:val="20"/>
                <w:szCs w:val="20"/>
              </w:rPr>
              <w:t xml:space="preserve"> </w:t>
            </w:r>
          </w:p>
        </w:tc>
        <w:tc>
          <w:tcPr>
            <w:tcW w:w="1134" w:type="dxa"/>
          </w:tcPr>
          <w:p w14:paraId="7AA62C87" w14:textId="77777777" w:rsidR="00B66D5B" w:rsidRPr="006771EF" w:rsidRDefault="00B66D5B" w:rsidP="00B66D5B">
            <w:pPr>
              <w:widowControl/>
              <w:spacing w:before="40" w:after="40"/>
              <w:jc w:val="center"/>
              <w:rPr>
                <w:sz w:val="20"/>
                <w:szCs w:val="20"/>
                <w:lang w:val="en-US"/>
              </w:rPr>
            </w:pPr>
          </w:p>
        </w:tc>
        <w:tc>
          <w:tcPr>
            <w:tcW w:w="1276" w:type="dxa"/>
            <w:vAlign w:val="center"/>
          </w:tcPr>
          <w:p w14:paraId="54073419" w14:textId="24519AFA" w:rsidR="00B66D5B" w:rsidRPr="00DB6913" w:rsidRDefault="008403C0" w:rsidP="00B66D5B">
            <w:pPr>
              <w:widowControl/>
              <w:spacing w:before="40" w:after="40"/>
              <w:jc w:val="center"/>
              <w:rPr>
                <w:sz w:val="20"/>
                <w:szCs w:val="20"/>
                <w:lang w:eastAsia="zh-CN"/>
              </w:rPr>
            </w:pPr>
            <w:r>
              <w:rPr>
                <w:sz w:val="20"/>
                <w:szCs w:val="20"/>
                <w:lang w:val="en-US"/>
              </w:rPr>
              <w:t>3.</w:t>
            </w:r>
            <w:r w:rsidR="000351AB">
              <w:rPr>
                <w:sz w:val="20"/>
                <w:szCs w:val="20"/>
                <w:lang w:val="en-US"/>
              </w:rPr>
              <w:t>2</w:t>
            </w:r>
            <w:r w:rsidR="00887156">
              <w:rPr>
                <w:sz w:val="20"/>
                <w:szCs w:val="20"/>
                <w:lang w:val="en-US"/>
              </w:rPr>
              <w:t>3</w:t>
            </w:r>
          </w:p>
        </w:tc>
        <w:tc>
          <w:tcPr>
            <w:tcW w:w="1134" w:type="dxa"/>
            <w:vAlign w:val="center"/>
          </w:tcPr>
          <w:p w14:paraId="33668311" w14:textId="77777777" w:rsidR="00B66D5B" w:rsidRPr="00B5066D" w:rsidRDefault="00A95D1C" w:rsidP="00B66D5B">
            <w:pPr>
              <w:widowControl/>
              <w:spacing w:before="40" w:after="40"/>
              <w:jc w:val="center"/>
              <w:rPr>
                <w:sz w:val="20"/>
                <w:szCs w:val="20"/>
                <w:lang w:eastAsia="zh-CN"/>
              </w:rPr>
            </w:pPr>
            <w:r w:rsidRPr="00B5066D">
              <w:rPr>
                <w:sz w:val="20"/>
                <w:szCs w:val="20"/>
                <w:lang w:eastAsia="zh-CN"/>
              </w:rPr>
              <w:t>1</w:t>
            </w:r>
            <w:r w:rsidR="00244BF2" w:rsidRPr="00B5066D">
              <w:rPr>
                <w:sz w:val="20"/>
                <w:szCs w:val="20"/>
                <w:lang w:eastAsia="zh-CN"/>
              </w:rPr>
              <w:t>7.59</w:t>
            </w:r>
          </w:p>
        </w:tc>
      </w:tr>
      <w:tr w:rsidR="008403C0" w14:paraId="02FCCD54" w14:textId="77777777">
        <w:tc>
          <w:tcPr>
            <w:tcW w:w="3082" w:type="dxa"/>
            <w:tcBorders>
              <w:bottom w:val="single" w:sz="4" w:space="0" w:color="auto"/>
            </w:tcBorders>
            <w:vAlign w:val="center"/>
          </w:tcPr>
          <w:p w14:paraId="7E28C934" w14:textId="77777777" w:rsidR="00B66D5B" w:rsidRPr="00DB6913" w:rsidRDefault="00B66D5B" w:rsidP="008403C0">
            <w:pPr>
              <w:widowControl/>
              <w:spacing w:before="40" w:after="40"/>
              <w:jc w:val="left"/>
              <w:rPr>
                <w:sz w:val="20"/>
                <w:szCs w:val="20"/>
                <w:lang w:eastAsia="zh-CN"/>
              </w:rPr>
            </w:pPr>
            <w:r w:rsidRPr="006771EF">
              <w:rPr>
                <w:sz w:val="20"/>
                <w:szCs w:val="20"/>
                <w:lang w:val="en-US"/>
              </w:rPr>
              <w:t>Rio Tinto</w:t>
            </w:r>
          </w:p>
        </w:tc>
        <w:tc>
          <w:tcPr>
            <w:tcW w:w="1578" w:type="dxa"/>
            <w:tcBorders>
              <w:bottom w:val="single" w:sz="4" w:space="0" w:color="auto"/>
            </w:tcBorders>
            <w:vAlign w:val="center"/>
          </w:tcPr>
          <w:p w14:paraId="7DBBBCE8" w14:textId="77777777" w:rsidR="00B66D5B" w:rsidRPr="00DB6913" w:rsidRDefault="00B66D5B" w:rsidP="00B66D5B">
            <w:pPr>
              <w:widowControl/>
              <w:spacing w:before="40" w:after="40"/>
              <w:jc w:val="center"/>
              <w:rPr>
                <w:sz w:val="20"/>
                <w:szCs w:val="20"/>
                <w:lang w:eastAsia="zh-CN"/>
              </w:rPr>
            </w:pPr>
            <w:r w:rsidRPr="006771EF">
              <w:rPr>
                <w:sz w:val="20"/>
                <w:szCs w:val="20"/>
                <w:lang w:val="en-US"/>
              </w:rPr>
              <w:t>-</w:t>
            </w:r>
          </w:p>
        </w:tc>
        <w:tc>
          <w:tcPr>
            <w:tcW w:w="1134" w:type="dxa"/>
            <w:tcBorders>
              <w:bottom w:val="single" w:sz="4" w:space="0" w:color="auto"/>
            </w:tcBorders>
            <w:vAlign w:val="center"/>
          </w:tcPr>
          <w:p w14:paraId="264B1B93" w14:textId="77777777" w:rsidR="00B66D5B" w:rsidRPr="00DB6913" w:rsidRDefault="00FE061D" w:rsidP="00B66D5B">
            <w:pPr>
              <w:widowControl/>
              <w:spacing w:before="40" w:after="40"/>
              <w:jc w:val="center"/>
              <w:rPr>
                <w:sz w:val="20"/>
                <w:szCs w:val="20"/>
                <w:lang w:eastAsia="zh-CN"/>
              </w:rPr>
            </w:pPr>
            <w:r w:rsidRPr="006771EF">
              <w:rPr>
                <w:sz w:val="20"/>
                <w:szCs w:val="20"/>
                <w:lang w:val="en-US"/>
              </w:rPr>
              <w:t>9,872</w:t>
            </w:r>
          </w:p>
        </w:tc>
        <w:tc>
          <w:tcPr>
            <w:tcW w:w="1275" w:type="dxa"/>
            <w:tcBorders>
              <w:bottom w:val="single" w:sz="4" w:space="0" w:color="auto"/>
            </w:tcBorders>
            <w:vAlign w:val="center"/>
          </w:tcPr>
          <w:p w14:paraId="2A6DA3A8" w14:textId="77777777" w:rsidR="00B66D5B" w:rsidRPr="00DB6913" w:rsidRDefault="009C7B4E" w:rsidP="009C7B4E">
            <w:pPr>
              <w:widowControl/>
              <w:spacing w:before="40" w:after="40"/>
              <w:jc w:val="center"/>
              <w:rPr>
                <w:sz w:val="20"/>
                <w:szCs w:val="20"/>
              </w:rPr>
            </w:pPr>
            <w:r w:rsidRPr="009C7B4E">
              <w:rPr>
                <w:sz w:val="20"/>
                <w:szCs w:val="20"/>
              </w:rPr>
              <w:t>8,292</w:t>
            </w:r>
          </w:p>
        </w:tc>
        <w:tc>
          <w:tcPr>
            <w:tcW w:w="1134" w:type="dxa"/>
            <w:tcBorders>
              <w:bottom w:val="single" w:sz="4" w:space="0" w:color="auto"/>
            </w:tcBorders>
          </w:tcPr>
          <w:p w14:paraId="4B2C21EC" w14:textId="77777777" w:rsidR="00B66D5B" w:rsidRPr="006771EF" w:rsidRDefault="00B66D5B" w:rsidP="00B66D5B">
            <w:pPr>
              <w:widowControl/>
              <w:spacing w:before="40" w:after="40"/>
              <w:jc w:val="center"/>
              <w:rPr>
                <w:sz w:val="20"/>
                <w:szCs w:val="20"/>
                <w:lang w:val="en-US"/>
              </w:rPr>
            </w:pPr>
          </w:p>
        </w:tc>
        <w:tc>
          <w:tcPr>
            <w:tcW w:w="1276" w:type="dxa"/>
            <w:tcBorders>
              <w:bottom w:val="single" w:sz="4" w:space="0" w:color="auto"/>
            </w:tcBorders>
            <w:vAlign w:val="center"/>
          </w:tcPr>
          <w:p w14:paraId="771E35EB" w14:textId="132B4C9E" w:rsidR="00B66D5B" w:rsidRPr="00DB6913" w:rsidRDefault="008403C0" w:rsidP="00B66D5B">
            <w:pPr>
              <w:widowControl/>
              <w:spacing w:before="40" w:after="40"/>
              <w:jc w:val="center"/>
              <w:rPr>
                <w:sz w:val="20"/>
                <w:szCs w:val="20"/>
                <w:lang w:eastAsia="zh-CN"/>
              </w:rPr>
            </w:pPr>
            <w:r>
              <w:rPr>
                <w:sz w:val="20"/>
                <w:szCs w:val="20"/>
                <w:lang w:val="en-US"/>
              </w:rPr>
              <w:t>1.</w:t>
            </w:r>
            <w:r w:rsidR="000351AB">
              <w:rPr>
                <w:sz w:val="20"/>
                <w:szCs w:val="20"/>
                <w:lang w:val="en-US"/>
              </w:rPr>
              <w:t>2</w:t>
            </w:r>
            <w:r w:rsidR="000127F3">
              <w:rPr>
                <w:sz w:val="20"/>
                <w:szCs w:val="20"/>
                <w:lang w:val="en-US"/>
              </w:rPr>
              <w:t>4</w:t>
            </w:r>
          </w:p>
        </w:tc>
        <w:tc>
          <w:tcPr>
            <w:tcW w:w="1134" w:type="dxa"/>
            <w:tcBorders>
              <w:bottom w:val="single" w:sz="4" w:space="0" w:color="auto"/>
            </w:tcBorders>
            <w:vAlign w:val="center"/>
          </w:tcPr>
          <w:p w14:paraId="5D077ABF" w14:textId="77777777" w:rsidR="00B66D5B" w:rsidRPr="00B5066D" w:rsidRDefault="00307FB3" w:rsidP="00B66D5B">
            <w:pPr>
              <w:widowControl/>
              <w:spacing w:before="40" w:after="40"/>
              <w:jc w:val="center"/>
              <w:rPr>
                <w:sz w:val="20"/>
                <w:szCs w:val="20"/>
                <w:lang w:eastAsia="zh-CN"/>
              </w:rPr>
            </w:pPr>
            <w:r w:rsidRPr="00B5066D">
              <w:rPr>
                <w:sz w:val="20"/>
                <w:szCs w:val="20"/>
                <w:lang w:eastAsia="zh-CN"/>
              </w:rPr>
              <w:t>-1</w:t>
            </w:r>
            <w:r w:rsidR="00244BF2" w:rsidRPr="00B5066D">
              <w:rPr>
                <w:sz w:val="20"/>
                <w:szCs w:val="20"/>
                <w:lang w:eastAsia="zh-CN"/>
              </w:rPr>
              <w:t>3</w:t>
            </w:r>
            <w:r w:rsidRPr="00B5066D">
              <w:rPr>
                <w:sz w:val="20"/>
                <w:szCs w:val="20"/>
                <w:lang w:eastAsia="zh-CN"/>
              </w:rPr>
              <w:t>.</w:t>
            </w:r>
            <w:r w:rsidR="00244BF2" w:rsidRPr="00B5066D">
              <w:rPr>
                <w:sz w:val="20"/>
                <w:szCs w:val="20"/>
                <w:lang w:eastAsia="zh-CN"/>
              </w:rPr>
              <w:t>19</w:t>
            </w:r>
          </w:p>
        </w:tc>
      </w:tr>
      <w:tr w:rsidR="008403C0" w14:paraId="3953ECD0" w14:textId="77777777">
        <w:tc>
          <w:tcPr>
            <w:tcW w:w="3082" w:type="dxa"/>
            <w:tcBorders>
              <w:top w:val="single" w:sz="4" w:space="0" w:color="auto"/>
              <w:bottom w:val="single" w:sz="4" w:space="0" w:color="auto"/>
            </w:tcBorders>
            <w:vAlign w:val="center"/>
          </w:tcPr>
          <w:p w14:paraId="375DBE1F" w14:textId="77777777" w:rsidR="008403C0" w:rsidRPr="008403C0" w:rsidRDefault="008403C0" w:rsidP="008403C0">
            <w:pPr>
              <w:widowControl/>
              <w:spacing w:before="40" w:after="40"/>
              <w:jc w:val="left"/>
              <w:rPr>
                <w:b/>
                <w:i/>
                <w:sz w:val="20"/>
                <w:szCs w:val="20"/>
                <w:lang w:eastAsia="zh-CN"/>
              </w:rPr>
            </w:pPr>
            <w:r w:rsidRPr="008403C0">
              <w:rPr>
                <w:b/>
                <w:i/>
                <w:sz w:val="20"/>
                <w:szCs w:val="20"/>
                <w:lang w:eastAsia="zh-CN"/>
              </w:rPr>
              <w:t>Total Australian Equities</w:t>
            </w:r>
          </w:p>
        </w:tc>
        <w:tc>
          <w:tcPr>
            <w:tcW w:w="1578" w:type="dxa"/>
            <w:tcBorders>
              <w:top w:val="single" w:sz="4" w:space="0" w:color="auto"/>
              <w:bottom w:val="single" w:sz="4" w:space="0" w:color="auto"/>
            </w:tcBorders>
            <w:vAlign w:val="center"/>
          </w:tcPr>
          <w:p w14:paraId="2253845B" w14:textId="77777777" w:rsidR="008403C0" w:rsidRPr="008403C0" w:rsidRDefault="008403C0" w:rsidP="008403C0">
            <w:pPr>
              <w:widowControl/>
              <w:spacing w:before="40" w:after="40"/>
              <w:jc w:val="center"/>
              <w:rPr>
                <w:sz w:val="20"/>
                <w:szCs w:val="20"/>
                <w:lang w:eastAsia="zh-CN"/>
              </w:rPr>
            </w:pPr>
            <w:r w:rsidRPr="008403C0">
              <w:rPr>
                <w:sz w:val="20"/>
                <w:szCs w:val="20"/>
                <w:lang w:val="en-US"/>
              </w:rPr>
              <w:t>iShares Core S&amp;P/</w:t>
            </w:r>
            <w:proofErr w:type="spellStart"/>
            <w:r w:rsidRPr="008403C0">
              <w:rPr>
                <w:sz w:val="20"/>
                <w:szCs w:val="20"/>
                <w:lang w:val="en-US"/>
              </w:rPr>
              <w:t>ASX</w:t>
            </w:r>
            <w:proofErr w:type="spellEnd"/>
            <w:r w:rsidRPr="008403C0">
              <w:rPr>
                <w:sz w:val="20"/>
                <w:szCs w:val="20"/>
                <w:lang w:val="en-US"/>
              </w:rPr>
              <w:t xml:space="preserve"> 200</w:t>
            </w:r>
          </w:p>
        </w:tc>
        <w:tc>
          <w:tcPr>
            <w:tcW w:w="1134" w:type="dxa"/>
            <w:tcBorders>
              <w:top w:val="single" w:sz="4" w:space="0" w:color="auto"/>
              <w:bottom w:val="single" w:sz="4" w:space="0" w:color="auto"/>
            </w:tcBorders>
            <w:vAlign w:val="center"/>
          </w:tcPr>
          <w:p w14:paraId="79096069" w14:textId="77777777" w:rsidR="008403C0" w:rsidRPr="008403C0" w:rsidRDefault="008403C0" w:rsidP="008403C0">
            <w:pPr>
              <w:widowControl/>
              <w:spacing w:before="40" w:after="40"/>
              <w:jc w:val="center"/>
              <w:rPr>
                <w:b/>
                <w:i/>
                <w:sz w:val="20"/>
                <w:szCs w:val="20"/>
                <w:lang w:eastAsia="zh-CN"/>
              </w:rPr>
            </w:pPr>
          </w:p>
        </w:tc>
        <w:tc>
          <w:tcPr>
            <w:tcW w:w="1275" w:type="dxa"/>
            <w:tcBorders>
              <w:top w:val="single" w:sz="4" w:space="0" w:color="auto"/>
              <w:bottom w:val="single" w:sz="4" w:space="0" w:color="auto"/>
            </w:tcBorders>
            <w:vAlign w:val="center"/>
          </w:tcPr>
          <w:p w14:paraId="77C495AD" w14:textId="77777777" w:rsidR="008403C0" w:rsidRPr="008403C0" w:rsidRDefault="008403C0" w:rsidP="008403C0">
            <w:pPr>
              <w:widowControl/>
              <w:spacing w:before="40" w:after="40"/>
              <w:jc w:val="center"/>
              <w:rPr>
                <w:b/>
                <w:i/>
                <w:sz w:val="20"/>
                <w:szCs w:val="20"/>
                <w:lang w:eastAsia="zh-CN"/>
              </w:rPr>
            </w:pPr>
          </w:p>
        </w:tc>
        <w:tc>
          <w:tcPr>
            <w:tcW w:w="1134" w:type="dxa"/>
            <w:tcBorders>
              <w:top w:val="single" w:sz="4" w:space="0" w:color="auto"/>
              <w:bottom w:val="single" w:sz="4" w:space="0" w:color="auto"/>
            </w:tcBorders>
            <w:vAlign w:val="center"/>
          </w:tcPr>
          <w:p w14:paraId="4BAEFFAA" w14:textId="77777777" w:rsidR="008403C0" w:rsidRPr="008403C0" w:rsidRDefault="008403C0" w:rsidP="008403C0">
            <w:pPr>
              <w:widowControl/>
              <w:spacing w:before="40" w:after="40"/>
              <w:jc w:val="center"/>
              <w:rPr>
                <w:b/>
                <w:i/>
                <w:sz w:val="20"/>
                <w:szCs w:val="20"/>
                <w:lang w:eastAsia="zh-CN"/>
              </w:rPr>
            </w:pPr>
            <w:r w:rsidRPr="008403C0">
              <w:rPr>
                <w:b/>
                <w:i/>
                <w:sz w:val="20"/>
                <w:szCs w:val="20"/>
                <w:lang w:eastAsia="zh-CN"/>
              </w:rPr>
              <w:t>60</w:t>
            </w:r>
          </w:p>
        </w:tc>
        <w:tc>
          <w:tcPr>
            <w:tcW w:w="1276" w:type="dxa"/>
            <w:tcBorders>
              <w:top w:val="single" w:sz="4" w:space="0" w:color="auto"/>
              <w:bottom w:val="single" w:sz="4" w:space="0" w:color="auto"/>
            </w:tcBorders>
            <w:vAlign w:val="center"/>
          </w:tcPr>
          <w:p w14:paraId="1392F34E" w14:textId="7E3CCD99" w:rsidR="008403C0" w:rsidRPr="008403C0" w:rsidRDefault="008403C0" w:rsidP="008403C0">
            <w:pPr>
              <w:widowControl/>
              <w:spacing w:before="40" w:after="40"/>
              <w:jc w:val="center"/>
              <w:rPr>
                <w:b/>
                <w:i/>
                <w:sz w:val="20"/>
                <w:szCs w:val="20"/>
                <w:lang w:eastAsia="zh-CN"/>
              </w:rPr>
            </w:pPr>
            <w:r w:rsidRPr="008403C0">
              <w:rPr>
                <w:b/>
                <w:i/>
                <w:sz w:val="20"/>
                <w:szCs w:val="20"/>
                <w:lang w:eastAsia="zh-CN"/>
              </w:rPr>
              <w:t>60.</w:t>
            </w:r>
            <w:r w:rsidR="00B56C26">
              <w:rPr>
                <w:b/>
                <w:i/>
                <w:sz w:val="20"/>
                <w:szCs w:val="20"/>
                <w:lang w:eastAsia="zh-CN"/>
              </w:rPr>
              <w:t>37</w:t>
            </w:r>
          </w:p>
        </w:tc>
        <w:tc>
          <w:tcPr>
            <w:tcW w:w="1134" w:type="dxa"/>
            <w:tcBorders>
              <w:top w:val="single" w:sz="4" w:space="0" w:color="auto"/>
              <w:bottom w:val="single" w:sz="4" w:space="0" w:color="auto"/>
            </w:tcBorders>
            <w:vAlign w:val="center"/>
          </w:tcPr>
          <w:p w14:paraId="078CA2F3" w14:textId="77777777" w:rsidR="008403C0" w:rsidRPr="00B5066D" w:rsidRDefault="008403C0" w:rsidP="008403C0">
            <w:pPr>
              <w:widowControl/>
              <w:spacing w:before="40" w:after="40"/>
              <w:jc w:val="center"/>
              <w:rPr>
                <w:b/>
                <w:i/>
                <w:sz w:val="20"/>
                <w:szCs w:val="20"/>
                <w:lang w:eastAsia="zh-CN"/>
              </w:rPr>
            </w:pPr>
          </w:p>
        </w:tc>
      </w:tr>
      <w:tr w:rsidR="008403C0" w14:paraId="744EAE85" w14:textId="77777777">
        <w:tc>
          <w:tcPr>
            <w:tcW w:w="3082" w:type="dxa"/>
            <w:tcBorders>
              <w:top w:val="single" w:sz="4" w:space="0" w:color="auto"/>
            </w:tcBorders>
            <w:vAlign w:val="center"/>
          </w:tcPr>
          <w:p w14:paraId="63B0CBAA" w14:textId="77777777" w:rsidR="008403C0" w:rsidRPr="008403C0" w:rsidRDefault="008403C0" w:rsidP="008403C0">
            <w:pPr>
              <w:widowControl/>
              <w:spacing w:before="40" w:after="40"/>
              <w:jc w:val="left"/>
              <w:rPr>
                <w:sz w:val="8"/>
                <w:szCs w:val="8"/>
                <w:lang w:eastAsia="zh-CN"/>
              </w:rPr>
            </w:pPr>
          </w:p>
        </w:tc>
        <w:tc>
          <w:tcPr>
            <w:tcW w:w="1578" w:type="dxa"/>
            <w:tcBorders>
              <w:top w:val="single" w:sz="4" w:space="0" w:color="auto"/>
            </w:tcBorders>
            <w:vAlign w:val="center"/>
          </w:tcPr>
          <w:p w14:paraId="10822C60" w14:textId="77777777" w:rsidR="008403C0" w:rsidRPr="008403C0" w:rsidRDefault="008403C0" w:rsidP="008403C0">
            <w:pPr>
              <w:widowControl/>
              <w:spacing w:before="40" w:after="40"/>
              <w:jc w:val="center"/>
              <w:rPr>
                <w:sz w:val="8"/>
                <w:szCs w:val="8"/>
                <w:lang w:eastAsia="zh-CN"/>
              </w:rPr>
            </w:pPr>
          </w:p>
        </w:tc>
        <w:tc>
          <w:tcPr>
            <w:tcW w:w="1134" w:type="dxa"/>
            <w:tcBorders>
              <w:top w:val="single" w:sz="4" w:space="0" w:color="auto"/>
            </w:tcBorders>
            <w:vAlign w:val="center"/>
          </w:tcPr>
          <w:p w14:paraId="6CED1CC3" w14:textId="77777777" w:rsidR="008403C0" w:rsidRPr="008403C0" w:rsidRDefault="008403C0" w:rsidP="008403C0">
            <w:pPr>
              <w:widowControl/>
              <w:spacing w:before="40" w:after="40"/>
              <w:jc w:val="center"/>
              <w:rPr>
                <w:sz w:val="8"/>
                <w:szCs w:val="8"/>
                <w:lang w:eastAsia="zh-CN"/>
              </w:rPr>
            </w:pPr>
          </w:p>
        </w:tc>
        <w:tc>
          <w:tcPr>
            <w:tcW w:w="1275" w:type="dxa"/>
            <w:tcBorders>
              <w:top w:val="single" w:sz="4" w:space="0" w:color="auto"/>
            </w:tcBorders>
            <w:vAlign w:val="center"/>
          </w:tcPr>
          <w:p w14:paraId="5F756664" w14:textId="77777777" w:rsidR="008403C0" w:rsidRPr="008403C0" w:rsidRDefault="008403C0" w:rsidP="008403C0">
            <w:pPr>
              <w:widowControl/>
              <w:spacing w:before="40" w:after="40"/>
              <w:jc w:val="center"/>
              <w:rPr>
                <w:sz w:val="8"/>
                <w:szCs w:val="8"/>
                <w:lang w:eastAsia="zh-CN"/>
              </w:rPr>
            </w:pPr>
          </w:p>
        </w:tc>
        <w:tc>
          <w:tcPr>
            <w:tcW w:w="1134" w:type="dxa"/>
            <w:tcBorders>
              <w:top w:val="single" w:sz="4" w:space="0" w:color="auto"/>
            </w:tcBorders>
          </w:tcPr>
          <w:p w14:paraId="35E5E66A" w14:textId="77777777" w:rsidR="008403C0" w:rsidRPr="008403C0" w:rsidRDefault="008403C0" w:rsidP="008403C0">
            <w:pPr>
              <w:widowControl/>
              <w:spacing w:before="40" w:after="40"/>
              <w:jc w:val="center"/>
              <w:rPr>
                <w:sz w:val="8"/>
                <w:szCs w:val="8"/>
                <w:lang w:eastAsia="zh-CN"/>
              </w:rPr>
            </w:pPr>
          </w:p>
        </w:tc>
        <w:tc>
          <w:tcPr>
            <w:tcW w:w="1276" w:type="dxa"/>
            <w:tcBorders>
              <w:top w:val="single" w:sz="4" w:space="0" w:color="auto"/>
            </w:tcBorders>
            <w:vAlign w:val="center"/>
          </w:tcPr>
          <w:p w14:paraId="4FC5536A" w14:textId="77777777" w:rsidR="008403C0" w:rsidRPr="008403C0" w:rsidRDefault="008403C0" w:rsidP="008403C0">
            <w:pPr>
              <w:widowControl/>
              <w:spacing w:before="40" w:after="40"/>
              <w:jc w:val="center"/>
              <w:rPr>
                <w:sz w:val="8"/>
                <w:szCs w:val="8"/>
                <w:lang w:eastAsia="zh-CN"/>
              </w:rPr>
            </w:pPr>
          </w:p>
        </w:tc>
        <w:tc>
          <w:tcPr>
            <w:tcW w:w="1134" w:type="dxa"/>
            <w:tcBorders>
              <w:top w:val="single" w:sz="4" w:space="0" w:color="auto"/>
            </w:tcBorders>
            <w:vAlign w:val="center"/>
          </w:tcPr>
          <w:p w14:paraId="601DDA5B" w14:textId="77777777" w:rsidR="008403C0" w:rsidRPr="00B5066D" w:rsidRDefault="008403C0" w:rsidP="008403C0">
            <w:pPr>
              <w:widowControl/>
              <w:spacing w:before="40" w:after="40"/>
              <w:jc w:val="center"/>
              <w:rPr>
                <w:sz w:val="8"/>
                <w:szCs w:val="8"/>
                <w:lang w:eastAsia="zh-CN"/>
              </w:rPr>
            </w:pPr>
          </w:p>
        </w:tc>
      </w:tr>
      <w:tr w:rsidR="008403C0" w14:paraId="239F6671" w14:textId="77777777">
        <w:tc>
          <w:tcPr>
            <w:tcW w:w="3082" w:type="dxa"/>
            <w:vAlign w:val="center"/>
          </w:tcPr>
          <w:p w14:paraId="098A1FE0" w14:textId="77777777" w:rsidR="008403C0" w:rsidRPr="008403C0" w:rsidRDefault="008403C0" w:rsidP="008403C0">
            <w:pPr>
              <w:widowControl/>
              <w:spacing w:before="40" w:after="40"/>
              <w:jc w:val="left"/>
              <w:rPr>
                <w:b/>
                <w:i/>
                <w:sz w:val="20"/>
                <w:szCs w:val="20"/>
                <w:lang w:eastAsia="zh-CN"/>
              </w:rPr>
            </w:pPr>
            <w:r w:rsidRPr="008403C0">
              <w:rPr>
                <w:b/>
                <w:i/>
                <w:sz w:val="20"/>
                <w:szCs w:val="20"/>
                <w:lang w:eastAsia="zh-CN"/>
              </w:rPr>
              <w:t>International Equities</w:t>
            </w:r>
          </w:p>
        </w:tc>
        <w:tc>
          <w:tcPr>
            <w:tcW w:w="1578" w:type="dxa"/>
            <w:vAlign w:val="center"/>
          </w:tcPr>
          <w:p w14:paraId="12F59C16" w14:textId="77777777" w:rsidR="008403C0" w:rsidRPr="008403C0" w:rsidRDefault="008403C0" w:rsidP="008403C0">
            <w:pPr>
              <w:widowControl/>
              <w:spacing w:before="40" w:after="40"/>
              <w:jc w:val="center"/>
              <w:rPr>
                <w:b/>
                <w:i/>
                <w:sz w:val="20"/>
                <w:szCs w:val="20"/>
                <w:lang w:eastAsia="zh-CN"/>
              </w:rPr>
            </w:pPr>
          </w:p>
        </w:tc>
        <w:tc>
          <w:tcPr>
            <w:tcW w:w="1134" w:type="dxa"/>
            <w:vAlign w:val="center"/>
          </w:tcPr>
          <w:p w14:paraId="7371A4F2" w14:textId="77777777" w:rsidR="008403C0" w:rsidRPr="008403C0" w:rsidRDefault="008403C0" w:rsidP="008403C0">
            <w:pPr>
              <w:widowControl/>
              <w:spacing w:before="40" w:after="40"/>
              <w:jc w:val="center"/>
              <w:rPr>
                <w:b/>
                <w:i/>
                <w:sz w:val="20"/>
                <w:szCs w:val="20"/>
                <w:lang w:eastAsia="zh-CN"/>
              </w:rPr>
            </w:pPr>
          </w:p>
        </w:tc>
        <w:tc>
          <w:tcPr>
            <w:tcW w:w="1275" w:type="dxa"/>
            <w:vAlign w:val="center"/>
          </w:tcPr>
          <w:p w14:paraId="69D1D784" w14:textId="77777777" w:rsidR="008403C0" w:rsidRPr="008403C0" w:rsidRDefault="008403C0" w:rsidP="008403C0">
            <w:pPr>
              <w:widowControl/>
              <w:spacing w:before="40" w:after="40"/>
              <w:jc w:val="center"/>
              <w:rPr>
                <w:b/>
                <w:i/>
                <w:sz w:val="20"/>
                <w:szCs w:val="20"/>
                <w:lang w:eastAsia="zh-CN"/>
              </w:rPr>
            </w:pPr>
          </w:p>
        </w:tc>
        <w:tc>
          <w:tcPr>
            <w:tcW w:w="1134" w:type="dxa"/>
          </w:tcPr>
          <w:p w14:paraId="3245C9AE" w14:textId="77777777" w:rsidR="008403C0" w:rsidRPr="008403C0" w:rsidRDefault="008403C0" w:rsidP="008403C0">
            <w:pPr>
              <w:widowControl/>
              <w:spacing w:before="40" w:after="40"/>
              <w:jc w:val="center"/>
              <w:rPr>
                <w:b/>
                <w:i/>
                <w:sz w:val="20"/>
                <w:szCs w:val="20"/>
                <w:lang w:eastAsia="zh-CN"/>
              </w:rPr>
            </w:pPr>
          </w:p>
        </w:tc>
        <w:tc>
          <w:tcPr>
            <w:tcW w:w="1276" w:type="dxa"/>
            <w:vAlign w:val="center"/>
          </w:tcPr>
          <w:p w14:paraId="3A56F32D" w14:textId="77777777" w:rsidR="008403C0" w:rsidRPr="008403C0" w:rsidRDefault="008403C0" w:rsidP="008403C0">
            <w:pPr>
              <w:widowControl/>
              <w:spacing w:before="40" w:after="40"/>
              <w:jc w:val="center"/>
              <w:rPr>
                <w:b/>
                <w:i/>
                <w:sz w:val="20"/>
                <w:szCs w:val="20"/>
                <w:lang w:eastAsia="zh-CN"/>
              </w:rPr>
            </w:pPr>
          </w:p>
        </w:tc>
        <w:tc>
          <w:tcPr>
            <w:tcW w:w="1134" w:type="dxa"/>
            <w:vAlign w:val="center"/>
          </w:tcPr>
          <w:p w14:paraId="34BBCC75" w14:textId="77777777" w:rsidR="008403C0" w:rsidRPr="00B5066D" w:rsidRDefault="008403C0" w:rsidP="008403C0">
            <w:pPr>
              <w:widowControl/>
              <w:spacing w:before="40" w:after="40"/>
              <w:jc w:val="center"/>
              <w:rPr>
                <w:sz w:val="20"/>
                <w:szCs w:val="20"/>
                <w:lang w:eastAsia="zh-CN"/>
              </w:rPr>
            </w:pPr>
          </w:p>
        </w:tc>
      </w:tr>
      <w:tr w:rsidR="008403C0" w14:paraId="20CEE001" w14:textId="77777777">
        <w:tc>
          <w:tcPr>
            <w:tcW w:w="3082" w:type="dxa"/>
            <w:vAlign w:val="center"/>
          </w:tcPr>
          <w:p w14:paraId="3529D0E6" w14:textId="77777777" w:rsidR="008403C0" w:rsidRPr="00DB6913" w:rsidRDefault="008403C0" w:rsidP="008403C0">
            <w:pPr>
              <w:widowControl/>
              <w:spacing w:before="40" w:after="40"/>
              <w:jc w:val="left"/>
              <w:rPr>
                <w:sz w:val="20"/>
                <w:szCs w:val="20"/>
                <w:lang w:eastAsia="zh-CN"/>
              </w:rPr>
            </w:pPr>
            <w:r w:rsidRPr="006771EF">
              <w:rPr>
                <w:sz w:val="20"/>
                <w:szCs w:val="20"/>
                <w:lang w:val="en-US"/>
              </w:rPr>
              <w:t>International Equities, Unhedged</w:t>
            </w:r>
          </w:p>
        </w:tc>
        <w:tc>
          <w:tcPr>
            <w:tcW w:w="1578" w:type="dxa"/>
            <w:vAlign w:val="center"/>
          </w:tcPr>
          <w:p w14:paraId="203FC4D9" w14:textId="77777777" w:rsidR="008403C0" w:rsidRPr="00DB6913" w:rsidRDefault="008403C0" w:rsidP="008403C0">
            <w:pPr>
              <w:widowControl/>
              <w:spacing w:before="40" w:after="40"/>
              <w:jc w:val="center"/>
              <w:rPr>
                <w:sz w:val="20"/>
                <w:szCs w:val="20"/>
                <w:lang w:eastAsia="zh-CN"/>
              </w:rPr>
            </w:pPr>
            <w:r w:rsidRPr="006771EF">
              <w:rPr>
                <w:sz w:val="20"/>
                <w:szCs w:val="20"/>
                <w:lang w:val="en-US"/>
              </w:rPr>
              <w:t>Vanguard International Shares Index</w:t>
            </w:r>
          </w:p>
        </w:tc>
        <w:tc>
          <w:tcPr>
            <w:tcW w:w="1134" w:type="dxa"/>
            <w:vAlign w:val="center"/>
          </w:tcPr>
          <w:p w14:paraId="496F82A3" w14:textId="77777777" w:rsidR="008403C0" w:rsidRPr="00DB6913" w:rsidRDefault="00FE061D" w:rsidP="008403C0">
            <w:pPr>
              <w:widowControl/>
              <w:spacing w:before="40" w:after="40"/>
              <w:jc w:val="center"/>
              <w:rPr>
                <w:sz w:val="20"/>
                <w:szCs w:val="20"/>
                <w:lang w:eastAsia="zh-CN"/>
              </w:rPr>
            </w:pPr>
            <w:r w:rsidRPr="006771EF">
              <w:rPr>
                <w:sz w:val="20"/>
                <w:szCs w:val="20"/>
                <w:lang w:val="en-US"/>
              </w:rPr>
              <w:t>64,653</w:t>
            </w:r>
          </w:p>
        </w:tc>
        <w:tc>
          <w:tcPr>
            <w:tcW w:w="1275" w:type="dxa"/>
            <w:vAlign w:val="center"/>
          </w:tcPr>
          <w:p w14:paraId="55F37DD5" w14:textId="77777777" w:rsidR="008403C0" w:rsidRPr="00DB6913" w:rsidRDefault="008865C5" w:rsidP="008865C5">
            <w:pPr>
              <w:widowControl/>
              <w:spacing w:before="40" w:after="40"/>
              <w:jc w:val="center"/>
              <w:rPr>
                <w:sz w:val="20"/>
                <w:szCs w:val="20"/>
              </w:rPr>
            </w:pPr>
            <w:r w:rsidRPr="008865C5">
              <w:rPr>
                <w:sz w:val="20"/>
                <w:szCs w:val="20"/>
              </w:rPr>
              <w:t xml:space="preserve">68,817 </w:t>
            </w:r>
          </w:p>
        </w:tc>
        <w:tc>
          <w:tcPr>
            <w:tcW w:w="1134" w:type="dxa"/>
            <w:vAlign w:val="center"/>
          </w:tcPr>
          <w:p w14:paraId="792F2D51" w14:textId="77777777" w:rsidR="008403C0" w:rsidRPr="006771EF" w:rsidRDefault="008403C0" w:rsidP="008403C0">
            <w:pPr>
              <w:widowControl/>
              <w:spacing w:before="40" w:after="40"/>
              <w:jc w:val="center"/>
              <w:rPr>
                <w:sz w:val="20"/>
                <w:szCs w:val="20"/>
                <w:lang w:val="en-US"/>
              </w:rPr>
            </w:pPr>
            <w:r>
              <w:rPr>
                <w:sz w:val="20"/>
                <w:szCs w:val="20"/>
                <w:lang w:val="en-US"/>
              </w:rPr>
              <w:t>10</w:t>
            </w:r>
          </w:p>
        </w:tc>
        <w:tc>
          <w:tcPr>
            <w:tcW w:w="1276" w:type="dxa"/>
            <w:vAlign w:val="center"/>
          </w:tcPr>
          <w:p w14:paraId="21EA6D92" w14:textId="3DB77C76" w:rsidR="008403C0" w:rsidRPr="00DB6913" w:rsidRDefault="008403C0" w:rsidP="008403C0">
            <w:pPr>
              <w:widowControl/>
              <w:spacing w:before="40" w:after="40"/>
              <w:jc w:val="center"/>
              <w:rPr>
                <w:sz w:val="20"/>
                <w:szCs w:val="20"/>
                <w:lang w:eastAsia="zh-CN"/>
              </w:rPr>
            </w:pPr>
            <w:r>
              <w:rPr>
                <w:sz w:val="20"/>
                <w:szCs w:val="20"/>
                <w:lang w:val="en-US"/>
              </w:rPr>
              <w:t>10.</w:t>
            </w:r>
            <w:r w:rsidR="00B07F0C">
              <w:rPr>
                <w:sz w:val="20"/>
                <w:szCs w:val="20"/>
                <w:lang w:val="en-US"/>
              </w:rPr>
              <w:t>2</w:t>
            </w:r>
            <w:r w:rsidR="008C5F30">
              <w:rPr>
                <w:sz w:val="20"/>
                <w:szCs w:val="20"/>
                <w:lang w:val="en-US"/>
              </w:rPr>
              <w:t>6</w:t>
            </w:r>
          </w:p>
        </w:tc>
        <w:tc>
          <w:tcPr>
            <w:tcW w:w="1134" w:type="dxa"/>
            <w:vAlign w:val="center"/>
          </w:tcPr>
          <w:p w14:paraId="397A384E" w14:textId="77777777" w:rsidR="008403C0" w:rsidRPr="00B5066D" w:rsidRDefault="00B52F0C" w:rsidP="008403C0">
            <w:pPr>
              <w:widowControl/>
              <w:spacing w:before="40" w:after="40"/>
              <w:jc w:val="center"/>
              <w:rPr>
                <w:sz w:val="20"/>
                <w:szCs w:val="20"/>
                <w:lang w:eastAsia="zh-CN"/>
              </w:rPr>
            </w:pPr>
            <w:r w:rsidRPr="00B5066D">
              <w:rPr>
                <w:sz w:val="20"/>
                <w:szCs w:val="20"/>
                <w:lang w:eastAsia="zh-CN"/>
              </w:rPr>
              <w:t>7.76</w:t>
            </w:r>
          </w:p>
        </w:tc>
      </w:tr>
      <w:tr w:rsidR="008403C0" w14:paraId="54499DBD" w14:textId="77777777">
        <w:tc>
          <w:tcPr>
            <w:tcW w:w="3082" w:type="dxa"/>
            <w:tcBorders>
              <w:bottom w:val="single" w:sz="4" w:space="0" w:color="auto"/>
            </w:tcBorders>
            <w:vAlign w:val="center"/>
          </w:tcPr>
          <w:p w14:paraId="3B744DC5" w14:textId="77777777" w:rsidR="008403C0" w:rsidRPr="00DB6913" w:rsidRDefault="008403C0" w:rsidP="008403C0">
            <w:pPr>
              <w:widowControl/>
              <w:spacing w:before="40" w:after="40"/>
              <w:jc w:val="left"/>
              <w:rPr>
                <w:sz w:val="20"/>
                <w:szCs w:val="20"/>
                <w:lang w:eastAsia="zh-CN"/>
              </w:rPr>
            </w:pPr>
            <w:r w:rsidRPr="006771EF">
              <w:rPr>
                <w:sz w:val="20"/>
                <w:szCs w:val="20"/>
                <w:lang w:val="en-US"/>
              </w:rPr>
              <w:t>International Equities, Hedged</w:t>
            </w:r>
          </w:p>
        </w:tc>
        <w:tc>
          <w:tcPr>
            <w:tcW w:w="1578" w:type="dxa"/>
            <w:tcBorders>
              <w:bottom w:val="single" w:sz="4" w:space="0" w:color="auto"/>
            </w:tcBorders>
            <w:vAlign w:val="center"/>
          </w:tcPr>
          <w:p w14:paraId="77D85C60" w14:textId="77777777" w:rsidR="008403C0" w:rsidRPr="00DB6913" w:rsidRDefault="008403C0" w:rsidP="008403C0">
            <w:pPr>
              <w:widowControl/>
              <w:spacing w:before="40" w:after="40"/>
              <w:jc w:val="center"/>
              <w:rPr>
                <w:sz w:val="20"/>
                <w:szCs w:val="20"/>
                <w:lang w:eastAsia="zh-CN"/>
              </w:rPr>
            </w:pPr>
            <w:r w:rsidRPr="006771EF">
              <w:rPr>
                <w:sz w:val="20"/>
                <w:szCs w:val="20"/>
                <w:lang w:val="en-US"/>
              </w:rPr>
              <w:t>Vanguard International Shares Index, Hedged</w:t>
            </w:r>
          </w:p>
        </w:tc>
        <w:tc>
          <w:tcPr>
            <w:tcW w:w="1134" w:type="dxa"/>
            <w:tcBorders>
              <w:bottom w:val="single" w:sz="4" w:space="0" w:color="auto"/>
            </w:tcBorders>
            <w:vAlign w:val="center"/>
          </w:tcPr>
          <w:p w14:paraId="425CB899" w14:textId="77777777" w:rsidR="008403C0" w:rsidRPr="00DB6913" w:rsidRDefault="00FE061D" w:rsidP="008403C0">
            <w:pPr>
              <w:widowControl/>
              <w:spacing w:before="40" w:after="40"/>
              <w:jc w:val="center"/>
              <w:rPr>
                <w:sz w:val="20"/>
                <w:szCs w:val="20"/>
                <w:lang w:eastAsia="zh-CN"/>
              </w:rPr>
            </w:pPr>
            <w:r w:rsidRPr="006771EF">
              <w:rPr>
                <w:sz w:val="20"/>
                <w:szCs w:val="20"/>
                <w:lang w:val="en-US"/>
              </w:rPr>
              <w:t>64,839</w:t>
            </w:r>
          </w:p>
        </w:tc>
        <w:tc>
          <w:tcPr>
            <w:tcW w:w="1275" w:type="dxa"/>
            <w:tcBorders>
              <w:bottom w:val="single" w:sz="4" w:space="0" w:color="auto"/>
            </w:tcBorders>
            <w:vAlign w:val="center"/>
          </w:tcPr>
          <w:p w14:paraId="7A22AACF" w14:textId="77777777" w:rsidR="008403C0" w:rsidRPr="00DB6913" w:rsidRDefault="00762AF8" w:rsidP="00762AF8">
            <w:pPr>
              <w:widowControl/>
              <w:spacing w:before="40" w:after="40"/>
              <w:jc w:val="center"/>
              <w:rPr>
                <w:sz w:val="20"/>
                <w:szCs w:val="20"/>
              </w:rPr>
            </w:pPr>
            <w:r w:rsidRPr="00762AF8">
              <w:rPr>
                <w:sz w:val="20"/>
                <w:szCs w:val="20"/>
              </w:rPr>
              <w:t xml:space="preserve">66,339 </w:t>
            </w:r>
          </w:p>
        </w:tc>
        <w:tc>
          <w:tcPr>
            <w:tcW w:w="1134" w:type="dxa"/>
            <w:tcBorders>
              <w:bottom w:val="single" w:sz="4" w:space="0" w:color="auto"/>
            </w:tcBorders>
            <w:vAlign w:val="center"/>
          </w:tcPr>
          <w:p w14:paraId="1EFFB040" w14:textId="77777777" w:rsidR="008403C0" w:rsidRPr="006771EF" w:rsidRDefault="008403C0" w:rsidP="008403C0">
            <w:pPr>
              <w:widowControl/>
              <w:spacing w:before="40" w:after="40"/>
              <w:jc w:val="center"/>
              <w:rPr>
                <w:sz w:val="20"/>
                <w:szCs w:val="20"/>
                <w:lang w:val="en-US"/>
              </w:rPr>
            </w:pPr>
            <w:r>
              <w:rPr>
                <w:sz w:val="20"/>
                <w:szCs w:val="20"/>
                <w:lang w:val="en-US"/>
              </w:rPr>
              <w:t>10</w:t>
            </w:r>
          </w:p>
        </w:tc>
        <w:tc>
          <w:tcPr>
            <w:tcW w:w="1276" w:type="dxa"/>
            <w:tcBorders>
              <w:bottom w:val="single" w:sz="4" w:space="0" w:color="auto"/>
            </w:tcBorders>
            <w:vAlign w:val="center"/>
          </w:tcPr>
          <w:p w14:paraId="52195433" w14:textId="5D555760" w:rsidR="008403C0" w:rsidRPr="00DB6913" w:rsidRDefault="00ED6111" w:rsidP="008403C0">
            <w:pPr>
              <w:widowControl/>
              <w:spacing w:before="40" w:after="40"/>
              <w:jc w:val="center"/>
              <w:rPr>
                <w:sz w:val="20"/>
                <w:szCs w:val="20"/>
                <w:lang w:eastAsia="zh-CN"/>
              </w:rPr>
            </w:pPr>
            <w:r>
              <w:rPr>
                <w:sz w:val="20"/>
                <w:szCs w:val="20"/>
                <w:lang w:val="en-US"/>
              </w:rPr>
              <w:t>9</w:t>
            </w:r>
            <w:r w:rsidR="008403C0">
              <w:rPr>
                <w:sz w:val="20"/>
                <w:szCs w:val="20"/>
                <w:lang w:val="en-US"/>
              </w:rPr>
              <w:t>.</w:t>
            </w:r>
            <w:r w:rsidR="008C5F30">
              <w:rPr>
                <w:sz w:val="20"/>
                <w:szCs w:val="20"/>
                <w:lang w:val="en-US"/>
              </w:rPr>
              <w:t>89</w:t>
            </w:r>
          </w:p>
        </w:tc>
        <w:tc>
          <w:tcPr>
            <w:tcW w:w="1134" w:type="dxa"/>
            <w:tcBorders>
              <w:bottom w:val="single" w:sz="4" w:space="0" w:color="auto"/>
            </w:tcBorders>
            <w:vAlign w:val="center"/>
          </w:tcPr>
          <w:p w14:paraId="30C01746" w14:textId="77777777" w:rsidR="008403C0" w:rsidRPr="00B5066D" w:rsidRDefault="0054435B" w:rsidP="008403C0">
            <w:pPr>
              <w:widowControl/>
              <w:spacing w:before="40" w:after="40"/>
              <w:jc w:val="center"/>
              <w:rPr>
                <w:sz w:val="20"/>
                <w:szCs w:val="20"/>
                <w:lang w:eastAsia="zh-CN"/>
              </w:rPr>
            </w:pPr>
            <w:r w:rsidRPr="00B5066D">
              <w:rPr>
                <w:sz w:val="20"/>
                <w:szCs w:val="20"/>
                <w:lang w:eastAsia="zh-CN"/>
              </w:rPr>
              <w:t>3.</w:t>
            </w:r>
            <w:r w:rsidR="00763160" w:rsidRPr="00B5066D">
              <w:rPr>
                <w:sz w:val="20"/>
                <w:szCs w:val="20"/>
                <w:lang w:eastAsia="zh-CN"/>
              </w:rPr>
              <w:t>35</w:t>
            </w:r>
          </w:p>
        </w:tc>
      </w:tr>
      <w:tr w:rsidR="00C25D62" w14:paraId="605D2536" w14:textId="77777777">
        <w:tc>
          <w:tcPr>
            <w:tcW w:w="3082" w:type="dxa"/>
            <w:tcBorders>
              <w:top w:val="single" w:sz="4" w:space="0" w:color="auto"/>
              <w:bottom w:val="single" w:sz="4" w:space="0" w:color="auto"/>
            </w:tcBorders>
            <w:vAlign w:val="center"/>
          </w:tcPr>
          <w:p w14:paraId="2735362D" w14:textId="77777777" w:rsidR="008403C0" w:rsidRPr="008403C0" w:rsidRDefault="008403C0" w:rsidP="008403C0">
            <w:pPr>
              <w:widowControl/>
              <w:spacing w:before="40" w:after="40"/>
              <w:jc w:val="left"/>
              <w:rPr>
                <w:b/>
                <w:i/>
                <w:sz w:val="20"/>
                <w:szCs w:val="20"/>
                <w:lang w:eastAsia="zh-CN"/>
              </w:rPr>
            </w:pPr>
            <w:r w:rsidRPr="008403C0">
              <w:rPr>
                <w:b/>
                <w:i/>
                <w:sz w:val="20"/>
                <w:szCs w:val="20"/>
                <w:lang w:eastAsia="zh-CN"/>
              </w:rPr>
              <w:t>Total International Equities</w:t>
            </w:r>
          </w:p>
        </w:tc>
        <w:tc>
          <w:tcPr>
            <w:tcW w:w="1578" w:type="dxa"/>
            <w:tcBorders>
              <w:top w:val="single" w:sz="4" w:space="0" w:color="auto"/>
              <w:bottom w:val="single" w:sz="4" w:space="0" w:color="auto"/>
            </w:tcBorders>
            <w:vAlign w:val="center"/>
          </w:tcPr>
          <w:p w14:paraId="3F6C2002" w14:textId="77777777" w:rsidR="008403C0" w:rsidRPr="008403C0" w:rsidRDefault="008403C0" w:rsidP="008403C0">
            <w:pPr>
              <w:widowControl/>
              <w:spacing w:before="40" w:after="40"/>
              <w:jc w:val="center"/>
              <w:rPr>
                <w:b/>
                <w:i/>
                <w:sz w:val="20"/>
                <w:szCs w:val="20"/>
                <w:lang w:eastAsia="zh-CN"/>
              </w:rPr>
            </w:pPr>
          </w:p>
        </w:tc>
        <w:tc>
          <w:tcPr>
            <w:tcW w:w="1134" w:type="dxa"/>
            <w:tcBorders>
              <w:top w:val="single" w:sz="4" w:space="0" w:color="auto"/>
              <w:bottom w:val="single" w:sz="4" w:space="0" w:color="auto"/>
            </w:tcBorders>
            <w:vAlign w:val="center"/>
          </w:tcPr>
          <w:p w14:paraId="3214C764" w14:textId="77777777" w:rsidR="008403C0" w:rsidRPr="008403C0" w:rsidRDefault="008403C0" w:rsidP="008403C0">
            <w:pPr>
              <w:widowControl/>
              <w:spacing w:before="40" w:after="40"/>
              <w:jc w:val="center"/>
              <w:rPr>
                <w:b/>
                <w:i/>
                <w:sz w:val="20"/>
                <w:szCs w:val="20"/>
                <w:lang w:eastAsia="zh-CN"/>
              </w:rPr>
            </w:pPr>
          </w:p>
        </w:tc>
        <w:tc>
          <w:tcPr>
            <w:tcW w:w="1275" w:type="dxa"/>
            <w:tcBorders>
              <w:top w:val="single" w:sz="4" w:space="0" w:color="auto"/>
              <w:bottom w:val="single" w:sz="4" w:space="0" w:color="auto"/>
            </w:tcBorders>
            <w:vAlign w:val="center"/>
          </w:tcPr>
          <w:p w14:paraId="623218EC" w14:textId="77777777" w:rsidR="008403C0" w:rsidRPr="008403C0" w:rsidRDefault="008403C0" w:rsidP="008403C0">
            <w:pPr>
              <w:widowControl/>
              <w:spacing w:before="40" w:after="40"/>
              <w:jc w:val="center"/>
              <w:rPr>
                <w:b/>
                <w:i/>
                <w:sz w:val="20"/>
                <w:szCs w:val="20"/>
                <w:lang w:eastAsia="zh-CN"/>
              </w:rPr>
            </w:pPr>
          </w:p>
        </w:tc>
        <w:tc>
          <w:tcPr>
            <w:tcW w:w="1134" w:type="dxa"/>
            <w:tcBorders>
              <w:top w:val="single" w:sz="4" w:space="0" w:color="auto"/>
              <w:bottom w:val="single" w:sz="4" w:space="0" w:color="auto"/>
            </w:tcBorders>
            <w:vAlign w:val="center"/>
          </w:tcPr>
          <w:p w14:paraId="36F30E85" w14:textId="77777777" w:rsidR="008403C0" w:rsidRPr="008403C0" w:rsidRDefault="008403C0" w:rsidP="008403C0">
            <w:pPr>
              <w:widowControl/>
              <w:spacing w:before="40" w:after="40"/>
              <w:jc w:val="center"/>
              <w:rPr>
                <w:b/>
                <w:i/>
                <w:sz w:val="20"/>
                <w:szCs w:val="20"/>
                <w:lang w:eastAsia="zh-CN"/>
              </w:rPr>
            </w:pPr>
            <w:r>
              <w:rPr>
                <w:b/>
                <w:i/>
                <w:sz w:val="20"/>
                <w:szCs w:val="20"/>
                <w:lang w:eastAsia="zh-CN"/>
              </w:rPr>
              <w:t>20</w:t>
            </w:r>
          </w:p>
        </w:tc>
        <w:tc>
          <w:tcPr>
            <w:tcW w:w="1276" w:type="dxa"/>
            <w:tcBorders>
              <w:top w:val="single" w:sz="4" w:space="0" w:color="auto"/>
              <w:bottom w:val="single" w:sz="4" w:space="0" w:color="auto"/>
            </w:tcBorders>
            <w:vAlign w:val="center"/>
          </w:tcPr>
          <w:p w14:paraId="2580D6AA" w14:textId="23746435" w:rsidR="008403C0" w:rsidRPr="008403C0" w:rsidRDefault="008403C0" w:rsidP="008403C0">
            <w:pPr>
              <w:widowControl/>
              <w:spacing w:before="40" w:after="40"/>
              <w:jc w:val="center"/>
              <w:rPr>
                <w:b/>
                <w:i/>
                <w:sz w:val="20"/>
                <w:szCs w:val="20"/>
                <w:lang w:eastAsia="zh-CN"/>
              </w:rPr>
            </w:pPr>
            <w:r w:rsidRPr="008403C0">
              <w:rPr>
                <w:b/>
                <w:i/>
                <w:sz w:val="20"/>
                <w:szCs w:val="20"/>
                <w:lang w:eastAsia="zh-CN"/>
              </w:rPr>
              <w:t>20.</w:t>
            </w:r>
            <w:r w:rsidR="000033FA">
              <w:rPr>
                <w:b/>
                <w:i/>
                <w:sz w:val="20"/>
                <w:szCs w:val="20"/>
                <w:lang w:eastAsia="zh-CN"/>
              </w:rPr>
              <w:t>1</w:t>
            </w:r>
            <w:r w:rsidR="009900EA">
              <w:rPr>
                <w:b/>
                <w:i/>
                <w:sz w:val="20"/>
                <w:szCs w:val="20"/>
                <w:lang w:eastAsia="zh-CN"/>
              </w:rPr>
              <w:t>5</w:t>
            </w:r>
          </w:p>
        </w:tc>
        <w:tc>
          <w:tcPr>
            <w:tcW w:w="1134" w:type="dxa"/>
            <w:tcBorders>
              <w:top w:val="single" w:sz="4" w:space="0" w:color="auto"/>
              <w:bottom w:val="single" w:sz="4" w:space="0" w:color="auto"/>
            </w:tcBorders>
            <w:vAlign w:val="center"/>
          </w:tcPr>
          <w:p w14:paraId="5AB80322" w14:textId="77777777" w:rsidR="008403C0" w:rsidRPr="00B5066D" w:rsidRDefault="008403C0" w:rsidP="008403C0">
            <w:pPr>
              <w:widowControl/>
              <w:spacing w:before="40" w:after="40"/>
              <w:jc w:val="center"/>
              <w:rPr>
                <w:b/>
                <w:i/>
                <w:sz w:val="20"/>
                <w:szCs w:val="20"/>
                <w:lang w:eastAsia="zh-CN"/>
              </w:rPr>
            </w:pPr>
          </w:p>
        </w:tc>
      </w:tr>
      <w:tr w:rsidR="008403C0" w14:paraId="0975DF8A" w14:textId="77777777">
        <w:tc>
          <w:tcPr>
            <w:tcW w:w="3082" w:type="dxa"/>
            <w:tcBorders>
              <w:top w:val="single" w:sz="4" w:space="0" w:color="auto"/>
              <w:bottom w:val="single" w:sz="4" w:space="0" w:color="auto"/>
            </w:tcBorders>
            <w:vAlign w:val="center"/>
          </w:tcPr>
          <w:p w14:paraId="70697E1A" w14:textId="77777777" w:rsidR="008403C0" w:rsidRPr="008403C0" w:rsidRDefault="008403C0" w:rsidP="008403C0">
            <w:pPr>
              <w:widowControl/>
              <w:spacing w:before="40" w:after="40"/>
              <w:jc w:val="left"/>
              <w:rPr>
                <w:b/>
                <w:sz w:val="20"/>
                <w:szCs w:val="20"/>
                <w:lang w:eastAsia="zh-CN"/>
              </w:rPr>
            </w:pPr>
            <w:r>
              <w:rPr>
                <w:b/>
                <w:sz w:val="20"/>
                <w:szCs w:val="20"/>
                <w:lang w:eastAsia="zh-CN"/>
              </w:rPr>
              <w:t>Total Equities</w:t>
            </w:r>
          </w:p>
        </w:tc>
        <w:tc>
          <w:tcPr>
            <w:tcW w:w="1578" w:type="dxa"/>
            <w:tcBorders>
              <w:top w:val="single" w:sz="4" w:space="0" w:color="auto"/>
              <w:bottom w:val="single" w:sz="4" w:space="0" w:color="auto"/>
            </w:tcBorders>
            <w:vAlign w:val="center"/>
          </w:tcPr>
          <w:p w14:paraId="1A17A475" w14:textId="77777777" w:rsidR="008403C0" w:rsidRPr="008403C0" w:rsidRDefault="008403C0" w:rsidP="008403C0">
            <w:pPr>
              <w:widowControl/>
              <w:spacing w:before="40" w:after="40"/>
              <w:jc w:val="center"/>
              <w:rPr>
                <w:b/>
                <w:sz w:val="20"/>
                <w:szCs w:val="20"/>
                <w:lang w:eastAsia="zh-CN"/>
              </w:rPr>
            </w:pPr>
          </w:p>
        </w:tc>
        <w:tc>
          <w:tcPr>
            <w:tcW w:w="1134" w:type="dxa"/>
            <w:tcBorders>
              <w:top w:val="single" w:sz="4" w:space="0" w:color="auto"/>
              <w:bottom w:val="single" w:sz="4" w:space="0" w:color="auto"/>
            </w:tcBorders>
            <w:vAlign w:val="center"/>
          </w:tcPr>
          <w:p w14:paraId="180CDD78" w14:textId="77777777" w:rsidR="008403C0" w:rsidRPr="008403C0" w:rsidRDefault="008403C0" w:rsidP="008403C0">
            <w:pPr>
              <w:widowControl/>
              <w:spacing w:before="40" w:after="40"/>
              <w:jc w:val="center"/>
              <w:rPr>
                <w:b/>
                <w:sz w:val="20"/>
                <w:szCs w:val="20"/>
                <w:lang w:eastAsia="zh-CN"/>
              </w:rPr>
            </w:pPr>
          </w:p>
        </w:tc>
        <w:tc>
          <w:tcPr>
            <w:tcW w:w="1275" w:type="dxa"/>
            <w:tcBorders>
              <w:top w:val="single" w:sz="4" w:space="0" w:color="auto"/>
              <w:bottom w:val="single" w:sz="4" w:space="0" w:color="auto"/>
            </w:tcBorders>
            <w:vAlign w:val="center"/>
          </w:tcPr>
          <w:p w14:paraId="40990A94" w14:textId="77777777" w:rsidR="008403C0" w:rsidRPr="008403C0" w:rsidRDefault="008403C0" w:rsidP="008403C0">
            <w:pPr>
              <w:widowControl/>
              <w:spacing w:before="40" w:after="40"/>
              <w:jc w:val="center"/>
              <w:rPr>
                <w:b/>
                <w:sz w:val="20"/>
                <w:szCs w:val="20"/>
                <w:lang w:eastAsia="zh-CN"/>
              </w:rPr>
            </w:pPr>
          </w:p>
        </w:tc>
        <w:tc>
          <w:tcPr>
            <w:tcW w:w="1134" w:type="dxa"/>
            <w:tcBorders>
              <w:top w:val="single" w:sz="4" w:space="0" w:color="auto"/>
              <w:bottom w:val="single" w:sz="4" w:space="0" w:color="auto"/>
            </w:tcBorders>
          </w:tcPr>
          <w:p w14:paraId="4A379C44" w14:textId="77777777" w:rsidR="008403C0" w:rsidRPr="008403C0" w:rsidRDefault="008403C0" w:rsidP="008403C0">
            <w:pPr>
              <w:widowControl/>
              <w:spacing w:before="40" w:after="40"/>
              <w:jc w:val="center"/>
              <w:rPr>
                <w:b/>
                <w:sz w:val="20"/>
                <w:szCs w:val="20"/>
                <w:lang w:eastAsia="zh-CN"/>
              </w:rPr>
            </w:pPr>
            <w:r w:rsidRPr="008403C0">
              <w:rPr>
                <w:b/>
                <w:sz w:val="20"/>
                <w:szCs w:val="20"/>
                <w:lang w:eastAsia="zh-CN"/>
              </w:rPr>
              <w:t>80</w:t>
            </w:r>
          </w:p>
        </w:tc>
        <w:tc>
          <w:tcPr>
            <w:tcW w:w="1276" w:type="dxa"/>
            <w:tcBorders>
              <w:top w:val="single" w:sz="4" w:space="0" w:color="auto"/>
              <w:bottom w:val="single" w:sz="4" w:space="0" w:color="auto"/>
            </w:tcBorders>
            <w:vAlign w:val="center"/>
          </w:tcPr>
          <w:p w14:paraId="5272C800" w14:textId="565706CF" w:rsidR="008403C0" w:rsidRPr="008403C0" w:rsidRDefault="008403C0" w:rsidP="008403C0">
            <w:pPr>
              <w:widowControl/>
              <w:spacing w:before="40" w:after="40"/>
              <w:jc w:val="center"/>
              <w:rPr>
                <w:b/>
                <w:sz w:val="20"/>
                <w:szCs w:val="20"/>
                <w:lang w:eastAsia="zh-CN"/>
              </w:rPr>
            </w:pPr>
            <w:r w:rsidRPr="008403C0">
              <w:rPr>
                <w:b/>
                <w:sz w:val="20"/>
                <w:szCs w:val="20"/>
                <w:lang w:eastAsia="zh-CN"/>
              </w:rPr>
              <w:t>80.</w:t>
            </w:r>
            <w:r w:rsidR="009900EA">
              <w:rPr>
                <w:b/>
                <w:sz w:val="20"/>
                <w:szCs w:val="20"/>
                <w:lang w:eastAsia="zh-CN"/>
              </w:rPr>
              <w:t>52</w:t>
            </w:r>
          </w:p>
        </w:tc>
        <w:tc>
          <w:tcPr>
            <w:tcW w:w="1134" w:type="dxa"/>
            <w:tcBorders>
              <w:top w:val="single" w:sz="4" w:space="0" w:color="auto"/>
              <w:bottom w:val="single" w:sz="4" w:space="0" w:color="auto"/>
            </w:tcBorders>
            <w:vAlign w:val="center"/>
          </w:tcPr>
          <w:p w14:paraId="186F860A" w14:textId="77777777" w:rsidR="008403C0" w:rsidRPr="00B5066D" w:rsidRDefault="008403C0" w:rsidP="008403C0">
            <w:pPr>
              <w:widowControl/>
              <w:spacing w:before="40" w:after="40"/>
              <w:jc w:val="center"/>
              <w:rPr>
                <w:b/>
                <w:sz w:val="20"/>
                <w:szCs w:val="20"/>
                <w:lang w:eastAsia="zh-CN"/>
              </w:rPr>
            </w:pPr>
          </w:p>
        </w:tc>
      </w:tr>
      <w:tr w:rsidR="008403C0" w14:paraId="7E3A1D47" w14:textId="77777777">
        <w:tc>
          <w:tcPr>
            <w:tcW w:w="3082" w:type="dxa"/>
            <w:tcBorders>
              <w:top w:val="single" w:sz="4" w:space="0" w:color="auto"/>
            </w:tcBorders>
            <w:vAlign w:val="center"/>
          </w:tcPr>
          <w:p w14:paraId="0A0D6390" w14:textId="77777777" w:rsidR="008403C0" w:rsidRPr="008403C0" w:rsidRDefault="008403C0" w:rsidP="008403C0">
            <w:pPr>
              <w:widowControl/>
              <w:spacing w:before="40" w:after="40"/>
              <w:jc w:val="left"/>
              <w:rPr>
                <w:sz w:val="12"/>
                <w:szCs w:val="12"/>
                <w:lang w:eastAsia="zh-CN"/>
              </w:rPr>
            </w:pPr>
          </w:p>
        </w:tc>
        <w:tc>
          <w:tcPr>
            <w:tcW w:w="1578" w:type="dxa"/>
            <w:tcBorders>
              <w:top w:val="single" w:sz="4" w:space="0" w:color="auto"/>
            </w:tcBorders>
            <w:vAlign w:val="center"/>
          </w:tcPr>
          <w:p w14:paraId="3EB14828" w14:textId="77777777" w:rsidR="008403C0" w:rsidRPr="008403C0" w:rsidRDefault="008403C0" w:rsidP="008403C0">
            <w:pPr>
              <w:widowControl/>
              <w:spacing w:before="40" w:after="40"/>
              <w:jc w:val="center"/>
              <w:rPr>
                <w:sz w:val="12"/>
                <w:szCs w:val="12"/>
                <w:lang w:eastAsia="zh-CN"/>
              </w:rPr>
            </w:pPr>
          </w:p>
        </w:tc>
        <w:tc>
          <w:tcPr>
            <w:tcW w:w="1134" w:type="dxa"/>
            <w:tcBorders>
              <w:top w:val="single" w:sz="4" w:space="0" w:color="auto"/>
            </w:tcBorders>
            <w:vAlign w:val="center"/>
          </w:tcPr>
          <w:p w14:paraId="3229ECE4" w14:textId="77777777" w:rsidR="008403C0" w:rsidRPr="008403C0" w:rsidRDefault="008403C0" w:rsidP="008403C0">
            <w:pPr>
              <w:widowControl/>
              <w:spacing w:before="40" w:after="40"/>
              <w:jc w:val="center"/>
              <w:rPr>
                <w:sz w:val="12"/>
                <w:szCs w:val="12"/>
                <w:lang w:eastAsia="zh-CN"/>
              </w:rPr>
            </w:pPr>
          </w:p>
        </w:tc>
        <w:tc>
          <w:tcPr>
            <w:tcW w:w="1275" w:type="dxa"/>
            <w:tcBorders>
              <w:top w:val="single" w:sz="4" w:space="0" w:color="auto"/>
            </w:tcBorders>
            <w:vAlign w:val="center"/>
          </w:tcPr>
          <w:p w14:paraId="0D71AFD0" w14:textId="77777777" w:rsidR="008403C0" w:rsidRPr="008403C0" w:rsidRDefault="008403C0" w:rsidP="008403C0">
            <w:pPr>
              <w:widowControl/>
              <w:spacing w:before="40" w:after="40"/>
              <w:jc w:val="center"/>
              <w:rPr>
                <w:sz w:val="12"/>
                <w:szCs w:val="12"/>
                <w:lang w:eastAsia="zh-CN"/>
              </w:rPr>
            </w:pPr>
          </w:p>
        </w:tc>
        <w:tc>
          <w:tcPr>
            <w:tcW w:w="1134" w:type="dxa"/>
            <w:tcBorders>
              <w:top w:val="single" w:sz="4" w:space="0" w:color="auto"/>
            </w:tcBorders>
          </w:tcPr>
          <w:p w14:paraId="5D726EE4" w14:textId="77777777" w:rsidR="008403C0" w:rsidRPr="008403C0" w:rsidRDefault="008403C0" w:rsidP="008403C0">
            <w:pPr>
              <w:widowControl/>
              <w:spacing w:before="40" w:after="40"/>
              <w:jc w:val="center"/>
              <w:rPr>
                <w:sz w:val="12"/>
                <w:szCs w:val="12"/>
                <w:lang w:eastAsia="zh-CN"/>
              </w:rPr>
            </w:pPr>
          </w:p>
        </w:tc>
        <w:tc>
          <w:tcPr>
            <w:tcW w:w="1276" w:type="dxa"/>
            <w:tcBorders>
              <w:top w:val="single" w:sz="4" w:space="0" w:color="auto"/>
            </w:tcBorders>
            <w:vAlign w:val="center"/>
          </w:tcPr>
          <w:p w14:paraId="0A1500BD" w14:textId="77777777" w:rsidR="008403C0" w:rsidRPr="008403C0" w:rsidRDefault="008403C0" w:rsidP="008403C0">
            <w:pPr>
              <w:widowControl/>
              <w:spacing w:before="40" w:after="40"/>
              <w:jc w:val="center"/>
              <w:rPr>
                <w:sz w:val="12"/>
                <w:szCs w:val="12"/>
                <w:lang w:eastAsia="zh-CN"/>
              </w:rPr>
            </w:pPr>
          </w:p>
        </w:tc>
        <w:tc>
          <w:tcPr>
            <w:tcW w:w="1134" w:type="dxa"/>
            <w:tcBorders>
              <w:top w:val="single" w:sz="4" w:space="0" w:color="auto"/>
            </w:tcBorders>
            <w:vAlign w:val="center"/>
          </w:tcPr>
          <w:p w14:paraId="62CA1951" w14:textId="77777777" w:rsidR="008403C0" w:rsidRPr="00B5066D" w:rsidRDefault="008403C0" w:rsidP="008403C0">
            <w:pPr>
              <w:widowControl/>
              <w:spacing w:before="40" w:after="40"/>
              <w:jc w:val="center"/>
              <w:rPr>
                <w:sz w:val="12"/>
                <w:szCs w:val="12"/>
                <w:lang w:eastAsia="zh-CN"/>
              </w:rPr>
            </w:pPr>
          </w:p>
        </w:tc>
      </w:tr>
      <w:tr w:rsidR="008403C0" w14:paraId="5E0A55A0" w14:textId="77777777">
        <w:tc>
          <w:tcPr>
            <w:tcW w:w="3082" w:type="dxa"/>
            <w:vAlign w:val="center"/>
          </w:tcPr>
          <w:p w14:paraId="1682195E" w14:textId="77777777" w:rsidR="008403C0" w:rsidRPr="006771EF" w:rsidRDefault="008403C0" w:rsidP="008403C0">
            <w:pPr>
              <w:widowControl/>
              <w:spacing w:before="40" w:after="40"/>
              <w:jc w:val="left"/>
              <w:rPr>
                <w:sz w:val="20"/>
                <w:szCs w:val="20"/>
                <w:lang w:val="en-US"/>
              </w:rPr>
            </w:pPr>
            <w:r w:rsidRPr="006771EF">
              <w:rPr>
                <w:sz w:val="20"/>
                <w:szCs w:val="20"/>
                <w:lang w:val="en-US"/>
              </w:rPr>
              <w:t>Australian Fixed Income</w:t>
            </w:r>
          </w:p>
        </w:tc>
        <w:tc>
          <w:tcPr>
            <w:tcW w:w="1578" w:type="dxa"/>
            <w:vAlign w:val="center"/>
          </w:tcPr>
          <w:p w14:paraId="1813E645" w14:textId="77777777" w:rsidR="008403C0" w:rsidRPr="006771EF" w:rsidRDefault="008403C0" w:rsidP="008403C0">
            <w:pPr>
              <w:widowControl/>
              <w:spacing w:before="40" w:after="40"/>
              <w:jc w:val="center"/>
              <w:rPr>
                <w:sz w:val="20"/>
                <w:szCs w:val="20"/>
                <w:lang w:val="en-US"/>
              </w:rPr>
            </w:pPr>
            <w:r w:rsidRPr="006771EF">
              <w:rPr>
                <w:sz w:val="20"/>
                <w:szCs w:val="20"/>
                <w:lang w:val="en-US"/>
              </w:rPr>
              <w:t>Vanguard Australian Government Bond Index</w:t>
            </w:r>
          </w:p>
        </w:tc>
        <w:tc>
          <w:tcPr>
            <w:tcW w:w="1134" w:type="dxa"/>
            <w:vAlign w:val="center"/>
          </w:tcPr>
          <w:p w14:paraId="4E75A49B" w14:textId="77777777" w:rsidR="008403C0" w:rsidRPr="006771EF" w:rsidRDefault="00FE061D" w:rsidP="008403C0">
            <w:pPr>
              <w:widowControl/>
              <w:spacing w:before="40" w:after="40"/>
              <w:jc w:val="center"/>
              <w:rPr>
                <w:sz w:val="20"/>
                <w:szCs w:val="20"/>
                <w:lang w:val="en-US"/>
              </w:rPr>
            </w:pPr>
            <w:r w:rsidRPr="006771EF">
              <w:rPr>
                <w:sz w:val="20"/>
                <w:szCs w:val="20"/>
                <w:lang w:val="en-US"/>
              </w:rPr>
              <w:t>92,094</w:t>
            </w:r>
          </w:p>
        </w:tc>
        <w:tc>
          <w:tcPr>
            <w:tcW w:w="1275" w:type="dxa"/>
            <w:vAlign w:val="center"/>
          </w:tcPr>
          <w:p w14:paraId="1238A959" w14:textId="77777777" w:rsidR="008403C0" w:rsidRPr="00DC2E70" w:rsidRDefault="00DC2E70" w:rsidP="00DC2E70">
            <w:pPr>
              <w:widowControl/>
              <w:spacing w:before="40" w:after="40"/>
              <w:jc w:val="center"/>
              <w:rPr>
                <w:sz w:val="20"/>
                <w:szCs w:val="20"/>
              </w:rPr>
            </w:pPr>
            <w:r w:rsidRPr="00DC2E70">
              <w:rPr>
                <w:sz w:val="20"/>
                <w:szCs w:val="20"/>
              </w:rPr>
              <w:t>93,514</w:t>
            </w:r>
          </w:p>
        </w:tc>
        <w:tc>
          <w:tcPr>
            <w:tcW w:w="1134" w:type="dxa"/>
            <w:vAlign w:val="center"/>
          </w:tcPr>
          <w:p w14:paraId="22C58969" w14:textId="77777777" w:rsidR="008403C0" w:rsidRPr="006771EF" w:rsidRDefault="008403C0" w:rsidP="008403C0">
            <w:pPr>
              <w:widowControl/>
              <w:spacing w:before="40" w:after="40"/>
              <w:jc w:val="center"/>
              <w:rPr>
                <w:sz w:val="20"/>
                <w:szCs w:val="20"/>
                <w:lang w:val="en-US"/>
              </w:rPr>
            </w:pPr>
            <w:r>
              <w:rPr>
                <w:sz w:val="20"/>
                <w:szCs w:val="20"/>
                <w:lang w:val="en-US"/>
              </w:rPr>
              <w:t>15</w:t>
            </w:r>
          </w:p>
        </w:tc>
        <w:tc>
          <w:tcPr>
            <w:tcW w:w="1276" w:type="dxa"/>
            <w:vAlign w:val="center"/>
          </w:tcPr>
          <w:p w14:paraId="0F353EF7" w14:textId="7927A153" w:rsidR="008403C0" w:rsidRPr="006771EF" w:rsidRDefault="008403C0" w:rsidP="008403C0">
            <w:pPr>
              <w:widowControl/>
              <w:spacing w:before="40" w:after="40"/>
              <w:jc w:val="center"/>
              <w:rPr>
                <w:sz w:val="20"/>
                <w:szCs w:val="20"/>
                <w:lang w:val="en-US"/>
              </w:rPr>
            </w:pPr>
            <w:r>
              <w:rPr>
                <w:sz w:val="20"/>
                <w:szCs w:val="20"/>
                <w:lang w:val="en-US"/>
              </w:rPr>
              <w:t>1</w:t>
            </w:r>
            <w:r w:rsidR="00B07F0C">
              <w:rPr>
                <w:sz w:val="20"/>
                <w:szCs w:val="20"/>
                <w:lang w:val="en-US"/>
              </w:rPr>
              <w:t>3</w:t>
            </w:r>
            <w:r>
              <w:rPr>
                <w:sz w:val="20"/>
                <w:szCs w:val="20"/>
                <w:lang w:val="en-US"/>
              </w:rPr>
              <w:t>.</w:t>
            </w:r>
            <w:r w:rsidR="00B07F0C">
              <w:rPr>
                <w:sz w:val="20"/>
                <w:szCs w:val="20"/>
                <w:lang w:val="en-US"/>
              </w:rPr>
              <w:t>9</w:t>
            </w:r>
            <w:r w:rsidR="0090663B">
              <w:rPr>
                <w:sz w:val="20"/>
                <w:szCs w:val="20"/>
                <w:lang w:val="en-US"/>
              </w:rPr>
              <w:t>5</w:t>
            </w:r>
          </w:p>
        </w:tc>
        <w:tc>
          <w:tcPr>
            <w:tcW w:w="1134" w:type="dxa"/>
            <w:vAlign w:val="center"/>
          </w:tcPr>
          <w:p w14:paraId="08BD3797" w14:textId="77777777" w:rsidR="008403C0" w:rsidRPr="00B5066D" w:rsidRDefault="00F738A5" w:rsidP="008403C0">
            <w:pPr>
              <w:widowControl/>
              <w:spacing w:before="40" w:after="40"/>
              <w:jc w:val="center"/>
              <w:rPr>
                <w:sz w:val="20"/>
                <w:szCs w:val="20"/>
                <w:lang w:val="en-US"/>
              </w:rPr>
            </w:pPr>
            <w:r w:rsidRPr="00B5066D">
              <w:rPr>
                <w:sz w:val="20"/>
                <w:szCs w:val="20"/>
                <w:lang w:val="en-US"/>
              </w:rPr>
              <w:t>2.</w:t>
            </w:r>
            <w:r w:rsidR="00763160" w:rsidRPr="00B5066D">
              <w:rPr>
                <w:sz w:val="20"/>
                <w:szCs w:val="20"/>
                <w:lang w:val="en-US"/>
              </w:rPr>
              <w:t>16</w:t>
            </w:r>
          </w:p>
        </w:tc>
      </w:tr>
      <w:tr w:rsidR="008403C0" w14:paraId="237EC7E7" w14:textId="77777777">
        <w:tc>
          <w:tcPr>
            <w:tcW w:w="3082" w:type="dxa"/>
            <w:vAlign w:val="center"/>
          </w:tcPr>
          <w:p w14:paraId="4D83B6B0" w14:textId="77777777" w:rsidR="008403C0" w:rsidRPr="008403C0" w:rsidRDefault="008403C0" w:rsidP="008403C0">
            <w:pPr>
              <w:widowControl/>
              <w:spacing w:before="40" w:after="40"/>
              <w:jc w:val="left"/>
              <w:rPr>
                <w:b/>
                <w:i/>
                <w:sz w:val="20"/>
                <w:szCs w:val="20"/>
                <w:lang w:val="en-US"/>
              </w:rPr>
            </w:pPr>
            <w:r w:rsidRPr="008403C0">
              <w:rPr>
                <w:b/>
                <w:i/>
                <w:sz w:val="20"/>
                <w:szCs w:val="20"/>
                <w:lang w:val="en-US"/>
              </w:rPr>
              <w:t>Australian Cash</w:t>
            </w:r>
          </w:p>
        </w:tc>
        <w:tc>
          <w:tcPr>
            <w:tcW w:w="1578" w:type="dxa"/>
            <w:vAlign w:val="center"/>
          </w:tcPr>
          <w:p w14:paraId="5104566D" w14:textId="77777777" w:rsidR="008403C0" w:rsidRPr="006771EF" w:rsidRDefault="008403C0" w:rsidP="008403C0">
            <w:pPr>
              <w:widowControl/>
              <w:spacing w:before="40" w:after="40"/>
              <w:jc w:val="center"/>
              <w:rPr>
                <w:sz w:val="20"/>
                <w:szCs w:val="20"/>
                <w:lang w:val="en-US"/>
              </w:rPr>
            </w:pPr>
          </w:p>
        </w:tc>
        <w:tc>
          <w:tcPr>
            <w:tcW w:w="1134" w:type="dxa"/>
            <w:vAlign w:val="center"/>
          </w:tcPr>
          <w:p w14:paraId="2E74814B" w14:textId="77777777" w:rsidR="008403C0" w:rsidRPr="006771EF" w:rsidRDefault="008403C0" w:rsidP="008403C0">
            <w:pPr>
              <w:widowControl/>
              <w:spacing w:before="40" w:after="40"/>
              <w:jc w:val="center"/>
              <w:rPr>
                <w:sz w:val="20"/>
                <w:szCs w:val="20"/>
                <w:lang w:val="en-US"/>
              </w:rPr>
            </w:pPr>
          </w:p>
        </w:tc>
        <w:tc>
          <w:tcPr>
            <w:tcW w:w="1275" w:type="dxa"/>
            <w:vAlign w:val="center"/>
          </w:tcPr>
          <w:p w14:paraId="4690F117" w14:textId="77777777" w:rsidR="008403C0" w:rsidRPr="006771EF" w:rsidRDefault="008403C0" w:rsidP="008403C0">
            <w:pPr>
              <w:widowControl/>
              <w:spacing w:before="40" w:after="40"/>
              <w:jc w:val="center"/>
              <w:rPr>
                <w:sz w:val="20"/>
                <w:szCs w:val="20"/>
                <w:lang w:val="en-US"/>
              </w:rPr>
            </w:pPr>
          </w:p>
        </w:tc>
        <w:tc>
          <w:tcPr>
            <w:tcW w:w="1134" w:type="dxa"/>
          </w:tcPr>
          <w:p w14:paraId="417DC6D6" w14:textId="77777777" w:rsidR="008403C0" w:rsidRPr="006771EF" w:rsidRDefault="008403C0" w:rsidP="008403C0">
            <w:pPr>
              <w:widowControl/>
              <w:spacing w:before="40" w:after="40"/>
              <w:jc w:val="center"/>
              <w:rPr>
                <w:sz w:val="20"/>
                <w:szCs w:val="20"/>
                <w:lang w:val="en-US"/>
              </w:rPr>
            </w:pPr>
          </w:p>
        </w:tc>
        <w:tc>
          <w:tcPr>
            <w:tcW w:w="1276" w:type="dxa"/>
            <w:vAlign w:val="center"/>
          </w:tcPr>
          <w:p w14:paraId="1141E486" w14:textId="77777777" w:rsidR="008403C0" w:rsidRPr="006771EF" w:rsidRDefault="008403C0" w:rsidP="008403C0">
            <w:pPr>
              <w:widowControl/>
              <w:spacing w:before="40" w:after="40"/>
              <w:jc w:val="center"/>
              <w:rPr>
                <w:sz w:val="20"/>
                <w:szCs w:val="20"/>
                <w:lang w:val="en-US"/>
              </w:rPr>
            </w:pPr>
          </w:p>
        </w:tc>
        <w:tc>
          <w:tcPr>
            <w:tcW w:w="1134" w:type="dxa"/>
            <w:vAlign w:val="center"/>
          </w:tcPr>
          <w:p w14:paraId="27E8A7EC" w14:textId="77777777" w:rsidR="008403C0" w:rsidRPr="00B5066D" w:rsidRDefault="008403C0" w:rsidP="008403C0">
            <w:pPr>
              <w:widowControl/>
              <w:spacing w:before="40" w:after="40"/>
              <w:jc w:val="center"/>
              <w:rPr>
                <w:sz w:val="20"/>
                <w:szCs w:val="20"/>
                <w:lang w:val="en-US"/>
              </w:rPr>
            </w:pPr>
          </w:p>
        </w:tc>
      </w:tr>
      <w:tr w:rsidR="008403C0" w14:paraId="00EEBADA" w14:textId="77777777">
        <w:tc>
          <w:tcPr>
            <w:tcW w:w="3082" w:type="dxa"/>
            <w:vAlign w:val="center"/>
          </w:tcPr>
          <w:p w14:paraId="51C7A11D" w14:textId="77777777" w:rsidR="008403C0" w:rsidRPr="001918CE" w:rsidRDefault="008403C0" w:rsidP="008403C0">
            <w:pPr>
              <w:widowControl/>
              <w:spacing w:before="40" w:after="40"/>
              <w:jc w:val="left"/>
              <w:rPr>
                <w:sz w:val="20"/>
                <w:szCs w:val="20"/>
                <w:lang w:val="en-US"/>
              </w:rPr>
            </w:pPr>
            <w:proofErr w:type="spellStart"/>
            <w:r w:rsidRPr="001918CE">
              <w:rPr>
                <w:sz w:val="20"/>
                <w:szCs w:val="20"/>
                <w:lang w:val="en-US"/>
              </w:rPr>
              <w:t>BetaShares</w:t>
            </w:r>
            <w:proofErr w:type="spellEnd"/>
            <w:r w:rsidRPr="001918CE">
              <w:rPr>
                <w:sz w:val="20"/>
                <w:szCs w:val="20"/>
                <w:lang w:val="en-US"/>
              </w:rPr>
              <w:t xml:space="preserve"> Australia High Interest Cash</w:t>
            </w:r>
          </w:p>
        </w:tc>
        <w:tc>
          <w:tcPr>
            <w:tcW w:w="1578" w:type="dxa"/>
            <w:vAlign w:val="center"/>
          </w:tcPr>
          <w:p w14:paraId="727CB837" w14:textId="77777777" w:rsidR="008403C0" w:rsidRPr="001918CE" w:rsidRDefault="008403C0" w:rsidP="00E706A8">
            <w:pPr>
              <w:widowControl/>
              <w:spacing w:before="40" w:after="40"/>
              <w:rPr>
                <w:sz w:val="20"/>
                <w:szCs w:val="20"/>
                <w:lang w:val="en-US"/>
              </w:rPr>
            </w:pPr>
          </w:p>
        </w:tc>
        <w:tc>
          <w:tcPr>
            <w:tcW w:w="1134" w:type="dxa"/>
            <w:vAlign w:val="center"/>
          </w:tcPr>
          <w:p w14:paraId="35B3F84A" w14:textId="77777777" w:rsidR="008403C0" w:rsidRPr="001918CE" w:rsidRDefault="00FE061D" w:rsidP="008403C0">
            <w:pPr>
              <w:widowControl/>
              <w:spacing w:before="40" w:after="40"/>
              <w:jc w:val="center"/>
              <w:rPr>
                <w:sz w:val="20"/>
                <w:szCs w:val="20"/>
                <w:lang w:val="en-US"/>
              </w:rPr>
            </w:pPr>
            <w:r w:rsidRPr="001918CE">
              <w:rPr>
                <w:sz w:val="20"/>
                <w:szCs w:val="20"/>
                <w:lang w:val="en-US"/>
              </w:rPr>
              <w:t>16,6</w:t>
            </w:r>
            <w:r w:rsidR="004448A0" w:rsidRPr="001918CE">
              <w:rPr>
                <w:sz w:val="20"/>
                <w:szCs w:val="20"/>
                <w:lang w:val="en-US"/>
              </w:rPr>
              <w:t>80</w:t>
            </w:r>
          </w:p>
        </w:tc>
        <w:tc>
          <w:tcPr>
            <w:tcW w:w="1275" w:type="dxa"/>
            <w:vAlign w:val="center"/>
          </w:tcPr>
          <w:p w14:paraId="5448EE59" w14:textId="77777777" w:rsidR="008403C0" w:rsidRPr="001918CE" w:rsidRDefault="005536EC" w:rsidP="005536EC">
            <w:pPr>
              <w:widowControl/>
              <w:spacing w:before="40" w:after="40"/>
              <w:jc w:val="center"/>
              <w:rPr>
                <w:sz w:val="20"/>
                <w:szCs w:val="20"/>
              </w:rPr>
            </w:pPr>
            <w:r w:rsidRPr="001918CE">
              <w:rPr>
                <w:sz w:val="20"/>
                <w:szCs w:val="20"/>
              </w:rPr>
              <w:t xml:space="preserve">16,703 </w:t>
            </w:r>
          </w:p>
        </w:tc>
        <w:tc>
          <w:tcPr>
            <w:tcW w:w="1134" w:type="dxa"/>
          </w:tcPr>
          <w:p w14:paraId="0CECA068" w14:textId="77777777" w:rsidR="008403C0" w:rsidRPr="001918CE" w:rsidRDefault="008403C0" w:rsidP="008403C0">
            <w:pPr>
              <w:widowControl/>
              <w:spacing w:before="40" w:after="40"/>
              <w:jc w:val="center"/>
              <w:rPr>
                <w:sz w:val="20"/>
                <w:szCs w:val="20"/>
                <w:lang w:val="en-US"/>
              </w:rPr>
            </w:pPr>
          </w:p>
        </w:tc>
        <w:tc>
          <w:tcPr>
            <w:tcW w:w="1276" w:type="dxa"/>
            <w:vAlign w:val="center"/>
          </w:tcPr>
          <w:p w14:paraId="6CD2619D" w14:textId="2FECA600" w:rsidR="008403C0" w:rsidRPr="001918CE" w:rsidRDefault="008403C0" w:rsidP="008403C0">
            <w:pPr>
              <w:widowControl/>
              <w:spacing w:before="40" w:after="40"/>
              <w:jc w:val="center"/>
              <w:rPr>
                <w:sz w:val="20"/>
                <w:szCs w:val="20"/>
                <w:lang w:val="en-US"/>
              </w:rPr>
            </w:pPr>
            <w:r w:rsidRPr="001918CE">
              <w:rPr>
                <w:sz w:val="20"/>
                <w:szCs w:val="20"/>
                <w:lang w:val="en-US"/>
              </w:rPr>
              <w:t>2.</w:t>
            </w:r>
            <w:r w:rsidR="0090663B">
              <w:rPr>
                <w:sz w:val="20"/>
                <w:szCs w:val="20"/>
                <w:lang w:val="en-US"/>
              </w:rPr>
              <w:t>49</w:t>
            </w:r>
          </w:p>
        </w:tc>
        <w:tc>
          <w:tcPr>
            <w:tcW w:w="1134" w:type="dxa"/>
            <w:vAlign w:val="center"/>
          </w:tcPr>
          <w:p w14:paraId="5DF7A7D7" w14:textId="77777777" w:rsidR="008403C0" w:rsidRPr="001918CE" w:rsidRDefault="008403C0" w:rsidP="008403C0">
            <w:pPr>
              <w:widowControl/>
              <w:spacing w:before="40" w:after="40"/>
              <w:jc w:val="center"/>
              <w:rPr>
                <w:sz w:val="20"/>
                <w:szCs w:val="20"/>
                <w:lang w:val="en-US"/>
              </w:rPr>
            </w:pPr>
            <w:r w:rsidRPr="001918CE">
              <w:rPr>
                <w:sz w:val="20"/>
                <w:szCs w:val="20"/>
                <w:lang w:val="en-US"/>
              </w:rPr>
              <w:t>0.</w:t>
            </w:r>
            <w:r w:rsidR="00F738A5" w:rsidRPr="001918CE">
              <w:rPr>
                <w:sz w:val="20"/>
                <w:szCs w:val="20"/>
                <w:lang w:val="en-US"/>
              </w:rPr>
              <w:t>3</w:t>
            </w:r>
            <w:r w:rsidR="00763160" w:rsidRPr="001918CE">
              <w:rPr>
                <w:sz w:val="20"/>
                <w:szCs w:val="20"/>
                <w:lang w:val="en-US"/>
              </w:rPr>
              <w:t>1</w:t>
            </w:r>
          </w:p>
        </w:tc>
      </w:tr>
      <w:tr w:rsidR="008403C0" w14:paraId="150B468D" w14:textId="77777777">
        <w:tc>
          <w:tcPr>
            <w:tcW w:w="3082" w:type="dxa"/>
            <w:tcBorders>
              <w:bottom w:val="nil"/>
            </w:tcBorders>
            <w:vAlign w:val="center"/>
          </w:tcPr>
          <w:p w14:paraId="6182E535" w14:textId="77777777" w:rsidR="0055464B" w:rsidRPr="001918CE" w:rsidRDefault="008403C0" w:rsidP="008403C0">
            <w:pPr>
              <w:widowControl/>
              <w:spacing w:before="40" w:after="40"/>
              <w:jc w:val="left"/>
              <w:rPr>
                <w:sz w:val="20"/>
                <w:szCs w:val="20"/>
                <w:lang w:val="en-US"/>
              </w:rPr>
            </w:pPr>
            <w:r w:rsidRPr="001918CE">
              <w:rPr>
                <w:sz w:val="20"/>
                <w:szCs w:val="20"/>
                <w:lang w:val="en-US"/>
              </w:rPr>
              <w:t xml:space="preserve">BT Cash Management Trust </w:t>
            </w:r>
          </w:p>
        </w:tc>
        <w:tc>
          <w:tcPr>
            <w:tcW w:w="1578" w:type="dxa"/>
            <w:tcBorders>
              <w:bottom w:val="nil"/>
            </w:tcBorders>
            <w:vAlign w:val="center"/>
          </w:tcPr>
          <w:p w14:paraId="759FFBF1" w14:textId="77777777" w:rsidR="008403C0" w:rsidRPr="001918CE" w:rsidRDefault="008403C0" w:rsidP="008403C0">
            <w:pPr>
              <w:widowControl/>
              <w:spacing w:before="40" w:after="40"/>
              <w:jc w:val="center"/>
              <w:rPr>
                <w:sz w:val="20"/>
                <w:szCs w:val="20"/>
                <w:lang w:val="en-US"/>
              </w:rPr>
            </w:pPr>
            <w:r w:rsidRPr="001918CE">
              <w:rPr>
                <w:sz w:val="20"/>
                <w:szCs w:val="20"/>
                <w:lang w:val="en-US"/>
              </w:rPr>
              <w:t>-</w:t>
            </w:r>
          </w:p>
        </w:tc>
        <w:tc>
          <w:tcPr>
            <w:tcW w:w="1134" w:type="dxa"/>
            <w:tcBorders>
              <w:bottom w:val="nil"/>
            </w:tcBorders>
            <w:vAlign w:val="center"/>
          </w:tcPr>
          <w:p w14:paraId="1591421E" w14:textId="77777777" w:rsidR="008403C0" w:rsidRPr="001918CE" w:rsidRDefault="00FE061D" w:rsidP="008403C0">
            <w:pPr>
              <w:widowControl/>
              <w:spacing w:before="40" w:after="40"/>
              <w:jc w:val="center"/>
              <w:rPr>
                <w:sz w:val="20"/>
                <w:szCs w:val="20"/>
                <w:lang w:val="en-US"/>
              </w:rPr>
            </w:pPr>
            <w:r w:rsidRPr="001918CE">
              <w:rPr>
                <w:sz w:val="20"/>
                <w:szCs w:val="20"/>
                <w:lang w:val="en-US"/>
              </w:rPr>
              <w:t>13,142</w:t>
            </w:r>
          </w:p>
        </w:tc>
        <w:tc>
          <w:tcPr>
            <w:tcW w:w="1275" w:type="dxa"/>
            <w:tcBorders>
              <w:bottom w:val="nil"/>
            </w:tcBorders>
            <w:vAlign w:val="center"/>
          </w:tcPr>
          <w:p w14:paraId="00A22C3A" w14:textId="77777777" w:rsidR="008403C0" w:rsidRPr="001918CE" w:rsidRDefault="005536EC" w:rsidP="005536EC">
            <w:pPr>
              <w:widowControl/>
              <w:spacing w:before="40" w:after="40"/>
              <w:jc w:val="center"/>
              <w:rPr>
                <w:sz w:val="20"/>
                <w:szCs w:val="20"/>
              </w:rPr>
            </w:pPr>
            <w:r w:rsidRPr="001918CE">
              <w:rPr>
                <w:sz w:val="20"/>
                <w:szCs w:val="20"/>
              </w:rPr>
              <w:t xml:space="preserve">18,108 </w:t>
            </w:r>
          </w:p>
        </w:tc>
        <w:tc>
          <w:tcPr>
            <w:tcW w:w="1134" w:type="dxa"/>
            <w:tcBorders>
              <w:bottom w:val="nil"/>
            </w:tcBorders>
          </w:tcPr>
          <w:p w14:paraId="688770CE" w14:textId="77777777" w:rsidR="008403C0" w:rsidRPr="001918CE" w:rsidRDefault="008403C0" w:rsidP="008403C0">
            <w:pPr>
              <w:widowControl/>
              <w:spacing w:before="40" w:after="40"/>
              <w:jc w:val="center"/>
              <w:rPr>
                <w:sz w:val="20"/>
                <w:szCs w:val="20"/>
                <w:lang w:val="en-US"/>
              </w:rPr>
            </w:pPr>
          </w:p>
        </w:tc>
        <w:tc>
          <w:tcPr>
            <w:tcW w:w="1276" w:type="dxa"/>
            <w:tcBorders>
              <w:bottom w:val="nil"/>
            </w:tcBorders>
            <w:vAlign w:val="center"/>
          </w:tcPr>
          <w:p w14:paraId="2EFF7078" w14:textId="01BA0F11" w:rsidR="008403C0" w:rsidRPr="001918CE" w:rsidRDefault="008403C0" w:rsidP="008403C0">
            <w:pPr>
              <w:widowControl/>
              <w:spacing w:before="40" w:after="40"/>
              <w:jc w:val="center"/>
              <w:rPr>
                <w:sz w:val="20"/>
                <w:szCs w:val="20"/>
                <w:lang w:val="en-US"/>
              </w:rPr>
            </w:pPr>
            <w:r w:rsidRPr="001918CE">
              <w:rPr>
                <w:sz w:val="20"/>
                <w:szCs w:val="20"/>
                <w:lang w:val="en-US"/>
              </w:rPr>
              <w:t>2.</w:t>
            </w:r>
            <w:r w:rsidR="00BB0AF1" w:rsidRPr="001918CE">
              <w:rPr>
                <w:sz w:val="20"/>
                <w:szCs w:val="20"/>
                <w:lang w:val="en-US"/>
              </w:rPr>
              <w:t>7</w:t>
            </w:r>
            <w:r w:rsidR="00B56C26">
              <w:rPr>
                <w:sz w:val="20"/>
                <w:szCs w:val="20"/>
                <w:lang w:val="en-US"/>
              </w:rPr>
              <w:t>0</w:t>
            </w:r>
          </w:p>
        </w:tc>
        <w:tc>
          <w:tcPr>
            <w:tcW w:w="1134" w:type="dxa"/>
            <w:tcBorders>
              <w:bottom w:val="nil"/>
            </w:tcBorders>
            <w:vAlign w:val="center"/>
          </w:tcPr>
          <w:p w14:paraId="188A8489" w14:textId="77777777" w:rsidR="008403C0" w:rsidRPr="001918CE" w:rsidRDefault="008403C0" w:rsidP="008403C0">
            <w:pPr>
              <w:widowControl/>
              <w:spacing w:before="40" w:after="40"/>
              <w:jc w:val="center"/>
              <w:rPr>
                <w:sz w:val="20"/>
                <w:szCs w:val="20"/>
                <w:lang w:val="en-US"/>
              </w:rPr>
            </w:pPr>
            <w:r w:rsidRPr="001918CE">
              <w:rPr>
                <w:sz w:val="20"/>
                <w:szCs w:val="20"/>
                <w:lang w:val="en-US"/>
              </w:rPr>
              <w:t>0.0</w:t>
            </w:r>
            <w:r w:rsidR="00F738A5" w:rsidRPr="001918CE">
              <w:rPr>
                <w:sz w:val="20"/>
                <w:szCs w:val="20"/>
                <w:lang w:val="en-US"/>
              </w:rPr>
              <w:t>0</w:t>
            </w:r>
          </w:p>
        </w:tc>
      </w:tr>
      <w:tr w:rsidR="002E0F6A" w14:paraId="40B2CE2C" w14:textId="77777777">
        <w:tc>
          <w:tcPr>
            <w:tcW w:w="3082" w:type="dxa"/>
            <w:tcBorders>
              <w:bottom w:val="single" w:sz="4" w:space="0" w:color="auto"/>
            </w:tcBorders>
            <w:vAlign w:val="center"/>
          </w:tcPr>
          <w:p w14:paraId="6C9E4D56" w14:textId="77777777" w:rsidR="002E0F6A" w:rsidRPr="001918CE" w:rsidRDefault="000C2957" w:rsidP="008403C0">
            <w:pPr>
              <w:widowControl/>
              <w:spacing w:before="40" w:after="40"/>
              <w:jc w:val="left"/>
              <w:rPr>
                <w:sz w:val="20"/>
                <w:szCs w:val="20"/>
                <w:lang w:val="en-US"/>
              </w:rPr>
            </w:pPr>
            <w:r w:rsidRPr="001918CE">
              <w:rPr>
                <w:sz w:val="20"/>
                <w:szCs w:val="20"/>
                <w:lang w:val="en-US"/>
              </w:rPr>
              <w:t xml:space="preserve">Accrued Interest, Dividends </w:t>
            </w:r>
            <w:r w:rsidR="00FC3AAC" w:rsidRPr="001918CE">
              <w:rPr>
                <w:sz w:val="20"/>
                <w:szCs w:val="20"/>
                <w:lang w:val="en-US"/>
              </w:rPr>
              <w:t>and Franking Credits</w:t>
            </w:r>
          </w:p>
        </w:tc>
        <w:tc>
          <w:tcPr>
            <w:tcW w:w="1578" w:type="dxa"/>
            <w:tcBorders>
              <w:bottom w:val="single" w:sz="4" w:space="0" w:color="auto"/>
            </w:tcBorders>
            <w:vAlign w:val="center"/>
          </w:tcPr>
          <w:p w14:paraId="1009CC57" w14:textId="77777777" w:rsidR="002E0F6A" w:rsidRPr="001918CE" w:rsidRDefault="00B20709" w:rsidP="008403C0">
            <w:pPr>
              <w:widowControl/>
              <w:spacing w:before="40" w:after="40"/>
              <w:jc w:val="center"/>
              <w:rPr>
                <w:sz w:val="20"/>
                <w:szCs w:val="20"/>
                <w:lang w:val="en-US"/>
              </w:rPr>
            </w:pPr>
            <w:r w:rsidRPr="001918CE">
              <w:rPr>
                <w:sz w:val="20"/>
                <w:szCs w:val="20"/>
                <w:lang w:val="en-US"/>
              </w:rPr>
              <w:t>-</w:t>
            </w:r>
          </w:p>
        </w:tc>
        <w:tc>
          <w:tcPr>
            <w:tcW w:w="1134" w:type="dxa"/>
            <w:tcBorders>
              <w:bottom w:val="single" w:sz="4" w:space="0" w:color="auto"/>
            </w:tcBorders>
            <w:vAlign w:val="center"/>
          </w:tcPr>
          <w:p w14:paraId="62F0CEE4" w14:textId="77777777" w:rsidR="002E0F6A" w:rsidRPr="001918CE" w:rsidRDefault="00792E7A" w:rsidP="008403C0">
            <w:pPr>
              <w:widowControl/>
              <w:spacing w:before="40" w:after="40"/>
              <w:jc w:val="center"/>
              <w:rPr>
                <w:sz w:val="20"/>
                <w:szCs w:val="20"/>
                <w:lang w:val="en-US"/>
              </w:rPr>
            </w:pPr>
            <w:r w:rsidRPr="001918CE">
              <w:rPr>
                <w:sz w:val="20"/>
                <w:szCs w:val="20"/>
                <w:lang w:val="en-US"/>
              </w:rPr>
              <w:t>29</w:t>
            </w:r>
          </w:p>
        </w:tc>
        <w:tc>
          <w:tcPr>
            <w:tcW w:w="1275" w:type="dxa"/>
            <w:tcBorders>
              <w:bottom w:val="single" w:sz="4" w:space="0" w:color="auto"/>
            </w:tcBorders>
            <w:vAlign w:val="center"/>
          </w:tcPr>
          <w:p w14:paraId="4B3DDDE4" w14:textId="77777777" w:rsidR="002E0F6A" w:rsidRPr="001918CE" w:rsidRDefault="002839EA" w:rsidP="005536EC">
            <w:pPr>
              <w:widowControl/>
              <w:spacing w:before="40" w:after="40"/>
              <w:jc w:val="center"/>
              <w:rPr>
                <w:sz w:val="20"/>
                <w:szCs w:val="20"/>
              </w:rPr>
            </w:pPr>
            <w:r w:rsidRPr="001918CE">
              <w:rPr>
                <w:sz w:val="20"/>
                <w:szCs w:val="20"/>
              </w:rPr>
              <w:t>2,263</w:t>
            </w:r>
          </w:p>
        </w:tc>
        <w:tc>
          <w:tcPr>
            <w:tcW w:w="1134" w:type="dxa"/>
            <w:tcBorders>
              <w:bottom w:val="single" w:sz="4" w:space="0" w:color="auto"/>
            </w:tcBorders>
          </w:tcPr>
          <w:p w14:paraId="1F763E3C" w14:textId="77777777" w:rsidR="002E0F6A" w:rsidRPr="001918CE" w:rsidRDefault="002E0F6A" w:rsidP="008403C0">
            <w:pPr>
              <w:widowControl/>
              <w:spacing w:before="40" w:after="40"/>
              <w:jc w:val="center"/>
              <w:rPr>
                <w:sz w:val="20"/>
                <w:szCs w:val="20"/>
                <w:lang w:val="en-US"/>
              </w:rPr>
            </w:pPr>
          </w:p>
        </w:tc>
        <w:tc>
          <w:tcPr>
            <w:tcW w:w="1276" w:type="dxa"/>
            <w:tcBorders>
              <w:bottom w:val="single" w:sz="4" w:space="0" w:color="auto"/>
            </w:tcBorders>
            <w:vAlign w:val="center"/>
          </w:tcPr>
          <w:p w14:paraId="163E4570" w14:textId="06B8284F" w:rsidR="002E0F6A" w:rsidRPr="001918CE" w:rsidRDefault="00623E20" w:rsidP="008403C0">
            <w:pPr>
              <w:widowControl/>
              <w:spacing w:before="40" w:after="40"/>
              <w:jc w:val="center"/>
              <w:rPr>
                <w:sz w:val="20"/>
                <w:szCs w:val="20"/>
                <w:lang w:val="en-US"/>
              </w:rPr>
            </w:pPr>
            <w:r w:rsidRPr="001918CE">
              <w:rPr>
                <w:sz w:val="20"/>
                <w:szCs w:val="20"/>
                <w:lang w:val="en-US"/>
              </w:rPr>
              <w:t>0.</w:t>
            </w:r>
            <w:r w:rsidR="0090663B">
              <w:rPr>
                <w:sz w:val="20"/>
                <w:szCs w:val="20"/>
                <w:lang w:val="en-US"/>
              </w:rPr>
              <w:t>3</w:t>
            </w:r>
            <w:r w:rsidR="000633A0">
              <w:rPr>
                <w:sz w:val="20"/>
                <w:szCs w:val="20"/>
                <w:lang w:val="en-US"/>
              </w:rPr>
              <w:t>4</w:t>
            </w:r>
          </w:p>
        </w:tc>
        <w:tc>
          <w:tcPr>
            <w:tcW w:w="1134" w:type="dxa"/>
            <w:tcBorders>
              <w:bottom w:val="single" w:sz="4" w:space="0" w:color="auto"/>
            </w:tcBorders>
            <w:vAlign w:val="center"/>
          </w:tcPr>
          <w:p w14:paraId="6DFA91A8" w14:textId="77777777" w:rsidR="002E0F6A" w:rsidRPr="001918CE" w:rsidRDefault="00AA34FB" w:rsidP="008403C0">
            <w:pPr>
              <w:widowControl/>
              <w:spacing w:before="40" w:after="40"/>
              <w:jc w:val="center"/>
              <w:rPr>
                <w:sz w:val="20"/>
                <w:szCs w:val="20"/>
                <w:lang w:val="en-US"/>
              </w:rPr>
            </w:pPr>
            <w:r w:rsidRPr="001918CE">
              <w:rPr>
                <w:sz w:val="20"/>
                <w:szCs w:val="20"/>
                <w:lang w:val="en-US"/>
              </w:rPr>
              <w:t>0.00</w:t>
            </w:r>
          </w:p>
        </w:tc>
      </w:tr>
      <w:tr w:rsidR="00C25D62" w14:paraId="6D37788D" w14:textId="77777777">
        <w:tc>
          <w:tcPr>
            <w:tcW w:w="3082" w:type="dxa"/>
            <w:tcBorders>
              <w:top w:val="single" w:sz="4" w:space="0" w:color="auto"/>
              <w:bottom w:val="single" w:sz="4" w:space="0" w:color="auto"/>
            </w:tcBorders>
            <w:vAlign w:val="center"/>
          </w:tcPr>
          <w:p w14:paraId="269C3671" w14:textId="77777777" w:rsidR="008403C0" w:rsidRPr="001918CE" w:rsidRDefault="008403C0" w:rsidP="008403C0">
            <w:pPr>
              <w:widowControl/>
              <w:spacing w:before="40" w:after="40"/>
              <w:jc w:val="left"/>
              <w:rPr>
                <w:b/>
                <w:i/>
                <w:sz w:val="20"/>
                <w:szCs w:val="20"/>
                <w:lang w:val="en-US"/>
              </w:rPr>
            </w:pPr>
            <w:r w:rsidRPr="001918CE">
              <w:rPr>
                <w:b/>
                <w:i/>
                <w:sz w:val="20"/>
                <w:szCs w:val="20"/>
                <w:lang w:val="en-US"/>
              </w:rPr>
              <w:t>Total Australian Cash</w:t>
            </w:r>
          </w:p>
        </w:tc>
        <w:tc>
          <w:tcPr>
            <w:tcW w:w="1578" w:type="dxa"/>
            <w:tcBorders>
              <w:top w:val="single" w:sz="4" w:space="0" w:color="auto"/>
              <w:bottom w:val="single" w:sz="4" w:space="0" w:color="auto"/>
            </w:tcBorders>
            <w:vAlign w:val="center"/>
          </w:tcPr>
          <w:p w14:paraId="51E15954" w14:textId="77777777" w:rsidR="008403C0" w:rsidRPr="001918CE" w:rsidRDefault="008403C0" w:rsidP="008403C0">
            <w:pPr>
              <w:widowControl/>
              <w:spacing w:before="40" w:after="40"/>
              <w:jc w:val="center"/>
              <w:rPr>
                <w:sz w:val="20"/>
                <w:szCs w:val="20"/>
                <w:lang w:val="en-US"/>
              </w:rPr>
            </w:pPr>
            <w:proofErr w:type="spellStart"/>
            <w:r w:rsidRPr="001918CE">
              <w:rPr>
                <w:sz w:val="20"/>
                <w:szCs w:val="20"/>
                <w:lang w:val="en-US"/>
              </w:rPr>
              <w:t>BetaShares</w:t>
            </w:r>
            <w:proofErr w:type="spellEnd"/>
            <w:r w:rsidRPr="001918CE">
              <w:rPr>
                <w:sz w:val="20"/>
                <w:szCs w:val="20"/>
                <w:lang w:val="en-US"/>
              </w:rPr>
              <w:t xml:space="preserve"> Australia High Interest Cash</w:t>
            </w:r>
          </w:p>
        </w:tc>
        <w:tc>
          <w:tcPr>
            <w:tcW w:w="1134" w:type="dxa"/>
            <w:tcBorders>
              <w:top w:val="single" w:sz="4" w:space="0" w:color="auto"/>
              <w:bottom w:val="single" w:sz="4" w:space="0" w:color="auto"/>
            </w:tcBorders>
            <w:vAlign w:val="center"/>
          </w:tcPr>
          <w:p w14:paraId="4D2CC1E8" w14:textId="77777777" w:rsidR="008403C0" w:rsidRPr="001918CE" w:rsidRDefault="008403C0" w:rsidP="008403C0">
            <w:pPr>
              <w:widowControl/>
              <w:spacing w:before="40" w:after="40"/>
              <w:jc w:val="center"/>
              <w:rPr>
                <w:b/>
                <w:i/>
                <w:sz w:val="20"/>
                <w:szCs w:val="20"/>
                <w:lang w:val="en-US"/>
              </w:rPr>
            </w:pPr>
          </w:p>
        </w:tc>
        <w:tc>
          <w:tcPr>
            <w:tcW w:w="1275" w:type="dxa"/>
            <w:tcBorders>
              <w:top w:val="single" w:sz="4" w:space="0" w:color="auto"/>
              <w:bottom w:val="single" w:sz="4" w:space="0" w:color="auto"/>
            </w:tcBorders>
            <w:vAlign w:val="center"/>
          </w:tcPr>
          <w:p w14:paraId="4917CBAE" w14:textId="77777777" w:rsidR="008403C0" w:rsidRPr="001918CE" w:rsidRDefault="008403C0" w:rsidP="008403C0">
            <w:pPr>
              <w:widowControl/>
              <w:spacing w:before="40" w:after="40"/>
              <w:jc w:val="center"/>
              <w:rPr>
                <w:b/>
                <w:i/>
                <w:sz w:val="20"/>
                <w:szCs w:val="20"/>
                <w:lang w:val="en-US"/>
              </w:rPr>
            </w:pPr>
          </w:p>
        </w:tc>
        <w:tc>
          <w:tcPr>
            <w:tcW w:w="1134" w:type="dxa"/>
            <w:tcBorders>
              <w:top w:val="single" w:sz="4" w:space="0" w:color="auto"/>
              <w:bottom w:val="single" w:sz="4" w:space="0" w:color="auto"/>
            </w:tcBorders>
            <w:vAlign w:val="center"/>
          </w:tcPr>
          <w:p w14:paraId="30EDA95B" w14:textId="77777777" w:rsidR="008403C0" w:rsidRPr="001918CE" w:rsidRDefault="008403C0" w:rsidP="008403C0">
            <w:pPr>
              <w:widowControl/>
              <w:spacing w:before="40" w:after="40"/>
              <w:jc w:val="center"/>
              <w:rPr>
                <w:b/>
                <w:i/>
                <w:sz w:val="20"/>
                <w:szCs w:val="20"/>
                <w:lang w:val="en-US"/>
              </w:rPr>
            </w:pPr>
            <w:r w:rsidRPr="001918CE">
              <w:rPr>
                <w:b/>
                <w:i/>
                <w:sz w:val="20"/>
                <w:szCs w:val="20"/>
                <w:lang w:val="en-US"/>
              </w:rPr>
              <w:t>5</w:t>
            </w:r>
          </w:p>
        </w:tc>
        <w:tc>
          <w:tcPr>
            <w:tcW w:w="1276" w:type="dxa"/>
            <w:tcBorders>
              <w:top w:val="single" w:sz="4" w:space="0" w:color="auto"/>
              <w:bottom w:val="single" w:sz="4" w:space="0" w:color="auto"/>
            </w:tcBorders>
            <w:vAlign w:val="center"/>
          </w:tcPr>
          <w:p w14:paraId="2886C50D" w14:textId="1762E988" w:rsidR="008403C0" w:rsidRPr="001918CE" w:rsidRDefault="00D41E59" w:rsidP="008403C0">
            <w:pPr>
              <w:widowControl/>
              <w:spacing w:before="40" w:after="40"/>
              <w:jc w:val="center"/>
              <w:rPr>
                <w:b/>
                <w:i/>
                <w:sz w:val="20"/>
                <w:szCs w:val="20"/>
                <w:lang w:val="en-US"/>
              </w:rPr>
            </w:pPr>
            <w:r w:rsidRPr="001918CE">
              <w:rPr>
                <w:b/>
                <w:i/>
                <w:sz w:val="20"/>
                <w:szCs w:val="20"/>
                <w:lang w:val="en-US"/>
              </w:rPr>
              <w:t>5</w:t>
            </w:r>
            <w:r w:rsidR="008403C0" w:rsidRPr="001918CE">
              <w:rPr>
                <w:b/>
                <w:i/>
                <w:sz w:val="20"/>
                <w:szCs w:val="20"/>
                <w:lang w:val="en-US"/>
              </w:rPr>
              <w:t>.</w:t>
            </w:r>
            <w:r w:rsidR="00BC337F">
              <w:rPr>
                <w:b/>
                <w:i/>
                <w:sz w:val="20"/>
                <w:szCs w:val="20"/>
                <w:lang w:val="en-US"/>
              </w:rPr>
              <w:t>53</w:t>
            </w:r>
          </w:p>
        </w:tc>
        <w:tc>
          <w:tcPr>
            <w:tcW w:w="1134" w:type="dxa"/>
            <w:tcBorders>
              <w:top w:val="single" w:sz="4" w:space="0" w:color="auto"/>
              <w:bottom w:val="single" w:sz="4" w:space="0" w:color="auto"/>
            </w:tcBorders>
            <w:vAlign w:val="center"/>
          </w:tcPr>
          <w:p w14:paraId="55425804" w14:textId="77777777" w:rsidR="008403C0" w:rsidRPr="001918CE" w:rsidRDefault="008403C0" w:rsidP="008403C0">
            <w:pPr>
              <w:widowControl/>
              <w:spacing w:before="40" w:after="40"/>
              <w:jc w:val="center"/>
              <w:rPr>
                <w:b/>
                <w:i/>
                <w:sz w:val="20"/>
                <w:szCs w:val="20"/>
                <w:lang w:val="en-US"/>
              </w:rPr>
            </w:pPr>
          </w:p>
        </w:tc>
      </w:tr>
      <w:tr w:rsidR="008403C0" w14:paraId="191B793E" w14:textId="77777777">
        <w:tc>
          <w:tcPr>
            <w:tcW w:w="3082" w:type="dxa"/>
            <w:tcBorders>
              <w:top w:val="single" w:sz="4" w:space="0" w:color="auto"/>
              <w:bottom w:val="single" w:sz="4" w:space="0" w:color="auto"/>
            </w:tcBorders>
            <w:vAlign w:val="center"/>
          </w:tcPr>
          <w:p w14:paraId="0418B708" w14:textId="77777777" w:rsidR="008403C0" w:rsidRPr="001918CE" w:rsidRDefault="008403C0" w:rsidP="008403C0">
            <w:pPr>
              <w:widowControl/>
              <w:spacing w:before="40" w:after="40"/>
              <w:jc w:val="left"/>
              <w:rPr>
                <w:b/>
                <w:sz w:val="20"/>
                <w:szCs w:val="20"/>
                <w:lang w:val="en-US"/>
              </w:rPr>
            </w:pPr>
            <w:r w:rsidRPr="001918CE">
              <w:rPr>
                <w:b/>
                <w:sz w:val="20"/>
                <w:szCs w:val="20"/>
                <w:lang w:val="en-US"/>
              </w:rPr>
              <w:t xml:space="preserve">Total Fixed Income &amp; Cash </w:t>
            </w:r>
          </w:p>
        </w:tc>
        <w:tc>
          <w:tcPr>
            <w:tcW w:w="1578" w:type="dxa"/>
            <w:tcBorders>
              <w:top w:val="single" w:sz="4" w:space="0" w:color="auto"/>
              <w:bottom w:val="single" w:sz="4" w:space="0" w:color="auto"/>
            </w:tcBorders>
            <w:vAlign w:val="center"/>
          </w:tcPr>
          <w:p w14:paraId="4332607C" w14:textId="77777777" w:rsidR="008403C0" w:rsidRPr="001918CE" w:rsidRDefault="008403C0" w:rsidP="008403C0">
            <w:pPr>
              <w:widowControl/>
              <w:spacing w:before="40" w:after="40"/>
              <w:jc w:val="center"/>
              <w:rPr>
                <w:b/>
                <w:sz w:val="20"/>
                <w:szCs w:val="20"/>
                <w:lang w:val="en-US"/>
              </w:rPr>
            </w:pPr>
          </w:p>
        </w:tc>
        <w:tc>
          <w:tcPr>
            <w:tcW w:w="1134" w:type="dxa"/>
            <w:tcBorders>
              <w:top w:val="single" w:sz="4" w:space="0" w:color="auto"/>
              <w:bottom w:val="single" w:sz="4" w:space="0" w:color="auto"/>
            </w:tcBorders>
            <w:vAlign w:val="center"/>
          </w:tcPr>
          <w:p w14:paraId="7EAC3FD2" w14:textId="77777777" w:rsidR="008403C0" w:rsidRPr="001918CE" w:rsidRDefault="008403C0" w:rsidP="008403C0">
            <w:pPr>
              <w:widowControl/>
              <w:spacing w:before="40" w:after="40"/>
              <w:jc w:val="center"/>
              <w:rPr>
                <w:b/>
                <w:sz w:val="20"/>
                <w:szCs w:val="20"/>
                <w:lang w:val="en-US"/>
              </w:rPr>
            </w:pPr>
          </w:p>
        </w:tc>
        <w:tc>
          <w:tcPr>
            <w:tcW w:w="1275" w:type="dxa"/>
            <w:tcBorders>
              <w:top w:val="single" w:sz="4" w:space="0" w:color="auto"/>
              <w:bottom w:val="single" w:sz="4" w:space="0" w:color="auto"/>
            </w:tcBorders>
            <w:vAlign w:val="center"/>
          </w:tcPr>
          <w:p w14:paraId="31196622" w14:textId="77777777" w:rsidR="008403C0" w:rsidRPr="001918CE" w:rsidRDefault="008403C0" w:rsidP="008403C0">
            <w:pPr>
              <w:widowControl/>
              <w:spacing w:before="40" w:after="40"/>
              <w:jc w:val="center"/>
              <w:rPr>
                <w:b/>
                <w:sz w:val="20"/>
                <w:szCs w:val="20"/>
                <w:lang w:val="en-US"/>
              </w:rPr>
            </w:pPr>
          </w:p>
        </w:tc>
        <w:tc>
          <w:tcPr>
            <w:tcW w:w="1134" w:type="dxa"/>
            <w:tcBorders>
              <w:top w:val="single" w:sz="4" w:space="0" w:color="auto"/>
              <w:bottom w:val="single" w:sz="4" w:space="0" w:color="auto"/>
            </w:tcBorders>
          </w:tcPr>
          <w:p w14:paraId="366FF028" w14:textId="77777777" w:rsidR="008403C0" w:rsidRPr="001918CE" w:rsidRDefault="008403C0" w:rsidP="008403C0">
            <w:pPr>
              <w:widowControl/>
              <w:spacing w:before="40" w:after="40"/>
              <w:jc w:val="center"/>
              <w:rPr>
                <w:b/>
                <w:sz w:val="20"/>
                <w:szCs w:val="20"/>
                <w:lang w:val="en-US"/>
              </w:rPr>
            </w:pPr>
            <w:r w:rsidRPr="001918CE">
              <w:rPr>
                <w:b/>
                <w:sz w:val="20"/>
                <w:szCs w:val="20"/>
                <w:lang w:val="en-US"/>
              </w:rPr>
              <w:t>20</w:t>
            </w:r>
          </w:p>
        </w:tc>
        <w:tc>
          <w:tcPr>
            <w:tcW w:w="1276" w:type="dxa"/>
            <w:tcBorders>
              <w:top w:val="single" w:sz="4" w:space="0" w:color="auto"/>
              <w:bottom w:val="single" w:sz="4" w:space="0" w:color="auto"/>
            </w:tcBorders>
            <w:vAlign w:val="center"/>
          </w:tcPr>
          <w:p w14:paraId="7F5D0525" w14:textId="41828DC4" w:rsidR="008403C0" w:rsidRPr="001918CE" w:rsidRDefault="008403C0" w:rsidP="008403C0">
            <w:pPr>
              <w:widowControl/>
              <w:spacing w:before="40" w:after="40"/>
              <w:jc w:val="center"/>
              <w:rPr>
                <w:b/>
                <w:sz w:val="20"/>
                <w:szCs w:val="20"/>
                <w:lang w:val="en-US"/>
              </w:rPr>
            </w:pPr>
            <w:r w:rsidRPr="001918CE">
              <w:rPr>
                <w:b/>
                <w:sz w:val="20"/>
                <w:szCs w:val="20"/>
                <w:lang w:val="en-US"/>
              </w:rPr>
              <w:t>19.</w:t>
            </w:r>
            <w:r w:rsidR="00467049">
              <w:rPr>
                <w:b/>
                <w:sz w:val="20"/>
                <w:szCs w:val="20"/>
                <w:lang w:val="en-US"/>
              </w:rPr>
              <w:t>48</w:t>
            </w:r>
          </w:p>
        </w:tc>
        <w:tc>
          <w:tcPr>
            <w:tcW w:w="1134" w:type="dxa"/>
            <w:tcBorders>
              <w:top w:val="single" w:sz="4" w:space="0" w:color="auto"/>
              <w:bottom w:val="single" w:sz="4" w:space="0" w:color="auto"/>
            </w:tcBorders>
            <w:vAlign w:val="center"/>
          </w:tcPr>
          <w:p w14:paraId="2E9B5BBF" w14:textId="77777777" w:rsidR="008403C0" w:rsidRPr="001918CE" w:rsidRDefault="008403C0" w:rsidP="008403C0">
            <w:pPr>
              <w:widowControl/>
              <w:spacing w:before="40" w:after="40"/>
              <w:jc w:val="center"/>
              <w:rPr>
                <w:b/>
                <w:sz w:val="20"/>
                <w:szCs w:val="20"/>
                <w:lang w:val="en-US"/>
              </w:rPr>
            </w:pPr>
          </w:p>
        </w:tc>
      </w:tr>
      <w:tr w:rsidR="008403C0" w14:paraId="4CE2D956" w14:textId="77777777">
        <w:tc>
          <w:tcPr>
            <w:tcW w:w="3082" w:type="dxa"/>
            <w:tcBorders>
              <w:top w:val="single" w:sz="4" w:space="0" w:color="auto"/>
              <w:bottom w:val="single" w:sz="4" w:space="0" w:color="auto"/>
            </w:tcBorders>
            <w:vAlign w:val="center"/>
          </w:tcPr>
          <w:p w14:paraId="4E07049B" w14:textId="77777777" w:rsidR="008403C0" w:rsidRPr="001918CE" w:rsidRDefault="008403C0" w:rsidP="008403C0">
            <w:pPr>
              <w:widowControl/>
              <w:spacing w:before="40" w:after="40"/>
              <w:jc w:val="left"/>
              <w:rPr>
                <w:sz w:val="12"/>
                <w:szCs w:val="12"/>
                <w:lang w:val="en-US"/>
              </w:rPr>
            </w:pPr>
          </w:p>
        </w:tc>
        <w:tc>
          <w:tcPr>
            <w:tcW w:w="1578" w:type="dxa"/>
            <w:tcBorders>
              <w:top w:val="single" w:sz="4" w:space="0" w:color="auto"/>
              <w:bottom w:val="single" w:sz="4" w:space="0" w:color="auto"/>
            </w:tcBorders>
            <w:vAlign w:val="center"/>
          </w:tcPr>
          <w:p w14:paraId="7E489A47" w14:textId="77777777" w:rsidR="008403C0" w:rsidRPr="001918CE" w:rsidRDefault="008403C0" w:rsidP="008403C0">
            <w:pPr>
              <w:widowControl/>
              <w:spacing w:before="40" w:after="40"/>
              <w:jc w:val="center"/>
              <w:rPr>
                <w:sz w:val="12"/>
                <w:szCs w:val="12"/>
                <w:lang w:val="en-US"/>
              </w:rPr>
            </w:pPr>
          </w:p>
        </w:tc>
        <w:tc>
          <w:tcPr>
            <w:tcW w:w="1134" w:type="dxa"/>
            <w:tcBorders>
              <w:top w:val="single" w:sz="4" w:space="0" w:color="auto"/>
              <w:bottom w:val="single" w:sz="4" w:space="0" w:color="auto"/>
            </w:tcBorders>
            <w:vAlign w:val="center"/>
          </w:tcPr>
          <w:p w14:paraId="42538C2E" w14:textId="77777777" w:rsidR="008403C0" w:rsidRPr="001918CE" w:rsidRDefault="008403C0" w:rsidP="008403C0">
            <w:pPr>
              <w:widowControl/>
              <w:spacing w:before="40" w:after="40"/>
              <w:jc w:val="center"/>
              <w:rPr>
                <w:sz w:val="12"/>
                <w:szCs w:val="12"/>
                <w:lang w:val="en-US"/>
              </w:rPr>
            </w:pPr>
          </w:p>
        </w:tc>
        <w:tc>
          <w:tcPr>
            <w:tcW w:w="1275" w:type="dxa"/>
            <w:tcBorders>
              <w:top w:val="single" w:sz="4" w:space="0" w:color="auto"/>
              <w:bottom w:val="single" w:sz="4" w:space="0" w:color="auto"/>
            </w:tcBorders>
            <w:vAlign w:val="center"/>
          </w:tcPr>
          <w:p w14:paraId="1A359A41" w14:textId="77777777" w:rsidR="008403C0" w:rsidRPr="001918CE" w:rsidRDefault="008403C0" w:rsidP="008403C0">
            <w:pPr>
              <w:widowControl/>
              <w:spacing w:before="40" w:after="40"/>
              <w:jc w:val="center"/>
              <w:rPr>
                <w:sz w:val="12"/>
                <w:szCs w:val="12"/>
                <w:lang w:val="en-US"/>
              </w:rPr>
            </w:pPr>
          </w:p>
        </w:tc>
        <w:tc>
          <w:tcPr>
            <w:tcW w:w="1134" w:type="dxa"/>
            <w:tcBorders>
              <w:top w:val="single" w:sz="4" w:space="0" w:color="auto"/>
              <w:bottom w:val="single" w:sz="4" w:space="0" w:color="auto"/>
            </w:tcBorders>
          </w:tcPr>
          <w:p w14:paraId="156B656A" w14:textId="77777777" w:rsidR="008403C0" w:rsidRPr="001918CE" w:rsidRDefault="008403C0" w:rsidP="008403C0">
            <w:pPr>
              <w:widowControl/>
              <w:spacing w:before="40" w:after="40"/>
              <w:jc w:val="center"/>
              <w:rPr>
                <w:sz w:val="12"/>
                <w:szCs w:val="12"/>
                <w:lang w:val="en-US"/>
              </w:rPr>
            </w:pPr>
          </w:p>
        </w:tc>
        <w:tc>
          <w:tcPr>
            <w:tcW w:w="1276" w:type="dxa"/>
            <w:tcBorders>
              <w:top w:val="single" w:sz="4" w:space="0" w:color="auto"/>
              <w:bottom w:val="single" w:sz="4" w:space="0" w:color="auto"/>
            </w:tcBorders>
            <w:vAlign w:val="center"/>
          </w:tcPr>
          <w:p w14:paraId="541E5704" w14:textId="77777777" w:rsidR="008403C0" w:rsidRPr="001918CE" w:rsidRDefault="008403C0" w:rsidP="008403C0">
            <w:pPr>
              <w:widowControl/>
              <w:spacing w:before="40" w:after="40"/>
              <w:jc w:val="center"/>
              <w:rPr>
                <w:sz w:val="12"/>
                <w:szCs w:val="12"/>
                <w:lang w:val="en-US"/>
              </w:rPr>
            </w:pPr>
          </w:p>
        </w:tc>
        <w:tc>
          <w:tcPr>
            <w:tcW w:w="1134" w:type="dxa"/>
            <w:tcBorders>
              <w:top w:val="single" w:sz="4" w:space="0" w:color="auto"/>
              <w:bottom w:val="single" w:sz="4" w:space="0" w:color="auto"/>
            </w:tcBorders>
            <w:vAlign w:val="center"/>
          </w:tcPr>
          <w:p w14:paraId="2AFD278B" w14:textId="77777777" w:rsidR="008403C0" w:rsidRPr="001918CE" w:rsidRDefault="008403C0" w:rsidP="008403C0">
            <w:pPr>
              <w:widowControl/>
              <w:spacing w:before="40" w:after="40"/>
              <w:jc w:val="center"/>
              <w:rPr>
                <w:sz w:val="12"/>
                <w:szCs w:val="12"/>
                <w:lang w:val="en-US"/>
              </w:rPr>
            </w:pPr>
          </w:p>
        </w:tc>
      </w:tr>
      <w:tr w:rsidR="007F7592" w14:paraId="28FC0383" w14:textId="77777777">
        <w:tc>
          <w:tcPr>
            <w:tcW w:w="3082" w:type="dxa"/>
            <w:tcBorders>
              <w:top w:val="single" w:sz="4" w:space="0" w:color="auto"/>
              <w:bottom w:val="single" w:sz="4" w:space="0" w:color="auto"/>
            </w:tcBorders>
            <w:vAlign w:val="center"/>
          </w:tcPr>
          <w:p w14:paraId="35B889EA" w14:textId="77777777" w:rsidR="008403C0" w:rsidRPr="001918CE" w:rsidRDefault="008403C0" w:rsidP="008403C0">
            <w:pPr>
              <w:widowControl/>
              <w:spacing w:before="40" w:after="40"/>
              <w:jc w:val="left"/>
              <w:rPr>
                <w:sz w:val="20"/>
                <w:szCs w:val="20"/>
                <w:lang w:val="en-US"/>
              </w:rPr>
            </w:pPr>
            <w:r w:rsidRPr="001918CE">
              <w:rPr>
                <w:b/>
                <w:sz w:val="20"/>
                <w:szCs w:val="20"/>
                <w:lang w:val="en-US"/>
              </w:rPr>
              <w:t>TOTAL PORTFOLIO</w:t>
            </w:r>
          </w:p>
        </w:tc>
        <w:tc>
          <w:tcPr>
            <w:tcW w:w="1578" w:type="dxa"/>
            <w:tcBorders>
              <w:top w:val="single" w:sz="4" w:space="0" w:color="auto"/>
              <w:bottom w:val="single" w:sz="4" w:space="0" w:color="auto"/>
            </w:tcBorders>
            <w:vAlign w:val="center"/>
          </w:tcPr>
          <w:p w14:paraId="038FAF67" w14:textId="77777777" w:rsidR="008403C0" w:rsidRPr="001918CE" w:rsidRDefault="008403C0" w:rsidP="008403C0">
            <w:pPr>
              <w:widowControl/>
              <w:spacing w:before="40" w:after="40"/>
              <w:jc w:val="center"/>
              <w:rPr>
                <w:sz w:val="20"/>
                <w:szCs w:val="20"/>
                <w:lang w:val="en-US"/>
              </w:rPr>
            </w:pPr>
          </w:p>
        </w:tc>
        <w:tc>
          <w:tcPr>
            <w:tcW w:w="1134" w:type="dxa"/>
            <w:tcBorders>
              <w:top w:val="single" w:sz="4" w:space="0" w:color="auto"/>
              <w:bottom w:val="single" w:sz="4" w:space="0" w:color="auto"/>
            </w:tcBorders>
            <w:vAlign w:val="center"/>
          </w:tcPr>
          <w:p w14:paraId="3A48AA48" w14:textId="77777777" w:rsidR="008403C0" w:rsidRPr="001918CE" w:rsidRDefault="00FE061D" w:rsidP="008403C0">
            <w:pPr>
              <w:widowControl/>
              <w:spacing w:before="40" w:after="40"/>
              <w:jc w:val="center"/>
              <w:rPr>
                <w:sz w:val="20"/>
                <w:szCs w:val="20"/>
                <w:lang w:val="en-US"/>
              </w:rPr>
            </w:pPr>
            <w:r w:rsidRPr="001918CE">
              <w:rPr>
                <w:b/>
                <w:sz w:val="20"/>
                <w:szCs w:val="20"/>
                <w:lang w:val="en-US"/>
              </w:rPr>
              <w:t>638,0</w:t>
            </w:r>
            <w:r w:rsidR="00222466" w:rsidRPr="001918CE">
              <w:rPr>
                <w:b/>
                <w:sz w:val="20"/>
                <w:szCs w:val="20"/>
                <w:lang w:val="en-US"/>
              </w:rPr>
              <w:t>9</w:t>
            </w:r>
            <w:r w:rsidR="004448A0" w:rsidRPr="001918CE">
              <w:rPr>
                <w:b/>
                <w:sz w:val="20"/>
                <w:szCs w:val="20"/>
                <w:lang w:val="en-US"/>
              </w:rPr>
              <w:t>2</w:t>
            </w:r>
          </w:p>
        </w:tc>
        <w:tc>
          <w:tcPr>
            <w:tcW w:w="1275" w:type="dxa"/>
            <w:tcBorders>
              <w:top w:val="single" w:sz="4" w:space="0" w:color="auto"/>
              <w:bottom w:val="single" w:sz="4" w:space="0" w:color="auto"/>
            </w:tcBorders>
            <w:vAlign w:val="center"/>
          </w:tcPr>
          <w:p w14:paraId="10B957E9" w14:textId="77777777" w:rsidR="008403C0" w:rsidRPr="001918CE" w:rsidRDefault="00C54DB5" w:rsidP="00C54DB5">
            <w:pPr>
              <w:widowControl/>
              <w:spacing w:before="40" w:after="40"/>
              <w:jc w:val="center"/>
              <w:rPr>
                <w:b/>
                <w:sz w:val="20"/>
                <w:szCs w:val="20"/>
              </w:rPr>
            </w:pPr>
            <w:r w:rsidRPr="001918CE">
              <w:rPr>
                <w:b/>
                <w:sz w:val="20"/>
                <w:szCs w:val="20"/>
              </w:rPr>
              <w:t>6</w:t>
            </w:r>
            <w:r w:rsidR="00222466" w:rsidRPr="001918CE">
              <w:rPr>
                <w:b/>
                <w:sz w:val="20"/>
                <w:szCs w:val="20"/>
              </w:rPr>
              <w:t>70</w:t>
            </w:r>
            <w:r w:rsidRPr="001918CE">
              <w:rPr>
                <w:b/>
                <w:sz w:val="20"/>
                <w:szCs w:val="20"/>
              </w:rPr>
              <w:t>,</w:t>
            </w:r>
            <w:r w:rsidR="00B730E1" w:rsidRPr="001918CE">
              <w:rPr>
                <w:b/>
                <w:sz w:val="20"/>
                <w:szCs w:val="20"/>
              </w:rPr>
              <w:t>5</w:t>
            </w:r>
            <w:r w:rsidRPr="001918CE">
              <w:rPr>
                <w:b/>
                <w:sz w:val="20"/>
                <w:szCs w:val="20"/>
              </w:rPr>
              <w:t xml:space="preserve">39 </w:t>
            </w:r>
          </w:p>
        </w:tc>
        <w:tc>
          <w:tcPr>
            <w:tcW w:w="1134" w:type="dxa"/>
            <w:tcBorders>
              <w:top w:val="single" w:sz="4" w:space="0" w:color="auto"/>
              <w:bottom w:val="single" w:sz="4" w:space="0" w:color="auto"/>
            </w:tcBorders>
          </w:tcPr>
          <w:p w14:paraId="316E519F" w14:textId="77777777" w:rsidR="008403C0" w:rsidRPr="001918CE" w:rsidRDefault="008403C0" w:rsidP="008403C0">
            <w:pPr>
              <w:widowControl/>
              <w:spacing w:before="40" w:after="40"/>
              <w:jc w:val="center"/>
              <w:rPr>
                <w:b/>
                <w:sz w:val="20"/>
                <w:szCs w:val="20"/>
                <w:lang w:val="en-US"/>
              </w:rPr>
            </w:pPr>
            <w:r w:rsidRPr="001918CE">
              <w:rPr>
                <w:b/>
                <w:sz w:val="20"/>
                <w:szCs w:val="20"/>
                <w:lang w:val="en-US"/>
              </w:rPr>
              <w:t>100</w:t>
            </w:r>
          </w:p>
        </w:tc>
        <w:tc>
          <w:tcPr>
            <w:tcW w:w="1276" w:type="dxa"/>
            <w:tcBorders>
              <w:top w:val="single" w:sz="4" w:space="0" w:color="auto"/>
              <w:bottom w:val="single" w:sz="4" w:space="0" w:color="auto"/>
            </w:tcBorders>
            <w:vAlign w:val="center"/>
          </w:tcPr>
          <w:p w14:paraId="703E21A4" w14:textId="77777777" w:rsidR="008403C0" w:rsidRPr="001918CE" w:rsidRDefault="008403C0" w:rsidP="00A567C4">
            <w:pPr>
              <w:widowControl/>
              <w:spacing w:before="40" w:after="40"/>
              <w:jc w:val="center"/>
              <w:rPr>
                <w:sz w:val="20"/>
                <w:szCs w:val="20"/>
                <w:lang w:val="en-US"/>
              </w:rPr>
            </w:pPr>
            <w:r w:rsidRPr="001918CE">
              <w:rPr>
                <w:b/>
                <w:sz w:val="20"/>
                <w:szCs w:val="20"/>
                <w:lang w:val="en-US"/>
              </w:rPr>
              <w:t>100</w:t>
            </w:r>
          </w:p>
        </w:tc>
        <w:tc>
          <w:tcPr>
            <w:tcW w:w="1134" w:type="dxa"/>
            <w:tcBorders>
              <w:top w:val="single" w:sz="4" w:space="0" w:color="auto"/>
              <w:bottom w:val="single" w:sz="4" w:space="0" w:color="auto"/>
            </w:tcBorders>
            <w:vAlign w:val="center"/>
          </w:tcPr>
          <w:p w14:paraId="1A9D8B77" w14:textId="77777777" w:rsidR="008403C0" w:rsidRPr="001918CE" w:rsidRDefault="00AA294F" w:rsidP="008403C0">
            <w:pPr>
              <w:widowControl/>
              <w:spacing w:before="40" w:after="40"/>
              <w:jc w:val="center"/>
              <w:rPr>
                <w:sz w:val="20"/>
                <w:szCs w:val="20"/>
                <w:lang w:val="en-US"/>
              </w:rPr>
            </w:pPr>
            <w:r w:rsidRPr="001918CE">
              <w:rPr>
                <w:b/>
                <w:sz w:val="20"/>
                <w:szCs w:val="20"/>
                <w:lang w:val="en-US"/>
              </w:rPr>
              <w:t>5.</w:t>
            </w:r>
            <w:r w:rsidR="005F1229" w:rsidRPr="001918CE">
              <w:rPr>
                <w:b/>
                <w:sz w:val="20"/>
                <w:szCs w:val="20"/>
                <w:lang w:val="en-US"/>
              </w:rPr>
              <w:t>08</w:t>
            </w:r>
          </w:p>
        </w:tc>
      </w:tr>
      <w:tr w:rsidR="007F7592" w14:paraId="1FA71095" w14:textId="77777777">
        <w:tc>
          <w:tcPr>
            <w:tcW w:w="3082" w:type="dxa"/>
            <w:tcBorders>
              <w:top w:val="single" w:sz="4" w:space="0" w:color="auto"/>
              <w:bottom w:val="single" w:sz="4" w:space="0" w:color="auto"/>
            </w:tcBorders>
            <w:vAlign w:val="center"/>
          </w:tcPr>
          <w:p w14:paraId="671F83AA" w14:textId="77777777" w:rsidR="00074497" w:rsidRPr="001918CE" w:rsidRDefault="00074497" w:rsidP="008403C0">
            <w:pPr>
              <w:widowControl/>
              <w:spacing w:before="40" w:after="40"/>
              <w:jc w:val="left"/>
              <w:rPr>
                <w:b/>
                <w:sz w:val="20"/>
                <w:szCs w:val="20"/>
                <w:lang w:val="en-US"/>
              </w:rPr>
            </w:pPr>
            <w:r w:rsidRPr="001918CE">
              <w:rPr>
                <w:b/>
                <w:sz w:val="20"/>
                <w:szCs w:val="20"/>
                <w:lang w:val="en-US"/>
              </w:rPr>
              <w:t xml:space="preserve">Reference Portfolio </w:t>
            </w:r>
            <w:r w:rsidR="007F7592" w:rsidRPr="001918CE">
              <w:rPr>
                <w:b/>
                <w:sz w:val="20"/>
                <w:szCs w:val="20"/>
                <w:lang w:val="en-US"/>
              </w:rPr>
              <w:t>Performance</w:t>
            </w:r>
            <w:r w:rsidRPr="001918CE">
              <w:rPr>
                <w:b/>
                <w:sz w:val="20"/>
                <w:szCs w:val="20"/>
                <w:lang w:val="en-US"/>
              </w:rPr>
              <w:t xml:space="preserve"> </w:t>
            </w:r>
          </w:p>
        </w:tc>
        <w:tc>
          <w:tcPr>
            <w:tcW w:w="1578" w:type="dxa"/>
            <w:tcBorders>
              <w:top w:val="single" w:sz="4" w:space="0" w:color="auto"/>
              <w:bottom w:val="single" w:sz="4" w:space="0" w:color="auto"/>
            </w:tcBorders>
            <w:vAlign w:val="center"/>
          </w:tcPr>
          <w:p w14:paraId="3F0B111C" w14:textId="77777777" w:rsidR="00074497" w:rsidRPr="001918CE" w:rsidRDefault="00074497" w:rsidP="008403C0">
            <w:pPr>
              <w:widowControl/>
              <w:spacing w:before="40" w:after="40"/>
              <w:jc w:val="center"/>
              <w:rPr>
                <w:sz w:val="20"/>
                <w:szCs w:val="20"/>
                <w:lang w:val="en-US"/>
              </w:rPr>
            </w:pPr>
          </w:p>
        </w:tc>
        <w:tc>
          <w:tcPr>
            <w:tcW w:w="1134" w:type="dxa"/>
            <w:tcBorders>
              <w:top w:val="single" w:sz="4" w:space="0" w:color="auto"/>
              <w:bottom w:val="single" w:sz="4" w:space="0" w:color="auto"/>
            </w:tcBorders>
            <w:vAlign w:val="center"/>
          </w:tcPr>
          <w:p w14:paraId="269C3EC8" w14:textId="77777777" w:rsidR="00074497" w:rsidRPr="001918CE" w:rsidRDefault="00074497" w:rsidP="008403C0">
            <w:pPr>
              <w:widowControl/>
              <w:spacing w:before="40" w:after="40"/>
              <w:jc w:val="center"/>
              <w:rPr>
                <w:b/>
                <w:sz w:val="20"/>
                <w:szCs w:val="20"/>
                <w:lang w:val="en-US"/>
              </w:rPr>
            </w:pPr>
          </w:p>
        </w:tc>
        <w:tc>
          <w:tcPr>
            <w:tcW w:w="1275" w:type="dxa"/>
            <w:tcBorders>
              <w:top w:val="single" w:sz="4" w:space="0" w:color="auto"/>
              <w:bottom w:val="single" w:sz="4" w:space="0" w:color="auto"/>
            </w:tcBorders>
            <w:vAlign w:val="center"/>
          </w:tcPr>
          <w:p w14:paraId="53214FCE" w14:textId="77777777" w:rsidR="00074497" w:rsidRPr="001918CE" w:rsidRDefault="00074497" w:rsidP="00C54DB5">
            <w:pPr>
              <w:widowControl/>
              <w:spacing w:before="40" w:after="40"/>
              <w:jc w:val="center"/>
              <w:rPr>
                <w:b/>
                <w:sz w:val="20"/>
                <w:szCs w:val="20"/>
              </w:rPr>
            </w:pPr>
          </w:p>
        </w:tc>
        <w:tc>
          <w:tcPr>
            <w:tcW w:w="1134" w:type="dxa"/>
            <w:tcBorders>
              <w:top w:val="single" w:sz="4" w:space="0" w:color="auto"/>
              <w:bottom w:val="single" w:sz="4" w:space="0" w:color="auto"/>
            </w:tcBorders>
          </w:tcPr>
          <w:p w14:paraId="3FFF60D0" w14:textId="77777777" w:rsidR="00074497" w:rsidRPr="001918CE" w:rsidRDefault="00074497" w:rsidP="008403C0">
            <w:pPr>
              <w:widowControl/>
              <w:spacing w:before="40" w:after="40"/>
              <w:jc w:val="center"/>
              <w:rPr>
                <w:b/>
                <w:sz w:val="20"/>
                <w:szCs w:val="20"/>
                <w:lang w:val="en-US"/>
              </w:rPr>
            </w:pPr>
          </w:p>
        </w:tc>
        <w:tc>
          <w:tcPr>
            <w:tcW w:w="1276" w:type="dxa"/>
            <w:tcBorders>
              <w:top w:val="single" w:sz="4" w:space="0" w:color="auto"/>
              <w:bottom w:val="single" w:sz="4" w:space="0" w:color="auto"/>
            </w:tcBorders>
            <w:vAlign w:val="center"/>
          </w:tcPr>
          <w:p w14:paraId="4331D046" w14:textId="77777777" w:rsidR="00074497" w:rsidRPr="001918CE" w:rsidRDefault="00074497" w:rsidP="00A567C4">
            <w:pPr>
              <w:widowControl/>
              <w:spacing w:before="40" w:after="40"/>
              <w:jc w:val="center"/>
              <w:rPr>
                <w:b/>
                <w:sz w:val="20"/>
                <w:szCs w:val="20"/>
                <w:lang w:val="en-US"/>
              </w:rPr>
            </w:pPr>
          </w:p>
        </w:tc>
        <w:tc>
          <w:tcPr>
            <w:tcW w:w="1134" w:type="dxa"/>
            <w:tcBorders>
              <w:top w:val="single" w:sz="4" w:space="0" w:color="auto"/>
              <w:bottom w:val="single" w:sz="4" w:space="0" w:color="auto"/>
            </w:tcBorders>
            <w:vAlign w:val="center"/>
          </w:tcPr>
          <w:p w14:paraId="690FD68F" w14:textId="77777777" w:rsidR="00074497" w:rsidRPr="001918CE" w:rsidRDefault="00D33B1A" w:rsidP="008403C0">
            <w:pPr>
              <w:widowControl/>
              <w:spacing w:before="40" w:after="40"/>
              <w:jc w:val="center"/>
              <w:rPr>
                <w:b/>
                <w:sz w:val="20"/>
                <w:szCs w:val="20"/>
                <w:lang w:val="en-US"/>
              </w:rPr>
            </w:pPr>
            <w:r w:rsidRPr="001918CE">
              <w:rPr>
                <w:b/>
                <w:sz w:val="20"/>
                <w:szCs w:val="20"/>
                <w:lang w:val="en-US"/>
              </w:rPr>
              <w:t>5.00</w:t>
            </w:r>
          </w:p>
        </w:tc>
      </w:tr>
      <w:tr w:rsidR="00074497" w14:paraId="4CFFEF22" w14:textId="77777777">
        <w:tc>
          <w:tcPr>
            <w:tcW w:w="3082" w:type="dxa"/>
            <w:tcBorders>
              <w:top w:val="single" w:sz="4" w:space="0" w:color="auto"/>
              <w:bottom w:val="single" w:sz="8" w:space="0" w:color="auto"/>
            </w:tcBorders>
            <w:vAlign w:val="center"/>
          </w:tcPr>
          <w:p w14:paraId="6733D56E" w14:textId="77777777" w:rsidR="00074497" w:rsidRPr="001918CE" w:rsidRDefault="0086103E" w:rsidP="008403C0">
            <w:pPr>
              <w:widowControl/>
              <w:spacing w:before="40" w:after="40"/>
              <w:jc w:val="left"/>
              <w:rPr>
                <w:b/>
                <w:sz w:val="20"/>
                <w:szCs w:val="20"/>
                <w:lang w:val="en-US"/>
              </w:rPr>
            </w:pPr>
            <w:r w:rsidRPr="001918CE">
              <w:rPr>
                <w:b/>
                <w:sz w:val="20"/>
                <w:szCs w:val="20"/>
                <w:lang w:val="en-US"/>
              </w:rPr>
              <w:t>SMF</w:t>
            </w:r>
            <w:r w:rsidR="00D33B1A" w:rsidRPr="001918CE">
              <w:rPr>
                <w:b/>
                <w:sz w:val="20"/>
                <w:szCs w:val="20"/>
                <w:lang w:val="en-US"/>
              </w:rPr>
              <w:t xml:space="preserve"> Portfolio</w:t>
            </w:r>
            <w:r w:rsidRPr="001918CE">
              <w:rPr>
                <w:b/>
                <w:sz w:val="20"/>
                <w:szCs w:val="20"/>
                <w:lang w:val="en-US"/>
              </w:rPr>
              <w:t xml:space="preserve"> </w:t>
            </w:r>
            <w:r w:rsidR="00D33B1A" w:rsidRPr="001918CE">
              <w:rPr>
                <w:b/>
                <w:sz w:val="20"/>
                <w:szCs w:val="20"/>
                <w:lang w:val="en-US"/>
              </w:rPr>
              <w:t xml:space="preserve">vs </w:t>
            </w:r>
            <w:r w:rsidR="00D1515A" w:rsidRPr="001918CE">
              <w:rPr>
                <w:b/>
                <w:sz w:val="20"/>
                <w:szCs w:val="20"/>
                <w:lang w:val="en-US"/>
              </w:rPr>
              <w:t>Reference Portfolio</w:t>
            </w:r>
          </w:p>
        </w:tc>
        <w:tc>
          <w:tcPr>
            <w:tcW w:w="1578" w:type="dxa"/>
            <w:tcBorders>
              <w:top w:val="single" w:sz="4" w:space="0" w:color="auto"/>
              <w:bottom w:val="single" w:sz="8" w:space="0" w:color="auto"/>
            </w:tcBorders>
            <w:vAlign w:val="center"/>
          </w:tcPr>
          <w:p w14:paraId="4A8FCABB" w14:textId="77777777" w:rsidR="00074497" w:rsidRPr="001918CE" w:rsidRDefault="00074497" w:rsidP="008403C0">
            <w:pPr>
              <w:widowControl/>
              <w:spacing w:before="40" w:after="40"/>
              <w:jc w:val="center"/>
              <w:rPr>
                <w:sz w:val="20"/>
                <w:szCs w:val="20"/>
                <w:lang w:val="en-US"/>
              </w:rPr>
            </w:pPr>
          </w:p>
        </w:tc>
        <w:tc>
          <w:tcPr>
            <w:tcW w:w="1134" w:type="dxa"/>
            <w:tcBorders>
              <w:top w:val="single" w:sz="4" w:space="0" w:color="auto"/>
              <w:bottom w:val="single" w:sz="8" w:space="0" w:color="auto"/>
            </w:tcBorders>
            <w:vAlign w:val="center"/>
          </w:tcPr>
          <w:p w14:paraId="096145BF" w14:textId="77777777" w:rsidR="00074497" w:rsidRPr="001918CE" w:rsidRDefault="00074497" w:rsidP="008403C0">
            <w:pPr>
              <w:widowControl/>
              <w:spacing w:before="40" w:after="40"/>
              <w:jc w:val="center"/>
              <w:rPr>
                <w:b/>
                <w:sz w:val="20"/>
                <w:szCs w:val="20"/>
                <w:lang w:val="en-US"/>
              </w:rPr>
            </w:pPr>
          </w:p>
        </w:tc>
        <w:tc>
          <w:tcPr>
            <w:tcW w:w="1275" w:type="dxa"/>
            <w:tcBorders>
              <w:top w:val="single" w:sz="4" w:space="0" w:color="auto"/>
              <w:bottom w:val="single" w:sz="8" w:space="0" w:color="auto"/>
            </w:tcBorders>
            <w:vAlign w:val="center"/>
          </w:tcPr>
          <w:p w14:paraId="73BD73BF" w14:textId="77777777" w:rsidR="00074497" w:rsidRPr="001918CE" w:rsidRDefault="00074497" w:rsidP="00C54DB5">
            <w:pPr>
              <w:widowControl/>
              <w:spacing w:before="40" w:after="40"/>
              <w:jc w:val="center"/>
              <w:rPr>
                <w:b/>
                <w:sz w:val="20"/>
                <w:szCs w:val="20"/>
              </w:rPr>
            </w:pPr>
          </w:p>
        </w:tc>
        <w:tc>
          <w:tcPr>
            <w:tcW w:w="1134" w:type="dxa"/>
            <w:tcBorders>
              <w:top w:val="single" w:sz="4" w:space="0" w:color="auto"/>
              <w:bottom w:val="single" w:sz="8" w:space="0" w:color="auto"/>
            </w:tcBorders>
          </w:tcPr>
          <w:p w14:paraId="460E4B8A" w14:textId="77777777" w:rsidR="00074497" w:rsidRPr="001918CE" w:rsidRDefault="00074497" w:rsidP="008403C0">
            <w:pPr>
              <w:widowControl/>
              <w:spacing w:before="40" w:after="40"/>
              <w:jc w:val="center"/>
              <w:rPr>
                <w:b/>
                <w:sz w:val="20"/>
                <w:szCs w:val="20"/>
                <w:lang w:val="en-US"/>
              </w:rPr>
            </w:pPr>
          </w:p>
        </w:tc>
        <w:tc>
          <w:tcPr>
            <w:tcW w:w="1276" w:type="dxa"/>
            <w:tcBorders>
              <w:top w:val="single" w:sz="4" w:space="0" w:color="auto"/>
              <w:bottom w:val="single" w:sz="8" w:space="0" w:color="auto"/>
            </w:tcBorders>
            <w:vAlign w:val="center"/>
          </w:tcPr>
          <w:p w14:paraId="2D74CF5E" w14:textId="77777777" w:rsidR="00074497" w:rsidRPr="001918CE" w:rsidRDefault="00074497" w:rsidP="00A567C4">
            <w:pPr>
              <w:widowControl/>
              <w:spacing w:before="40" w:after="40"/>
              <w:jc w:val="center"/>
              <w:rPr>
                <w:b/>
                <w:sz w:val="20"/>
                <w:szCs w:val="20"/>
                <w:lang w:val="en-US"/>
              </w:rPr>
            </w:pPr>
          </w:p>
        </w:tc>
        <w:tc>
          <w:tcPr>
            <w:tcW w:w="1134" w:type="dxa"/>
            <w:tcBorders>
              <w:top w:val="single" w:sz="4" w:space="0" w:color="auto"/>
              <w:bottom w:val="single" w:sz="8" w:space="0" w:color="auto"/>
            </w:tcBorders>
            <w:vAlign w:val="center"/>
          </w:tcPr>
          <w:p w14:paraId="754401A4" w14:textId="77777777" w:rsidR="00074497" w:rsidRPr="001918CE" w:rsidRDefault="00D33B1A" w:rsidP="008403C0">
            <w:pPr>
              <w:widowControl/>
              <w:spacing w:before="40" w:after="40"/>
              <w:jc w:val="center"/>
              <w:rPr>
                <w:b/>
                <w:sz w:val="20"/>
                <w:szCs w:val="20"/>
                <w:lang w:val="en-US"/>
              </w:rPr>
            </w:pPr>
            <w:r w:rsidRPr="001918CE">
              <w:rPr>
                <w:b/>
                <w:sz w:val="20"/>
                <w:szCs w:val="20"/>
                <w:lang w:val="en-US"/>
              </w:rPr>
              <w:t>0.08</w:t>
            </w:r>
          </w:p>
        </w:tc>
      </w:tr>
    </w:tbl>
    <w:p w14:paraId="1185BD40" w14:textId="77777777" w:rsidR="0090050E" w:rsidRPr="009C0ADD" w:rsidRDefault="0090050E" w:rsidP="009C0ADD">
      <w:pPr>
        <w:spacing w:before="180" w:after="0"/>
        <w:rPr>
          <w:sz w:val="20"/>
          <w:szCs w:val="20"/>
        </w:rPr>
      </w:pPr>
      <w:r w:rsidRPr="009C0ADD">
        <w:rPr>
          <w:sz w:val="20"/>
          <w:szCs w:val="20"/>
        </w:rPr>
        <w:t xml:space="preserve">From Figure 3, the SMF Portfolio </w:t>
      </w:r>
      <w:r w:rsidR="00657F64" w:rsidRPr="009C0ADD">
        <w:rPr>
          <w:sz w:val="20"/>
          <w:szCs w:val="20"/>
        </w:rPr>
        <w:t xml:space="preserve">return </w:t>
      </w:r>
      <w:r w:rsidRPr="009C0ADD">
        <w:rPr>
          <w:sz w:val="20"/>
          <w:szCs w:val="20"/>
        </w:rPr>
        <w:t xml:space="preserve">of 5.08% outperforms the reference portfolio by 0.08% in the sub-period from 9 June to 31 August 2018. As part of the </w:t>
      </w:r>
      <w:r w:rsidR="004448A0" w:rsidRPr="009C0ADD">
        <w:rPr>
          <w:sz w:val="20"/>
          <w:szCs w:val="20"/>
        </w:rPr>
        <w:t>process of better understanding the sources of performance and how it</w:t>
      </w:r>
      <w:r w:rsidR="001918CE" w:rsidRPr="009C0ADD">
        <w:rPr>
          <w:sz w:val="20"/>
          <w:szCs w:val="20"/>
        </w:rPr>
        <w:t xml:space="preserve"> </w:t>
      </w:r>
      <w:r w:rsidR="004448A0" w:rsidRPr="009C0ADD">
        <w:rPr>
          <w:sz w:val="20"/>
          <w:szCs w:val="20"/>
        </w:rPr>
        <w:t xml:space="preserve">relates to our </w:t>
      </w:r>
      <w:r w:rsidRPr="009C0ADD">
        <w:rPr>
          <w:sz w:val="20"/>
          <w:szCs w:val="20"/>
        </w:rPr>
        <w:t xml:space="preserve">portfolio management process, </w:t>
      </w:r>
      <w:r w:rsidR="004448A0" w:rsidRPr="009C0ADD">
        <w:rPr>
          <w:sz w:val="20"/>
          <w:szCs w:val="20"/>
        </w:rPr>
        <w:t xml:space="preserve">the </w:t>
      </w:r>
      <w:proofErr w:type="spellStart"/>
      <w:r w:rsidR="004448A0" w:rsidRPr="009C0ADD">
        <w:rPr>
          <w:sz w:val="20"/>
          <w:szCs w:val="20"/>
        </w:rPr>
        <w:t>R&amp;C</w:t>
      </w:r>
      <w:proofErr w:type="spellEnd"/>
      <w:r w:rsidR="004448A0" w:rsidRPr="009C0ADD">
        <w:rPr>
          <w:sz w:val="20"/>
          <w:szCs w:val="20"/>
        </w:rPr>
        <w:t xml:space="preserve"> team has developed </w:t>
      </w:r>
      <w:r w:rsidRPr="009C0ADD">
        <w:rPr>
          <w:sz w:val="20"/>
          <w:szCs w:val="20"/>
        </w:rPr>
        <w:t>a performance attribution analysis</w:t>
      </w:r>
      <w:r w:rsidR="004448A0" w:rsidRPr="009C0ADD">
        <w:rPr>
          <w:sz w:val="20"/>
          <w:szCs w:val="20"/>
        </w:rPr>
        <w:t xml:space="preserve">. This analysis </w:t>
      </w:r>
      <w:r w:rsidRPr="009C0ADD">
        <w:rPr>
          <w:sz w:val="20"/>
          <w:szCs w:val="20"/>
        </w:rPr>
        <w:t>decompose</w:t>
      </w:r>
      <w:r w:rsidR="004448A0" w:rsidRPr="009C0ADD">
        <w:rPr>
          <w:sz w:val="20"/>
          <w:szCs w:val="20"/>
        </w:rPr>
        <w:t>s</w:t>
      </w:r>
      <w:r w:rsidRPr="009C0ADD">
        <w:rPr>
          <w:sz w:val="20"/>
          <w:szCs w:val="20"/>
        </w:rPr>
        <w:t xml:space="preserve"> performance </w:t>
      </w:r>
      <w:r w:rsidR="004448A0" w:rsidRPr="009C0ADD">
        <w:rPr>
          <w:sz w:val="20"/>
          <w:szCs w:val="20"/>
        </w:rPr>
        <w:t xml:space="preserve">relative to </w:t>
      </w:r>
      <w:r w:rsidR="009C0ADD">
        <w:rPr>
          <w:sz w:val="20"/>
          <w:szCs w:val="20"/>
        </w:rPr>
        <w:t xml:space="preserve">the </w:t>
      </w:r>
      <w:r w:rsidR="004448A0" w:rsidRPr="009C0ADD">
        <w:rPr>
          <w:sz w:val="20"/>
          <w:szCs w:val="20"/>
        </w:rPr>
        <w:t>benchmark into contributions from</w:t>
      </w:r>
      <w:r w:rsidRPr="009C0ADD">
        <w:rPr>
          <w:sz w:val="20"/>
          <w:szCs w:val="20"/>
        </w:rPr>
        <w:t xml:space="preserve"> asset allocation and security selection decisions.  </w:t>
      </w:r>
    </w:p>
    <w:p w14:paraId="52BA082E" w14:textId="77777777" w:rsidR="0090050E" w:rsidRPr="009C0ADD" w:rsidRDefault="0090050E" w:rsidP="009C0ADD">
      <w:pPr>
        <w:spacing w:before="180" w:after="0"/>
        <w:rPr>
          <w:sz w:val="20"/>
          <w:szCs w:val="20"/>
        </w:rPr>
      </w:pPr>
      <w:r w:rsidRPr="009C0ADD">
        <w:rPr>
          <w:sz w:val="20"/>
          <w:szCs w:val="20"/>
        </w:rPr>
        <w:t>The asset allocation contribution is 0.04%</w:t>
      </w:r>
      <w:r w:rsidR="004448A0" w:rsidRPr="009C0ADD">
        <w:rPr>
          <w:sz w:val="20"/>
          <w:szCs w:val="20"/>
        </w:rPr>
        <w:t>,</w:t>
      </w:r>
      <w:r w:rsidRPr="009C0ADD">
        <w:rPr>
          <w:sz w:val="20"/>
          <w:szCs w:val="20"/>
        </w:rPr>
        <w:t xml:space="preserve"> as shown in Figure 4. </w:t>
      </w:r>
      <w:r w:rsidR="00F069FC" w:rsidRPr="009C0ADD">
        <w:rPr>
          <w:sz w:val="20"/>
          <w:szCs w:val="20"/>
        </w:rPr>
        <w:t xml:space="preserve">This contribution </w:t>
      </w:r>
      <w:r w:rsidR="004448A0" w:rsidRPr="009C0ADD">
        <w:rPr>
          <w:sz w:val="20"/>
          <w:szCs w:val="20"/>
        </w:rPr>
        <w:t xml:space="preserve">arises from </w:t>
      </w:r>
      <w:r w:rsidR="002A3DE0" w:rsidRPr="009C0ADD">
        <w:rPr>
          <w:sz w:val="20"/>
          <w:szCs w:val="20"/>
        </w:rPr>
        <w:t xml:space="preserve">the difference </w:t>
      </w:r>
      <w:r w:rsidR="004448A0" w:rsidRPr="009C0ADD">
        <w:rPr>
          <w:sz w:val="20"/>
          <w:szCs w:val="20"/>
        </w:rPr>
        <w:t xml:space="preserve">in asset allocation </w:t>
      </w:r>
      <w:r w:rsidR="002A3DE0" w:rsidRPr="009C0ADD">
        <w:rPr>
          <w:sz w:val="20"/>
          <w:szCs w:val="20"/>
        </w:rPr>
        <w:t xml:space="preserve">between </w:t>
      </w:r>
      <w:r w:rsidR="004448A0" w:rsidRPr="009C0ADD">
        <w:rPr>
          <w:sz w:val="20"/>
          <w:szCs w:val="20"/>
        </w:rPr>
        <w:t xml:space="preserve">the </w:t>
      </w:r>
      <w:r w:rsidR="002A3DE0" w:rsidRPr="009C0ADD">
        <w:rPr>
          <w:sz w:val="20"/>
          <w:szCs w:val="20"/>
        </w:rPr>
        <w:t xml:space="preserve">actual </w:t>
      </w:r>
      <w:r w:rsidR="004448A0" w:rsidRPr="009C0ADD">
        <w:rPr>
          <w:sz w:val="20"/>
          <w:szCs w:val="20"/>
        </w:rPr>
        <w:t>portfolio and the reference portfolio</w:t>
      </w:r>
      <w:r w:rsidR="002A3DE0" w:rsidRPr="009C0ADD">
        <w:rPr>
          <w:sz w:val="20"/>
          <w:szCs w:val="20"/>
        </w:rPr>
        <w:t xml:space="preserve">, multiplied by the </w:t>
      </w:r>
      <w:r w:rsidR="004448A0" w:rsidRPr="009C0ADD">
        <w:rPr>
          <w:sz w:val="20"/>
          <w:szCs w:val="20"/>
        </w:rPr>
        <w:t xml:space="preserve">returns delivered by the benchmark ETFs. </w:t>
      </w:r>
      <w:r w:rsidR="00F10D6E" w:rsidRPr="009C0ADD">
        <w:rPr>
          <w:sz w:val="20"/>
          <w:szCs w:val="20"/>
        </w:rPr>
        <w:t xml:space="preserve">Since </w:t>
      </w:r>
      <w:r w:rsidRPr="009C0ADD">
        <w:rPr>
          <w:sz w:val="20"/>
          <w:szCs w:val="20"/>
        </w:rPr>
        <w:t>the AA team is in the process of f</w:t>
      </w:r>
      <w:r w:rsidR="009C0ADD">
        <w:rPr>
          <w:sz w:val="20"/>
          <w:szCs w:val="20"/>
        </w:rPr>
        <w:t>inalis</w:t>
      </w:r>
      <w:r w:rsidRPr="009C0ADD">
        <w:rPr>
          <w:sz w:val="20"/>
          <w:szCs w:val="20"/>
        </w:rPr>
        <w:t xml:space="preserve">ing its IP, the asset allocation contribution is reflective of the </w:t>
      </w:r>
      <w:r w:rsidR="00F10D6E" w:rsidRPr="009C0ADD">
        <w:rPr>
          <w:sz w:val="20"/>
          <w:szCs w:val="20"/>
        </w:rPr>
        <w:t xml:space="preserve">portfolio weights drifting away from </w:t>
      </w:r>
      <w:r w:rsidRPr="009C0ADD">
        <w:rPr>
          <w:sz w:val="20"/>
          <w:szCs w:val="20"/>
        </w:rPr>
        <w:t xml:space="preserve">the SMF reference portfolio </w:t>
      </w:r>
      <w:r w:rsidR="00F10D6E" w:rsidRPr="009C0ADD">
        <w:rPr>
          <w:sz w:val="20"/>
          <w:szCs w:val="20"/>
        </w:rPr>
        <w:t xml:space="preserve">weights due to market movements, </w:t>
      </w:r>
      <w:r w:rsidRPr="009C0ADD">
        <w:rPr>
          <w:sz w:val="20"/>
          <w:szCs w:val="20"/>
        </w:rPr>
        <w:t xml:space="preserve">rather than </w:t>
      </w:r>
      <w:r w:rsidR="00F10D6E" w:rsidRPr="009C0ADD">
        <w:rPr>
          <w:sz w:val="20"/>
          <w:szCs w:val="20"/>
        </w:rPr>
        <w:t xml:space="preserve">any active </w:t>
      </w:r>
      <w:r w:rsidRPr="009C0ADD">
        <w:rPr>
          <w:sz w:val="20"/>
          <w:szCs w:val="20"/>
        </w:rPr>
        <w:t xml:space="preserve">strategic tilts to specific asset classes made by </w:t>
      </w:r>
      <w:r w:rsidR="00F10D6E" w:rsidRPr="009C0ADD">
        <w:rPr>
          <w:sz w:val="20"/>
          <w:szCs w:val="20"/>
        </w:rPr>
        <w:t xml:space="preserve">the </w:t>
      </w:r>
      <w:r w:rsidRPr="009C0ADD">
        <w:rPr>
          <w:sz w:val="20"/>
          <w:szCs w:val="20"/>
        </w:rPr>
        <w:t xml:space="preserve">Fund. </w:t>
      </w:r>
    </w:p>
    <w:p w14:paraId="45D8B4F0" w14:textId="77777777" w:rsidR="0090050E" w:rsidRPr="009C0ADD" w:rsidRDefault="0090050E" w:rsidP="009C0ADD">
      <w:pPr>
        <w:spacing w:before="180" w:after="0"/>
        <w:rPr>
          <w:sz w:val="20"/>
          <w:szCs w:val="20"/>
        </w:rPr>
      </w:pPr>
      <w:r w:rsidRPr="009C0ADD">
        <w:rPr>
          <w:sz w:val="20"/>
          <w:szCs w:val="20"/>
        </w:rPr>
        <w:t xml:space="preserve">The overall contribution of security selection from the </w:t>
      </w:r>
      <w:proofErr w:type="spellStart"/>
      <w:r w:rsidRPr="009C0ADD">
        <w:rPr>
          <w:sz w:val="20"/>
          <w:szCs w:val="20"/>
        </w:rPr>
        <w:t>AAE</w:t>
      </w:r>
      <w:proofErr w:type="spellEnd"/>
      <w:r w:rsidRPr="009C0ADD">
        <w:rPr>
          <w:sz w:val="20"/>
          <w:szCs w:val="20"/>
        </w:rPr>
        <w:t xml:space="preserve"> </w:t>
      </w:r>
      <w:r w:rsidR="002C138C" w:rsidRPr="009C0ADD">
        <w:rPr>
          <w:sz w:val="20"/>
          <w:szCs w:val="20"/>
        </w:rPr>
        <w:t xml:space="preserve">portfolio </w:t>
      </w:r>
      <w:r w:rsidRPr="009C0ADD">
        <w:rPr>
          <w:sz w:val="20"/>
          <w:szCs w:val="20"/>
        </w:rPr>
        <w:t>is</w:t>
      </w:r>
      <w:r w:rsidR="002C138C" w:rsidRPr="009C0ADD">
        <w:rPr>
          <w:sz w:val="20"/>
          <w:szCs w:val="20"/>
        </w:rPr>
        <w:t xml:space="preserve"> </w:t>
      </w:r>
      <w:r w:rsidRPr="009C0ADD">
        <w:rPr>
          <w:sz w:val="20"/>
          <w:szCs w:val="20"/>
        </w:rPr>
        <w:t xml:space="preserve">0.12%. Each security’s contribution is calculated by </w:t>
      </w:r>
      <w:r w:rsidR="00F10D6E" w:rsidRPr="009C0ADD">
        <w:rPr>
          <w:sz w:val="20"/>
          <w:szCs w:val="20"/>
        </w:rPr>
        <w:t>estimating t</w:t>
      </w:r>
      <w:r w:rsidRPr="009C0ADD">
        <w:rPr>
          <w:sz w:val="20"/>
          <w:szCs w:val="20"/>
        </w:rPr>
        <w:t xml:space="preserve">he </w:t>
      </w:r>
      <w:r w:rsidR="00F10D6E" w:rsidRPr="009C0ADD">
        <w:rPr>
          <w:sz w:val="20"/>
          <w:szCs w:val="20"/>
        </w:rPr>
        <w:t xml:space="preserve">active </w:t>
      </w:r>
      <w:r w:rsidRPr="009C0ADD">
        <w:rPr>
          <w:sz w:val="20"/>
          <w:szCs w:val="20"/>
        </w:rPr>
        <w:t xml:space="preserve">security weights </w:t>
      </w:r>
      <w:r w:rsidR="00F10D6E" w:rsidRPr="009C0ADD">
        <w:rPr>
          <w:sz w:val="20"/>
          <w:szCs w:val="20"/>
        </w:rPr>
        <w:t xml:space="preserve">within the </w:t>
      </w:r>
      <w:proofErr w:type="spellStart"/>
      <w:r w:rsidRPr="009C0ADD">
        <w:rPr>
          <w:sz w:val="20"/>
          <w:szCs w:val="20"/>
        </w:rPr>
        <w:t>AAE</w:t>
      </w:r>
      <w:proofErr w:type="spellEnd"/>
      <w:r w:rsidRPr="009C0ADD">
        <w:rPr>
          <w:sz w:val="20"/>
          <w:szCs w:val="20"/>
        </w:rPr>
        <w:t xml:space="preserve"> </w:t>
      </w:r>
      <w:r w:rsidR="001918CE" w:rsidRPr="009C0ADD">
        <w:rPr>
          <w:sz w:val="20"/>
          <w:szCs w:val="20"/>
        </w:rPr>
        <w:t>portfolio and</w:t>
      </w:r>
      <w:r w:rsidRPr="009C0ADD">
        <w:rPr>
          <w:sz w:val="20"/>
          <w:szCs w:val="20"/>
        </w:rPr>
        <w:t xml:space="preserve"> multipl</w:t>
      </w:r>
      <w:r w:rsidR="00F10D6E" w:rsidRPr="009C0ADD">
        <w:rPr>
          <w:sz w:val="20"/>
          <w:szCs w:val="20"/>
        </w:rPr>
        <w:t>ying</w:t>
      </w:r>
      <w:r w:rsidRPr="009C0ADD">
        <w:rPr>
          <w:sz w:val="20"/>
          <w:szCs w:val="20"/>
        </w:rPr>
        <w:t xml:space="preserve"> by the performance differential between </w:t>
      </w:r>
      <w:r w:rsidR="00F10D6E" w:rsidRPr="009C0ADD">
        <w:rPr>
          <w:sz w:val="20"/>
          <w:szCs w:val="20"/>
        </w:rPr>
        <w:t xml:space="preserve">the </w:t>
      </w:r>
      <w:r w:rsidRPr="009C0ADD">
        <w:rPr>
          <w:sz w:val="20"/>
          <w:szCs w:val="20"/>
        </w:rPr>
        <w:t>actual security returns</w:t>
      </w:r>
      <w:r w:rsidR="00F10D6E" w:rsidRPr="009C0ADD">
        <w:rPr>
          <w:sz w:val="20"/>
          <w:szCs w:val="20"/>
        </w:rPr>
        <w:t xml:space="preserve"> and the return on the benchmark S&amp;P/</w:t>
      </w:r>
      <w:proofErr w:type="spellStart"/>
      <w:r w:rsidR="00F10D6E" w:rsidRPr="009C0ADD">
        <w:rPr>
          <w:sz w:val="20"/>
          <w:szCs w:val="20"/>
        </w:rPr>
        <w:t>ASX200</w:t>
      </w:r>
      <w:proofErr w:type="spellEnd"/>
      <w:r w:rsidR="00F10D6E" w:rsidRPr="009C0ADD">
        <w:rPr>
          <w:sz w:val="20"/>
          <w:szCs w:val="20"/>
        </w:rPr>
        <w:t xml:space="preserve"> ETF</w:t>
      </w:r>
      <w:r w:rsidR="002C138C" w:rsidRPr="009C0ADD">
        <w:rPr>
          <w:sz w:val="20"/>
          <w:szCs w:val="20"/>
        </w:rPr>
        <w:t>.</w:t>
      </w:r>
      <w:r w:rsidR="00F10D6E" w:rsidRPr="009C0ADD">
        <w:rPr>
          <w:sz w:val="20"/>
          <w:szCs w:val="20"/>
        </w:rPr>
        <w:t xml:space="preserve"> Note the calculations </w:t>
      </w:r>
      <w:r w:rsidR="009C0ADD">
        <w:rPr>
          <w:sz w:val="20"/>
          <w:szCs w:val="20"/>
        </w:rPr>
        <w:t>include</w:t>
      </w:r>
      <w:r w:rsidR="00F10D6E" w:rsidRPr="009C0ADD">
        <w:rPr>
          <w:sz w:val="20"/>
          <w:szCs w:val="20"/>
        </w:rPr>
        <w:t xml:space="preserve"> any franking credits received, and the SMF returns and </w:t>
      </w:r>
      <w:proofErr w:type="spellStart"/>
      <w:r w:rsidR="00F10D6E" w:rsidRPr="009C0ADD">
        <w:rPr>
          <w:sz w:val="20"/>
          <w:szCs w:val="20"/>
        </w:rPr>
        <w:t>AAE</w:t>
      </w:r>
      <w:proofErr w:type="spellEnd"/>
      <w:r w:rsidR="00F10D6E" w:rsidRPr="009C0ADD">
        <w:rPr>
          <w:sz w:val="20"/>
          <w:szCs w:val="20"/>
        </w:rPr>
        <w:t xml:space="preserve"> contributions have benefitted from holding stocks that pay relatively high fully franked dividends (notably Telstra). Franking credits are explicitly </w:t>
      </w:r>
      <w:proofErr w:type="gramStart"/>
      <w:r w:rsidR="00F10D6E" w:rsidRPr="009C0ADD">
        <w:rPr>
          <w:sz w:val="20"/>
          <w:szCs w:val="20"/>
        </w:rPr>
        <w:t>taken into account</w:t>
      </w:r>
      <w:proofErr w:type="gramEnd"/>
      <w:r w:rsidR="00F10D6E" w:rsidRPr="009C0ADD">
        <w:rPr>
          <w:sz w:val="20"/>
          <w:szCs w:val="20"/>
        </w:rPr>
        <w:t xml:space="preserve"> in selecting stocks, given </w:t>
      </w:r>
      <w:r w:rsidR="009C0ADD">
        <w:rPr>
          <w:sz w:val="20"/>
          <w:szCs w:val="20"/>
        </w:rPr>
        <w:t xml:space="preserve">that </w:t>
      </w:r>
      <w:r w:rsidR="00F10D6E" w:rsidRPr="009C0ADD">
        <w:rPr>
          <w:sz w:val="20"/>
          <w:szCs w:val="20"/>
        </w:rPr>
        <w:t xml:space="preserve">ANU is able to claim the full value of franking as a tax credit.     </w:t>
      </w:r>
      <w:r w:rsidR="004E1855" w:rsidRPr="009C0ADD">
        <w:rPr>
          <w:sz w:val="20"/>
          <w:szCs w:val="20"/>
        </w:rPr>
        <w:t xml:space="preserve"> </w:t>
      </w:r>
    </w:p>
    <w:p w14:paraId="25A22811" w14:textId="77777777" w:rsidR="004C3B4B" w:rsidRPr="004C3B4B" w:rsidRDefault="004C3B4B" w:rsidP="004C3B4B">
      <w:pPr>
        <w:pStyle w:val="TableFigure"/>
        <w:spacing w:before="0" w:after="0"/>
        <w:ind w:left="1267"/>
        <w:rPr>
          <w:bCs/>
          <w:sz w:val="20"/>
          <w:szCs w:val="20"/>
          <w:lang w:val="en-US" w:eastAsia="zh-CN"/>
        </w:rPr>
      </w:pPr>
    </w:p>
    <w:p w14:paraId="58E7D596" w14:textId="77777777" w:rsidR="00AF3D38" w:rsidRPr="00191C95" w:rsidRDefault="00F55649" w:rsidP="004C3B4B">
      <w:pPr>
        <w:pStyle w:val="TableFigure"/>
        <w:spacing w:before="0" w:after="40"/>
        <w:ind w:left="1267"/>
        <w:rPr>
          <w:sz w:val="20"/>
          <w:szCs w:val="20"/>
          <w:lang w:val="en-US"/>
        </w:rPr>
      </w:pPr>
      <w:r w:rsidRPr="00191C95">
        <w:rPr>
          <w:sz w:val="20"/>
          <w:szCs w:val="20"/>
          <w:lang w:val="en-US" w:eastAsia="zh-CN"/>
        </w:rPr>
        <w:t>Fi</w:t>
      </w:r>
      <w:r w:rsidR="00AF3D38" w:rsidRPr="00191C95">
        <w:rPr>
          <w:sz w:val="20"/>
          <w:szCs w:val="20"/>
          <w:lang w:val="en-US" w:eastAsia="zh-CN"/>
        </w:rPr>
        <w:t xml:space="preserve">gure 4: </w:t>
      </w:r>
      <w:r w:rsidR="00AF3D38" w:rsidRPr="00191C95">
        <w:rPr>
          <w:sz w:val="20"/>
          <w:szCs w:val="20"/>
          <w:lang w:val="en-US"/>
        </w:rPr>
        <w:t>Asset Allocation Contribution</w:t>
      </w:r>
    </w:p>
    <w:p w14:paraId="50F9CB49" w14:textId="77777777" w:rsidR="001A72A0" w:rsidRDefault="00724B7B" w:rsidP="00AF3D38">
      <w:pPr>
        <w:pStyle w:val="TableFigure"/>
        <w:spacing w:before="360" w:after="40"/>
        <w:ind w:left="1267"/>
        <w:rPr>
          <w:sz w:val="20"/>
          <w:szCs w:val="20"/>
          <w:lang w:val="en-US"/>
        </w:rPr>
      </w:pPr>
      <w:r>
        <w:rPr>
          <w:noProof/>
          <w:lang w:val="en-US"/>
        </w:rPr>
        <w:drawing>
          <wp:anchor distT="0" distB="0" distL="114300" distR="114300" simplePos="0" relativeHeight="251689984" behindDoc="0" locked="0" layoutInCell="1" allowOverlap="1" wp14:anchorId="6C90AECC" wp14:editId="058EAE51">
            <wp:simplePos x="0" y="0"/>
            <wp:positionH relativeFrom="column">
              <wp:posOffset>781050</wp:posOffset>
            </wp:positionH>
            <wp:positionV relativeFrom="paragraph">
              <wp:posOffset>38100</wp:posOffset>
            </wp:positionV>
            <wp:extent cx="5213527" cy="1982278"/>
            <wp:effectExtent l="0" t="0" r="6350" b="18415"/>
            <wp:wrapNone/>
            <wp:docPr id="11" name="Chart 11">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p>
    <w:p w14:paraId="19F889A9" w14:textId="77777777" w:rsidR="001A72A0" w:rsidRDefault="001A72A0" w:rsidP="00AF3D38">
      <w:pPr>
        <w:pStyle w:val="TableFigure"/>
        <w:spacing w:before="360" w:after="40"/>
        <w:ind w:left="1267"/>
        <w:rPr>
          <w:sz w:val="20"/>
          <w:szCs w:val="20"/>
          <w:lang w:val="en-US"/>
        </w:rPr>
      </w:pPr>
    </w:p>
    <w:p w14:paraId="6EC5DF93" w14:textId="77777777" w:rsidR="001A72A0" w:rsidRDefault="001A72A0" w:rsidP="00AF3D38">
      <w:pPr>
        <w:pStyle w:val="TableFigure"/>
        <w:spacing w:before="360" w:after="40"/>
        <w:ind w:left="1267"/>
        <w:rPr>
          <w:sz w:val="20"/>
          <w:szCs w:val="20"/>
          <w:lang w:val="en-US"/>
        </w:rPr>
      </w:pPr>
    </w:p>
    <w:p w14:paraId="381EF9AC" w14:textId="77777777" w:rsidR="001A72A0" w:rsidRDefault="001A72A0" w:rsidP="00AF3D38">
      <w:pPr>
        <w:pStyle w:val="TableFigure"/>
        <w:spacing w:before="360" w:after="40"/>
        <w:ind w:left="1267"/>
        <w:rPr>
          <w:sz w:val="20"/>
          <w:szCs w:val="20"/>
          <w:lang w:val="en-US"/>
        </w:rPr>
      </w:pPr>
    </w:p>
    <w:p w14:paraId="175D0B49" w14:textId="77777777" w:rsidR="00AF3D38" w:rsidRDefault="00AF3D38" w:rsidP="00AF3D38">
      <w:pPr>
        <w:pStyle w:val="TableFigure"/>
        <w:spacing w:before="360" w:after="40"/>
        <w:ind w:left="1267"/>
        <w:rPr>
          <w:sz w:val="20"/>
          <w:szCs w:val="20"/>
          <w:lang w:val="en-US"/>
        </w:rPr>
      </w:pPr>
    </w:p>
    <w:p w14:paraId="6786B427" w14:textId="77777777" w:rsidR="00191C95" w:rsidRPr="006771EF" w:rsidRDefault="00AF3D38" w:rsidP="00191C95">
      <w:pPr>
        <w:pStyle w:val="TableFigure"/>
        <w:spacing w:before="360" w:after="40"/>
        <w:ind w:left="1267"/>
        <w:rPr>
          <w:sz w:val="20"/>
          <w:szCs w:val="20"/>
          <w:lang w:val="en-US" w:eastAsia="zh-CN"/>
        </w:rPr>
      </w:pPr>
      <w:r w:rsidRPr="00191C95">
        <w:rPr>
          <w:sz w:val="20"/>
          <w:szCs w:val="20"/>
          <w:lang w:val="en-US" w:eastAsia="zh-CN"/>
        </w:rPr>
        <w:t>Figure 5: Security Selection Contribution</w:t>
      </w:r>
    </w:p>
    <w:p w14:paraId="35BA24B2" w14:textId="77777777" w:rsidR="00AF3D38" w:rsidRDefault="00191C95" w:rsidP="009079C9">
      <w:pPr>
        <w:pStyle w:val="TableFigure"/>
        <w:spacing w:before="360" w:after="40"/>
        <w:rPr>
          <w:sz w:val="20"/>
          <w:szCs w:val="20"/>
          <w:lang w:val="en-US"/>
        </w:rPr>
      </w:pPr>
      <w:r>
        <w:rPr>
          <w:noProof/>
          <w:lang w:val="en-US"/>
        </w:rPr>
        <w:drawing>
          <wp:anchor distT="0" distB="0" distL="114300" distR="114300" simplePos="0" relativeHeight="251692032" behindDoc="0" locked="0" layoutInCell="1" allowOverlap="1" wp14:anchorId="4DC2039C" wp14:editId="27115BA1">
            <wp:simplePos x="0" y="0"/>
            <wp:positionH relativeFrom="column">
              <wp:posOffset>798342</wp:posOffset>
            </wp:positionH>
            <wp:positionV relativeFrom="paragraph">
              <wp:posOffset>23300</wp:posOffset>
            </wp:positionV>
            <wp:extent cx="5199184" cy="1830705"/>
            <wp:effectExtent l="0" t="0" r="1905" b="17145"/>
            <wp:wrapNone/>
            <wp:docPr id="12" name="Chart 12">
              <a:extLst xmlns:a="http://schemas.openxmlformats.org/drawingml/2006/main">
                <a:ext uri="{FF2B5EF4-FFF2-40B4-BE49-F238E27FC236}">
                  <a16:creationId xmlns:a16="http://schemas.microsoft.com/office/drawing/2014/main" id="{00000000-0008-0000-01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p>
    <w:p w14:paraId="411E830D" w14:textId="77777777" w:rsidR="009079C9" w:rsidRDefault="009079C9" w:rsidP="009079C9">
      <w:pPr>
        <w:pStyle w:val="TableFigure"/>
        <w:spacing w:before="360" w:after="40"/>
        <w:rPr>
          <w:sz w:val="20"/>
          <w:szCs w:val="20"/>
          <w:lang w:val="en-US"/>
        </w:rPr>
      </w:pPr>
    </w:p>
    <w:p w14:paraId="4A966104" w14:textId="77777777" w:rsidR="009079C9" w:rsidRDefault="009079C9" w:rsidP="009079C9">
      <w:pPr>
        <w:pStyle w:val="TableFigure"/>
        <w:spacing w:before="360" w:after="40"/>
        <w:rPr>
          <w:sz w:val="20"/>
          <w:szCs w:val="20"/>
          <w:lang w:val="en-US"/>
        </w:rPr>
      </w:pPr>
    </w:p>
    <w:p w14:paraId="0614A163" w14:textId="77777777" w:rsidR="009079C9" w:rsidRDefault="009079C9" w:rsidP="009079C9">
      <w:pPr>
        <w:pStyle w:val="TableFigure"/>
        <w:spacing w:before="360" w:after="40"/>
        <w:rPr>
          <w:sz w:val="20"/>
          <w:szCs w:val="20"/>
          <w:lang w:val="en-US"/>
        </w:rPr>
      </w:pPr>
    </w:p>
    <w:p w14:paraId="607FF8A7" w14:textId="77777777" w:rsidR="00126B4E" w:rsidRDefault="00126B4E" w:rsidP="006E40EA">
      <w:pPr>
        <w:pStyle w:val="Heading1"/>
        <w:spacing w:before="360"/>
        <w:rPr>
          <w:sz w:val="24"/>
          <w:szCs w:val="24"/>
          <w:lang w:eastAsia="zh-CN"/>
        </w:rPr>
      </w:pPr>
      <w:bookmarkStart w:id="23" w:name="_Toc524277825"/>
    </w:p>
    <w:p w14:paraId="28730685" w14:textId="77777777" w:rsidR="00126B4E" w:rsidRDefault="00126B4E" w:rsidP="00126B4E">
      <w:pPr>
        <w:rPr>
          <w:lang w:eastAsia="zh-CN"/>
        </w:rPr>
      </w:pPr>
    </w:p>
    <w:p w14:paraId="5FCDECB6" w14:textId="60F16C02" w:rsidR="001918CE" w:rsidRDefault="001918CE" w:rsidP="00126B4E">
      <w:pPr>
        <w:rPr>
          <w:lang w:eastAsia="zh-CN"/>
        </w:rPr>
      </w:pPr>
    </w:p>
    <w:p w14:paraId="31D35755" w14:textId="77777777" w:rsidR="00130F2D" w:rsidRDefault="00130F2D" w:rsidP="00126B4E">
      <w:pPr>
        <w:rPr>
          <w:lang w:eastAsia="zh-CN"/>
        </w:rPr>
      </w:pPr>
    </w:p>
    <w:p w14:paraId="79FEFE7F" w14:textId="77777777" w:rsidR="00517767" w:rsidRPr="00126B4E" w:rsidRDefault="00517767" w:rsidP="00126B4E">
      <w:pPr>
        <w:rPr>
          <w:lang w:eastAsia="zh-CN"/>
        </w:rPr>
      </w:pPr>
    </w:p>
    <w:p w14:paraId="46763C0E" w14:textId="77777777" w:rsidR="00380F71" w:rsidRPr="00136215" w:rsidRDefault="00380F71" w:rsidP="006E40EA">
      <w:pPr>
        <w:pStyle w:val="Heading1"/>
        <w:spacing w:before="360"/>
        <w:rPr>
          <w:sz w:val="24"/>
          <w:szCs w:val="24"/>
          <w:lang w:eastAsia="zh-CN"/>
        </w:rPr>
      </w:pPr>
      <w:r w:rsidRPr="00136215">
        <w:rPr>
          <w:sz w:val="24"/>
          <w:szCs w:val="24"/>
          <w:lang w:eastAsia="zh-CN"/>
        </w:rPr>
        <w:t>Socially Responsible Investment (SRI) Report</w:t>
      </w:r>
      <w:bookmarkEnd w:id="23"/>
    </w:p>
    <w:p w14:paraId="40EAD0E8" w14:textId="77777777" w:rsidR="00847C99" w:rsidRDefault="00B8737F" w:rsidP="00136215">
      <w:pPr>
        <w:spacing w:before="180" w:after="0"/>
        <w:rPr>
          <w:sz w:val="20"/>
          <w:szCs w:val="20"/>
          <w:lang w:val="en-US"/>
        </w:rPr>
      </w:pPr>
      <w:r>
        <w:rPr>
          <w:sz w:val="20"/>
          <w:szCs w:val="20"/>
          <w:lang w:val="en-US"/>
        </w:rPr>
        <w:t xml:space="preserve">SRI was a </w:t>
      </w:r>
      <w:r w:rsidR="00E070AD">
        <w:rPr>
          <w:sz w:val="20"/>
          <w:szCs w:val="20"/>
          <w:lang w:val="en-US"/>
        </w:rPr>
        <w:t xml:space="preserve">major </w:t>
      </w:r>
      <w:r>
        <w:rPr>
          <w:sz w:val="20"/>
          <w:szCs w:val="20"/>
          <w:lang w:val="en-US"/>
        </w:rPr>
        <w:t xml:space="preserve">point of focus during this semester, with some significant changes </w:t>
      </w:r>
      <w:r w:rsidR="00E070AD">
        <w:rPr>
          <w:sz w:val="20"/>
          <w:szCs w:val="20"/>
          <w:lang w:val="en-US"/>
        </w:rPr>
        <w:t xml:space="preserve">being </w:t>
      </w:r>
      <w:r>
        <w:rPr>
          <w:sz w:val="20"/>
          <w:szCs w:val="20"/>
          <w:lang w:val="en-US"/>
        </w:rPr>
        <w:t xml:space="preserve">made to how the ANU SRI policy is to be implemented within the SMF looking forward.  To date, </w:t>
      </w:r>
      <w:r w:rsidR="00BB72B3">
        <w:rPr>
          <w:sz w:val="20"/>
          <w:szCs w:val="20"/>
          <w:lang w:val="en-US"/>
        </w:rPr>
        <w:t xml:space="preserve">SRI compliance for the SMF </w:t>
      </w:r>
      <w:r w:rsidR="009C0ADD">
        <w:rPr>
          <w:sz w:val="20"/>
          <w:szCs w:val="20"/>
          <w:lang w:val="en-US"/>
        </w:rPr>
        <w:t xml:space="preserve">has </w:t>
      </w:r>
      <w:r w:rsidR="009D078D">
        <w:rPr>
          <w:sz w:val="20"/>
          <w:szCs w:val="20"/>
          <w:lang w:val="en-US"/>
        </w:rPr>
        <w:t>been drawn from</w:t>
      </w:r>
      <w:r w:rsidR="00E070AD">
        <w:rPr>
          <w:sz w:val="20"/>
          <w:szCs w:val="20"/>
          <w:lang w:val="en-US"/>
        </w:rPr>
        <w:t xml:space="preserve"> the </w:t>
      </w:r>
      <w:proofErr w:type="gramStart"/>
      <w:r w:rsidR="00E070AD">
        <w:rPr>
          <w:sz w:val="20"/>
          <w:szCs w:val="20"/>
          <w:lang w:val="en-US"/>
        </w:rPr>
        <w:t>manner in which</w:t>
      </w:r>
      <w:proofErr w:type="gramEnd"/>
      <w:r w:rsidR="00E070AD">
        <w:rPr>
          <w:sz w:val="20"/>
          <w:szCs w:val="20"/>
          <w:lang w:val="en-US"/>
        </w:rPr>
        <w:t xml:space="preserve"> the ANU SRI policy is being applied</w:t>
      </w:r>
      <w:r w:rsidR="00AE008F">
        <w:rPr>
          <w:sz w:val="20"/>
          <w:szCs w:val="20"/>
          <w:lang w:val="en-US"/>
        </w:rPr>
        <w:t xml:space="preserve"> within the </w:t>
      </w:r>
      <w:r w:rsidR="00EE2652">
        <w:rPr>
          <w:sz w:val="20"/>
          <w:szCs w:val="20"/>
          <w:lang w:val="en-US"/>
        </w:rPr>
        <w:t xml:space="preserve">Australian equities portfolio </w:t>
      </w:r>
      <w:r w:rsidR="00E070AD">
        <w:rPr>
          <w:sz w:val="20"/>
          <w:szCs w:val="20"/>
          <w:lang w:val="en-US"/>
        </w:rPr>
        <w:t>of</w:t>
      </w:r>
      <w:r w:rsidR="00CE1A20">
        <w:rPr>
          <w:sz w:val="20"/>
          <w:szCs w:val="20"/>
          <w:lang w:val="en-US"/>
        </w:rPr>
        <w:t xml:space="preserve"> </w:t>
      </w:r>
      <w:r w:rsidR="00E070AD">
        <w:rPr>
          <w:sz w:val="20"/>
          <w:szCs w:val="20"/>
          <w:lang w:val="en-US"/>
        </w:rPr>
        <w:t xml:space="preserve">the </w:t>
      </w:r>
      <w:proofErr w:type="spellStart"/>
      <w:r w:rsidR="00AE008F" w:rsidRPr="006771EF">
        <w:rPr>
          <w:sz w:val="20"/>
          <w:szCs w:val="20"/>
          <w:lang w:val="en-US"/>
        </w:rPr>
        <w:t>ANU</w:t>
      </w:r>
      <w:r w:rsidR="00EE2652">
        <w:rPr>
          <w:sz w:val="20"/>
          <w:szCs w:val="20"/>
          <w:lang w:val="en-US"/>
        </w:rPr>
        <w:t>’s</w:t>
      </w:r>
      <w:proofErr w:type="spellEnd"/>
      <w:r w:rsidR="00AE008F" w:rsidRPr="006771EF">
        <w:rPr>
          <w:sz w:val="20"/>
          <w:szCs w:val="20"/>
          <w:lang w:val="en-US"/>
        </w:rPr>
        <w:t xml:space="preserve"> </w:t>
      </w:r>
      <w:r w:rsidR="00AE008F">
        <w:rPr>
          <w:sz w:val="20"/>
          <w:szCs w:val="20"/>
          <w:lang w:val="en-US"/>
        </w:rPr>
        <w:t>Long-Term Investment Portfolio (</w:t>
      </w:r>
      <w:proofErr w:type="spellStart"/>
      <w:r w:rsidR="00AE008F" w:rsidRPr="006771EF">
        <w:rPr>
          <w:sz w:val="20"/>
          <w:szCs w:val="20"/>
          <w:lang w:val="en-US"/>
        </w:rPr>
        <w:t>LTIP</w:t>
      </w:r>
      <w:proofErr w:type="spellEnd"/>
      <w:r w:rsidR="00AE008F">
        <w:rPr>
          <w:sz w:val="20"/>
          <w:szCs w:val="20"/>
          <w:lang w:val="en-US"/>
        </w:rPr>
        <w:t>)</w:t>
      </w:r>
      <w:r w:rsidR="00AE008F" w:rsidRPr="006771EF">
        <w:rPr>
          <w:sz w:val="20"/>
          <w:szCs w:val="20"/>
          <w:lang w:val="en-US"/>
        </w:rPr>
        <w:t>.</w:t>
      </w:r>
      <w:r w:rsidR="00373B5C">
        <w:rPr>
          <w:sz w:val="20"/>
          <w:szCs w:val="20"/>
          <w:lang w:val="en-US"/>
        </w:rPr>
        <w:t xml:space="preserve"> </w:t>
      </w:r>
      <w:r w:rsidR="00333E10">
        <w:rPr>
          <w:sz w:val="20"/>
          <w:szCs w:val="20"/>
          <w:lang w:val="en-US"/>
        </w:rPr>
        <w:t xml:space="preserve">This </w:t>
      </w:r>
      <w:r w:rsidR="009D078D">
        <w:rPr>
          <w:sz w:val="20"/>
          <w:szCs w:val="20"/>
          <w:lang w:val="en-US"/>
        </w:rPr>
        <w:t>requires</w:t>
      </w:r>
      <w:r w:rsidR="00E070AD">
        <w:rPr>
          <w:sz w:val="20"/>
          <w:szCs w:val="20"/>
          <w:lang w:val="en-US"/>
        </w:rPr>
        <w:t xml:space="preserve"> the </w:t>
      </w:r>
      <w:proofErr w:type="spellStart"/>
      <w:r w:rsidR="00E070AD">
        <w:rPr>
          <w:sz w:val="20"/>
          <w:szCs w:val="20"/>
          <w:lang w:val="en-US"/>
        </w:rPr>
        <w:t>ANU’s</w:t>
      </w:r>
      <w:proofErr w:type="spellEnd"/>
      <w:r w:rsidR="00E070AD">
        <w:rPr>
          <w:sz w:val="20"/>
          <w:szCs w:val="20"/>
          <w:lang w:val="en-US"/>
        </w:rPr>
        <w:t xml:space="preserve"> (enhanced index) Australian equity manager </w:t>
      </w:r>
      <w:r w:rsidR="009D078D">
        <w:rPr>
          <w:sz w:val="20"/>
          <w:szCs w:val="20"/>
          <w:lang w:val="en-US"/>
        </w:rPr>
        <w:t>to</w:t>
      </w:r>
      <w:r w:rsidR="00E27876">
        <w:rPr>
          <w:sz w:val="20"/>
          <w:szCs w:val="20"/>
          <w:lang w:val="en-US"/>
        </w:rPr>
        <w:t xml:space="preserve"> comply with three </w:t>
      </w:r>
      <w:r w:rsidR="00552EF9">
        <w:rPr>
          <w:sz w:val="20"/>
          <w:szCs w:val="20"/>
          <w:lang w:val="en-US"/>
        </w:rPr>
        <w:t xml:space="preserve">main conditions: </w:t>
      </w:r>
    </w:p>
    <w:p w14:paraId="0B5D3CBC" w14:textId="77777777" w:rsidR="00380F71" w:rsidRPr="006771EF" w:rsidRDefault="00380F71" w:rsidP="003A4744">
      <w:pPr>
        <w:pStyle w:val="NormalWeb"/>
        <w:numPr>
          <w:ilvl w:val="0"/>
          <w:numId w:val="34"/>
        </w:numPr>
        <w:spacing w:before="180" w:beforeAutospacing="0" w:after="0" w:afterAutospacing="0" w:line="252" w:lineRule="auto"/>
        <w:ind w:left="274" w:hanging="274"/>
        <w:rPr>
          <w:rFonts w:eastAsiaTheme="minorHAnsi"/>
          <w:sz w:val="20"/>
          <w:szCs w:val="20"/>
          <w:lang w:val="en-US" w:eastAsia="en-US"/>
        </w:rPr>
      </w:pPr>
      <w:r w:rsidRPr="006771EF">
        <w:rPr>
          <w:rFonts w:eastAsiaTheme="minorHAnsi"/>
          <w:sz w:val="20"/>
          <w:szCs w:val="20"/>
          <w:lang w:val="en-US" w:eastAsia="en-US"/>
        </w:rPr>
        <w:t>Exclude com</w:t>
      </w:r>
      <w:r w:rsidR="00207A31">
        <w:rPr>
          <w:rFonts w:eastAsiaTheme="minorHAnsi"/>
          <w:sz w:val="20"/>
          <w:szCs w:val="20"/>
          <w:lang w:val="en-US" w:eastAsia="en-US"/>
        </w:rPr>
        <w:t>panies that derive more than 20</w:t>
      </w:r>
      <w:r w:rsidR="00DA0F9D">
        <w:rPr>
          <w:rFonts w:eastAsiaTheme="minorHAnsi"/>
          <w:sz w:val="20"/>
          <w:szCs w:val="20"/>
          <w:lang w:val="en-US" w:eastAsia="en-US"/>
        </w:rPr>
        <w:t>%</w:t>
      </w:r>
      <w:r w:rsidRPr="006771EF">
        <w:rPr>
          <w:rFonts w:eastAsiaTheme="minorHAnsi"/>
          <w:sz w:val="20"/>
          <w:szCs w:val="20"/>
          <w:lang w:val="en-US" w:eastAsia="en-US"/>
        </w:rPr>
        <w:t xml:space="preserve"> of revenues from coal, gambling, tobacco or pornography.</w:t>
      </w:r>
    </w:p>
    <w:p w14:paraId="12EFB3B8" w14:textId="77777777" w:rsidR="00380F71" w:rsidRPr="006771EF" w:rsidRDefault="00380F71" w:rsidP="003A4744">
      <w:pPr>
        <w:pStyle w:val="NormalWeb"/>
        <w:numPr>
          <w:ilvl w:val="0"/>
          <w:numId w:val="34"/>
        </w:numPr>
        <w:spacing w:before="0" w:beforeAutospacing="0" w:after="0" w:afterAutospacing="0" w:line="252" w:lineRule="auto"/>
        <w:ind w:left="270" w:hanging="270"/>
        <w:rPr>
          <w:rFonts w:eastAsiaTheme="minorHAnsi"/>
          <w:sz w:val="20"/>
          <w:szCs w:val="20"/>
          <w:lang w:val="en-US" w:eastAsia="en-US"/>
        </w:rPr>
      </w:pPr>
      <w:r w:rsidRPr="006771EF">
        <w:rPr>
          <w:rFonts w:eastAsiaTheme="minorHAnsi"/>
          <w:sz w:val="20"/>
          <w:szCs w:val="20"/>
          <w:lang w:val="en-US" w:eastAsia="en-US"/>
        </w:rPr>
        <w:t>Hold a portfolio with 25% less carbon intensity than the S&amp;P/</w:t>
      </w:r>
      <w:proofErr w:type="spellStart"/>
      <w:r w:rsidRPr="006771EF">
        <w:rPr>
          <w:rFonts w:eastAsiaTheme="minorHAnsi"/>
          <w:sz w:val="20"/>
          <w:szCs w:val="20"/>
          <w:lang w:val="en-US" w:eastAsia="en-US"/>
        </w:rPr>
        <w:t>ASX</w:t>
      </w:r>
      <w:proofErr w:type="spellEnd"/>
      <w:r w:rsidRPr="006771EF">
        <w:rPr>
          <w:rFonts w:eastAsiaTheme="minorHAnsi"/>
          <w:sz w:val="20"/>
          <w:szCs w:val="20"/>
          <w:lang w:val="en-US" w:eastAsia="en-US"/>
        </w:rPr>
        <w:t xml:space="preserve"> 200.</w:t>
      </w:r>
    </w:p>
    <w:p w14:paraId="10CE4EE5" w14:textId="77777777" w:rsidR="00380F71" w:rsidRPr="006771EF" w:rsidRDefault="00380F71" w:rsidP="003A4744">
      <w:pPr>
        <w:pStyle w:val="NormalWeb"/>
        <w:numPr>
          <w:ilvl w:val="0"/>
          <w:numId w:val="34"/>
        </w:numPr>
        <w:spacing w:before="0" w:beforeAutospacing="0" w:after="0" w:afterAutospacing="0" w:line="252" w:lineRule="auto"/>
        <w:ind w:left="270" w:hanging="270"/>
        <w:rPr>
          <w:rFonts w:eastAsiaTheme="minorHAnsi"/>
          <w:sz w:val="20"/>
          <w:szCs w:val="20"/>
          <w:lang w:val="en-US" w:eastAsia="en-US"/>
        </w:rPr>
      </w:pPr>
      <w:r w:rsidRPr="006771EF">
        <w:rPr>
          <w:rFonts w:eastAsiaTheme="minorHAnsi"/>
          <w:sz w:val="20"/>
          <w:szCs w:val="20"/>
          <w:lang w:val="en-US" w:eastAsia="en-US"/>
        </w:rPr>
        <w:t>Ensure that the portfolio demonstrates a 10</w:t>
      </w:r>
      <w:r w:rsidR="00DA0F9D">
        <w:rPr>
          <w:rFonts w:eastAsiaTheme="minorHAnsi"/>
          <w:sz w:val="20"/>
          <w:szCs w:val="20"/>
          <w:lang w:val="en-US" w:eastAsia="en-US"/>
        </w:rPr>
        <w:t>%</w:t>
      </w:r>
      <w:r w:rsidRPr="006771EF">
        <w:rPr>
          <w:rFonts w:eastAsiaTheme="minorHAnsi"/>
          <w:sz w:val="20"/>
          <w:szCs w:val="20"/>
          <w:lang w:val="en-US" w:eastAsia="en-US"/>
        </w:rPr>
        <w:t xml:space="preserve"> improvement in the overall </w:t>
      </w:r>
      <w:proofErr w:type="spellStart"/>
      <w:r w:rsidRPr="006771EF">
        <w:rPr>
          <w:rFonts w:eastAsiaTheme="minorHAnsi"/>
          <w:sz w:val="20"/>
          <w:szCs w:val="20"/>
          <w:lang w:val="en-US" w:eastAsia="en-US"/>
        </w:rPr>
        <w:t>ESG</w:t>
      </w:r>
      <w:proofErr w:type="spellEnd"/>
      <w:r w:rsidR="009D2BB3">
        <w:rPr>
          <w:rFonts w:eastAsiaTheme="minorHAnsi"/>
          <w:sz w:val="20"/>
          <w:szCs w:val="20"/>
          <w:lang w:val="en-US" w:eastAsia="en-US"/>
        </w:rPr>
        <w:t xml:space="preserve"> </w:t>
      </w:r>
      <w:r w:rsidRPr="006771EF">
        <w:rPr>
          <w:rFonts w:eastAsiaTheme="minorHAnsi"/>
          <w:sz w:val="20"/>
          <w:szCs w:val="20"/>
          <w:lang w:val="en-US" w:eastAsia="en-US"/>
        </w:rPr>
        <w:t>rating relative to the benchmark.</w:t>
      </w:r>
    </w:p>
    <w:p w14:paraId="55B571BE" w14:textId="77777777" w:rsidR="00380F71" w:rsidRPr="006771EF" w:rsidRDefault="00E070AD" w:rsidP="00136215">
      <w:pPr>
        <w:spacing w:before="180" w:after="0"/>
        <w:rPr>
          <w:sz w:val="20"/>
          <w:szCs w:val="20"/>
          <w:lang w:val="en-US"/>
        </w:rPr>
      </w:pPr>
      <w:r>
        <w:rPr>
          <w:sz w:val="20"/>
          <w:szCs w:val="20"/>
          <w:lang w:val="en-US"/>
        </w:rPr>
        <w:t xml:space="preserve">The SMF has been aiming to ensure that the active stock positions within the </w:t>
      </w:r>
      <w:proofErr w:type="spellStart"/>
      <w:r>
        <w:rPr>
          <w:sz w:val="20"/>
          <w:szCs w:val="20"/>
          <w:lang w:val="en-US"/>
        </w:rPr>
        <w:t>AAE</w:t>
      </w:r>
      <w:proofErr w:type="spellEnd"/>
      <w:r>
        <w:rPr>
          <w:sz w:val="20"/>
          <w:szCs w:val="20"/>
          <w:lang w:val="en-US"/>
        </w:rPr>
        <w:t xml:space="preserve"> portfolio also comply with these conditions. </w:t>
      </w:r>
      <w:r w:rsidR="00B31A3B">
        <w:rPr>
          <w:sz w:val="20"/>
          <w:szCs w:val="20"/>
          <w:lang w:val="en-US"/>
        </w:rPr>
        <w:t>Figure 6</w:t>
      </w:r>
      <w:r w:rsidR="00380F71" w:rsidRPr="006771EF">
        <w:rPr>
          <w:sz w:val="20"/>
          <w:szCs w:val="20"/>
          <w:lang w:val="en-US"/>
        </w:rPr>
        <w:t xml:space="preserve"> </w:t>
      </w:r>
      <w:r w:rsidR="00CE4F72">
        <w:rPr>
          <w:sz w:val="20"/>
          <w:szCs w:val="20"/>
          <w:lang w:val="en-US"/>
        </w:rPr>
        <w:t xml:space="preserve">displays the </w:t>
      </w:r>
      <w:proofErr w:type="spellStart"/>
      <w:r w:rsidR="00CE4F72">
        <w:rPr>
          <w:sz w:val="20"/>
          <w:szCs w:val="20"/>
          <w:lang w:val="en-US"/>
        </w:rPr>
        <w:t>AAE</w:t>
      </w:r>
      <w:proofErr w:type="spellEnd"/>
      <w:r w:rsidR="00860545">
        <w:rPr>
          <w:sz w:val="20"/>
          <w:szCs w:val="20"/>
          <w:lang w:val="en-US"/>
        </w:rPr>
        <w:t xml:space="preserve"> portfolio as at 31</w:t>
      </w:r>
      <w:r w:rsidR="009A2BF2" w:rsidRPr="006771EF">
        <w:rPr>
          <w:sz w:val="20"/>
          <w:szCs w:val="20"/>
          <w:lang w:val="en-US"/>
        </w:rPr>
        <w:t xml:space="preserve"> </w:t>
      </w:r>
      <w:r w:rsidR="00860545">
        <w:rPr>
          <w:sz w:val="20"/>
          <w:szCs w:val="20"/>
          <w:lang w:val="en-US"/>
        </w:rPr>
        <w:t>August</w:t>
      </w:r>
      <w:r w:rsidR="009A2BF2" w:rsidRPr="006771EF">
        <w:rPr>
          <w:sz w:val="20"/>
          <w:szCs w:val="20"/>
          <w:lang w:val="en-US"/>
        </w:rPr>
        <w:t xml:space="preserve"> 2018</w:t>
      </w:r>
      <w:r w:rsidR="00380F71" w:rsidRPr="006771EF">
        <w:rPr>
          <w:sz w:val="20"/>
          <w:szCs w:val="20"/>
          <w:lang w:val="en-US"/>
        </w:rPr>
        <w:t xml:space="preserve">, </w:t>
      </w:r>
      <w:r w:rsidR="00860545">
        <w:rPr>
          <w:sz w:val="20"/>
          <w:szCs w:val="20"/>
          <w:lang w:val="en-US"/>
        </w:rPr>
        <w:t xml:space="preserve">with </w:t>
      </w:r>
      <w:r w:rsidR="000173A9">
        <w:rPr>
          <w:sz w:val="20"/>
          <w:szCs w:val="20"/>
          <w:lang w:val="en-US"/>
        </w:rPr>
        <w:t xml:space="preserve">the relevant </w:t>
      </w:r>
      <w:r w:rsidR="00BF63AC">
        <w:rPr>
          <w:sz w:val="20"/>
          <w:szCs w:val="20"/>
          <w:lang w:val="en-US"/>
        </w:rPr>
        <w:t>c</w:t>
      </w:r>
      <w:r w:rsidR="00207A31">
        <w:rPr>
          <w:sz w:val="20"/>
          <w:szCs w:val="20"/>
          <w:lang w:val="en-US"/>
        </w:rPr>
        <w:t>arbon intensity and</w:t>
      </w:r>
      <w:r w:rsidR="009A2BF2">
        <w:rPr>
          <w:sz w:val="20"/>
          <w:szCs w:val="20"/>
          <w:lang w:val="en-US"/>
        </w:rPr>
        <w:t xml:space="preserve"> </w:t>
      </w:r>
      <w:proofErr w:type="spellStart"/>
      <w:r w:rsidR="00380F71" w:rsidRPr="006771EF">
        <w:rPr>
          <w:sz w:val="20"/>
          <w:szCs w:val="20"/>
          <w:lang w:val="en-US"/>
        </w:rPr>
        <w:t>ESG</w:t>
      </w:r>
      <w:proofErr w:type="spellEnd"/>
      <w:r w:rsidR="00380F71" w:rsidRPr="006771EF">
        <w:rPr>
          <w:sz w:val="20"/>
          <w:szCs w:val="20"/>
          <w:lang w:val="en-US"/>
        </w:rPr>
        <w:t xml:space="preserve"> score</w:t>
      </w:r>
      <w:r w:rsidR="00207A31">
        <w:rPr>
          <w:sz w:val="20"/>
          <w:szCs w:val="20"/>
          <w:lang w:val="en-US"/>
        </w:rPr>
        <w:t xml:space="preserve">s </w:t>
      </w:r>
      <w:r w:rsidR="004E1855">
        <w:rPr>
          <w:sz w:val="20"/>
          <w:szCs w:val="20"/>
          <w:lang w:val="en-US"/>
        </w:rPr>
        <w:t>utilized</w:t>
      </w:r>
      <w:r w:rsidR="00BF63AC">
        <w:rPr>
          <w:sz w:val="20"/>
          <w:szCs w:val="20"/>
          <w:lang w:val="en-US"/>
        </w:rPr>
        <w:t xml:space="preserve"> </w:t>
      </w:r>
      <w:r w:rsidR="00207A31">
        <w:rPr>
          <w:sz w:val="20"/>
          <w:szCs w:val="20"/>
          <w:lang w:val="en-US"/>
        </w:rPr>
        <w:t>for</w:t>
      </w:r>
      <w:r w:rsidR="00BF63AC">
        <w:rPr>
          <w:sz w:val="20"/>
          <w:szCs w:val="20"/>
          <w:lang w:val="en-US"/>
        </w:rPr>
        <w:t xml:space="preserve"> SRI compliance. </w:t>
      </w:r>
      <w:r w:rsidR="00207A31">
        <w:rPr>
          <w:sz w:val="20"/>
          <w:szCs w:val="20"/>
          <w:lang w:val="en-US"/>
        </w:rPr>
        <w:t xml:space="preserve">The carbon intensity scores </w:t>
      </w:r>
      <w:r w:rsidR="00630EC7">
        <w:rPr>
          <w:sz w:val="20"/>
          <w:szCs w:val="20"/>
          <w:lang w:val="en-US"/>
        </w:rPr>
        <w:t xml:space="preserve">for both Telstra and Rio Tinto </w:t>
      </w:r>
      <w:r w:rsidR="00207A31">
        <w:rPr>
          <w:sz w:val="20"/>
          <w:szCs w:val="20"/>
          <w:lang w:val="en-US"/>
        </w:rPr>
        <w:t>a</w:t>
      </w:r>
      <w:r w:rsidR="00207A31" w:rsidRPr="006771EF">
        <w:rPr>
          <w:sz w:val="20"/>
          <w:szCs w:val="20"/>
          <w:lang w:val="en-US"/>
        </w:rPr>
        <w:t>re retrieved from Bloomberg</w:t>
      </w:r>
      <w:r w:rsidR="00207A31">
        <w:rPr>
          <w:sz w:val="20"/>
          <w:szCs w:val="20"/>
          <w:lang w:val="en-US"/>
        </w:rPr>
        <w:t>. T</w:t>
      </w:r>
      <w:r w:rsidR="00207A31" w:rsidRPr="006771EF">
        <w:rPr>
          <w:sz w:val="20"/>
          <w:szCs w:val="20"/>
          <w:lang w:val="en-US"/>
        </w:rPr>
        <w:t>hey are calculated based on the annual carbon emission (in tonnes) pe</w:t>
      </w:r>
      <w:r w:rsidR="00207A31">
        <w:rPr>
          <w:sz w:val="20"/>
          <w:szCs w:val="20"/>
          <w:lang w:val="en-US"/>
        </w:rPr>
        <w:t>r $1 million of revenue earned.</w:t>
      </w:r>
      <w:r w:rsidR="00630EC7">
        <w:rPr>
          <w:sz w:val="20"/>
          <w:szCs w:val="20"/>
          <w:lang w:val="en-US"/>
        </w:rPr>
        <w:t xml:space="preserve"> The carbon intensity for the </w:t>
      </w:r>
      <w:r w:rsidR="00E80B45">
        <w:rPr>
          <w:sz w:val="20"/>
          <w:szCs w:val="20"/>
          <w:lang w:val="en-US"/>
        </w:rPr>
        <w:t>S&amp;P/</w:t>
      </w:r>
      <w:proofErr w:type="spellStart"/>
      <w:r w:rsidR="0044483F">
        <w:rPr>
          <w:sz w:val="20"/>
          <w:szCs w:val="20"/>
          <w:lang w:val="en-US"/>
        </w:rPr>
        <w:t>ASX200</w:t>
      </w:r>
      <w:proofErr w:type="spellEnd"/>
      <w:r w:rsidR="0044483F">
        <w:rPr>
          <w:sz w:val="20"/>
          <w:szCs w:val="20"/>
          <w:lang w:val="en-US"/>
        </w:rPr>
        <w:t xml:space="preserve"> ETF is sourced from </w:t>
      </w:r>
      <w:r w:rsidR="00771B03">
        <w:rPr>
          <w:sz w:val="20"/>
          <w:szCs w:val="20"/>
          <w:lang w:val="en-US"/>
        </w:rPr>
        <w:t xml:space="preserve">the </w:t>
      </w:r>
      <w:r w:rsidR="00771B03" w:rsidRPr="00771B03">
        <w:rPr>
          <w:sz w:val="20"/>
          <w:szCs w:val="20"/>
          <w:lang w:val="en-US"/>
        </w:rPr>
        <w:t>ANU Socially Responsible Investment Policy 2017 Report</w:t>
      </w:r>
      <w:r w:rsidR="00CE1A20">
        <w:rPr>
          <w:sz w:val="20"/>
          <w:szCs w:val="20"/>
          <w:lang w:val="en-US"/>
        </w:rPr>
        <w:t>,</w:t>
      </w:r>
      <w:r w:rsidR="00771B03">
        <w:rPr>
          <w:sz w:val="20"/>
          <w:szCs w:val="20"/>
          <w:lang w:val="en-US"/>
        </w:rPr>
        <w:t xml:space="preserve"> which </w:t>
      </w:r>
      <w:r w:rsidR="00B31A3B">
        <w:rPr>
          <w:sz w:val="20"/>
          <w:szCs w:val="20"/>
          <w:lang w:val="en-US"/>
        </w:rPr>
        <w:t>was consistent with</w:t>
      </w:r>
      <w:r w:rsidR="00507C3D">
        <w:rPr>
          <w:sz w:val="20"/>
          <w:szCs w:val="20"/>
          <w:lang w:val="en-US"/>
        </w:rPr>
        <w:t xml:space="preserve"> </w:t>
      </w:r>
      <w:r w:rsidR="00771B03">
        <w:rPr>
          <w:sz w:val="20"/>
          <w:szCs w:val="20"/>
          <w:lang w:val="en-US"/>
        </w:rPr>
        <w:t xml:space="preserve">the most recent data available. </w:t>
      </w:r>
      <w:r w:rsidR="00380F71" w:rsidRPr="006771EF">
        <w:rPr>
          <w:sz w:val="20"/>
          <w:szCs w:val="20"/>
          <w:lang w:val="en-US"/>
        </w:rPr>
        <w:t xml:space="preserve">The </w:t>
      </w:r>
      <w:proofErr w:type="spellStart"/>
      <w:r w:rsidR="00380F71" w:rsidRPr="006771EF">
        <w:rPr>
          <w:sz w:val="20"/>
          <w:szCs w:val="20"/>
          <w:lang w:val="en-US"/>
        </w:rPr>
        <w:t>ESG</w:t>
      </w:r>
      <w:proofErr w:type="spellEnd"/>
      <w:r w:rsidR="00380F71" w:rsidRPr="006771EF">
        <w:rPr>
          <w:sz w:val="20"/>
          <w:szCs w:val="20"/>
          <w:lang w:val="en-US"/>
        </w:rPr>
        <w:t xml:space="preserve"> scores </w:t>
      </w:r>
      <w:r w:rsidR="00207A31">
        <w:rPr>
          <w:sz w:val="20"/>
          <w:szCs w:val="20"/>
          <w:lang w:val="en-US"/>
        </w:rPr>
        <w:t xml:space="preserve">are based on </w:t>
      </w:r>
      <w:r w:rsidR="00380F71" w:rsidRPr="006771EF">
        <w:rPr>
          <w:sz w:val="20"/>
          <w:szCs w:val="20"/>
          <w:lang w:val="en-US"/>
        </w:rPr>
        <w:t xml:space="preserve">analysis performed by </w:t>
      </w:r>
      <w:proofErr w:type="spellStart"/>
      <w:r w:rsidR="00380F71" w:rsidRPr="006771EF">
        <w:rPr>
          <w:sz w:val="20"/>
          <w:szCs w:val="20"/>
          <w:lang w:val="en-US"/>
        </w:rPr>
        <w:t>Sustainalytics</w:t>
      </w:r>
      <w:proofErr w:type="spellEnd"/>
      <w:r w:rsidR="00CE1A20">
        <w:rPr>
          <w:sz w:val="20"/>
          <w:szCs w:val="20"/>
          <w:lang w:val="en-US"/>
        </w:rPr>
        <w:t>,</w:t>
      </w:r>
      <w:r w:rsidR="000C3D55">
        <w:rPr>
          <w:sz w:val="20"/>
          <w:szCs w:val="20"/>
          <w:lang w:val="en-US"/>
        </w:rPr>
        <w:t xml:space="preserve"> </w:t>
      </w:r>
      <w:r w:rsidR="001E36A9">
        <w:rPr>
          <w:sz w:val="20"/>
          <w:szCs w:val="20"/>
          <w:lang w:val="en-US"/>
        </w:rPr>
        <w:t xml:space="preserve">which remains unchanged from the data presented in the SMF’s </w:t>
      </w:r>
      <w:r w:rsidR="00B31A3B">
        <w:rPr>
          <w:sz w:val="20"/>
          <w:szCs w:val="20"/>
          <w:lang w:val="en-US"/>
        </w:rPr>
        <w:t>End-</w:t>
      </w:r>
      <w:r w:rsidR="003715AF">
        <w:rPr>
          <w:sz w:val="20"/>
          <w:szCs w:val="20"/>
          <w:lang w:val="en-US"/>
        </w:rPr>
        <w:t>S</w:t>
      </w:r>
      <w:r w:rsidR="009B135E">
        <w:rPr>
          <w:sz w:val="20"/>
          <w:szCs w:val="20"/>
          <w:lang w:val="en-US"/>
        </w:rPr>
        <w:t>e</w:t>
      </w:r>
      <w:r w:rsidR="003715AF">
        <w:rPr>
          <w:sz w:val="20"/>
          <w:szCs w:val="20"/>
          <w:lang w:val="en-US"/>
        </w:rPr>
        <w:t>mester 1</w:t>
      </w:r>
      <w:r w:rsidR="00B31A3B">
        <w:rPr>
          <w:sz w:val="20"/>
          <w:szCs w:val="20"/>
          <w:lang w:val="en-US"/>
        </w:rPr>
        <w:t>, 2018 r</w:t>
      </w:r>
      <w:r w:rsidR="009B135E">
        <w:rPr>
          <w:sz w:val="20"/>
          <w:szCs w:val="20"/>
          <w:lang w:val="en-US"/>
        </w:rPr>
        <w:t xml:space="preserve">eport. </w:t>
      </w:r>
    </w:p>
    <w:p w14:paraId="2CD97BF6" w14:textId="77777777" w:rsidR="00380F71" w:rsidRPr="007F06F5" w:rsidRDefault="00B31A3B" w:rsidP="00207A31">
      <w:pPr>
        <w:pStyle w:val="TableFigure"/>
        <w:spacing w:before="240" w:after="80"/>
        <w:jc w:val="left"/>
        <w:rPr>
          <w:sz w:val="20"/>
          <w:szCs w:val="20"/>
          <w:lang w:val="en-US"/>
        </w:rPr>
      </w:pPr>
      <w:r>
        <w:rPr>
          <w:sz w:val="20"/>
          <w:szCs w:val="20"/>
          <w:lang w:val="en-US"/>
        </w:rPr>
        <w:t>Figure 6</w:t>
      </w:r>
      <w:r w:rsidR="00BF3830" w:rsidRPr="007F06F5">
        <w:rPr>
          <w:sz w:val="20"/>
          <w:szCs w:val="20"/>
          <w:lang w:val="en-US"/>
        </w:rPr>
        <w:t>: C</w:t>
      </w:r>
      <w:r w:rsidR="00207A31">
        <w:rPr>
          <w:sz w:val="20"/>
          <w:szCs w:val="20"/>
          <w:lang w:val="en-US"/>
        </w:rPr>
        <w:t>urrent P</w:t>
      </w:r>
      <w:r w:rsidR="00380F71" w:rsidRPr="007F06F5">
        <w:rPr>
          <w:sz w:val="20"/>
          <w:szCs w:val="20"/>
          <w:lang w:val="en-US"/>
        </w:rPr>
        <w:t xml:space="preserve">osition of the </w:t>
      </w:r>
      <w:proofErr w:type="spellStart"/>
      <w:r w:rsidR="00380F71" w:rsidRPr="007F06F5">
        <w:rPr>
          <w:sz w:val="20"/>
          <w:szCs w:val="20"/>
          <w:lang w:val="en-US"/>
        </w:rPr>
        <w:t>AAE</w:t>
      </w:r>
      <w:proofErr w:type="spellEnd"/>
      <w:r w:rsidR="00380F71" w:rsidRPr="007F06F5">
        <w:rPr>
          <w:sz w:val="20"/>
          <w:szCs w:val="20"/>
          <w:lang w:val="en-US"/>
        </w:rPr>
        <w:t xml:space="preserve"> </w:t>
      </w:r>
      <w:r w:rsidR="00207A31">
        <w:rPr>
          <w:sz w:val="20"/>
          <w:szCs w:val="20"/>
          <w:lang w:val="en-US"/>
        </w:rPr>
        <w:t>C</w:t>
      </w:r>
      <w:r w:rsidR="00380F71" w:rsidRPr="007F06F5">
        <w:rPr>
          <w:sz w:val="20"/>
          <w:szCs w:val="20"/>
          <w:lang w:val="en-US"/>
        </w:rPr>
        <w:t xml:space="preserve">omponent </w:t>
      </w:r>
      <w:proofErr w:type="gramStart"/>
      <w:r w:rsidR="00207A31">
        <w:rPr>
          <w:sz w:val="20"/>
          <w:szCs w:val="20"/>
          <w:lang w:val="en-US"/>
        </w:rPr>
        <w:t>in regard to</w:t>
      </w:r>
      <w:proofErr w:type="gramEnd"/>
      <w:r w:rsidR="00207A31">
        <w:rPr>
          <w:sz w:val="20"/>
          <w:szCs w:val="20"/>
          <w:lang w:val="en-US"/>
        </w:rPr>
        <w:t xml:space="preserve"> SRI C</w:t>
      </w:r>
      <w:r w:rsidR="00380F71" w:rsidRPr="007F06F5">
        <w:rPr>
          <w:sz w:val="20"/>
          <w:szCs w:val="20"/>
          <w:lang w:val="en-US"/>
        </w:rPr>
        <w:t>ompliance</w:t>
      </w:r>
    </w:p>
    <w:tbl>
      <w:tblPr>
        <w:tblStyle w:val="TableGrid"/>
        <w:tblW w:w="9535" w:type="dxa"/>
        <w:tblLook w:val="04A0" w:firstRow="1" w:lastRow="0" w:firstColumn="1" w:lastColumn="0" w:noHBand="0" w:noVBand="1"/>
      </w:tblPr>
      <w:tblGrid>
        <w:gridCol w:w="2515"/>
        <w:gridCol w:w="1250"/>
        <w:gridCol w:w="1000"/>
        <w:gridCol w:w="1080"/>
        <w:gridCol w:w="1522"/>
        <w:gridCol w:w="2168"/>
      </w:tblGrid>
      <w:tr w:rsidR="00380F71" w:rsidRPr="006771EF" w14:paraId="63D08BB2" w14:textId="77777777">
        <w:trPr>
          <w:trHeight w:val="656"/>
        </w:trPr>
        <w:tc>
          <w:tcPr>
            <w:tcW w:w="2515" w:type="dxa"/>
          </w:tcPr>
          <w:p w14:paraId="2E756276" w14:textId="77777777" w:rsidR="00380F71" w:rsidRPr="006771EF" w:rsidRDefault="00380F71" w:rsidP="003439A1">
            <w:pPr>
              <w:rPr>
                <w:sz w:val="20"/>
                <w:szCs w:val="20"/>
                <w:lang w:val="en-US"/>
              </w:rPr>
            </w:pPr>
          </w:p>
        </w:tc>
        <w:tc>
          <w:tcPr>
            <w:tcW w:w="1250" w:type="dxa"/>
          </w:tcPr>
          <w:p w14:paraId="684F1764" w14:textId="77777777" w:rsidR="00380F71" w:rsidRPr="00207A31" w:rsidRDefault="00380F71" w:rsidP="00207A31">
            <w:pPr>
              <w:spacing w:before="60"/>
              <w:jc w:val="center"/>
              <w:rPr>
                <w:b/>
                <w:sz w:val="20"/>
                <w:szCs w:val="20"/>
                <w:lang w:val="en-US"/>
              </w:rPr>
            </w:pPr>
            <w:proofErr w:type="spellStart"/>
            <w:r w:rsidRPr="00207A31">
              <w:rPr>
                <w:b/>
                <w:sz w:val="20"/>
                <w:szCs w:val="20"/>
                <w:lang w:val="en-US"/>
              </w:rPr>
              <w:t>ASX200</w:t>
            </w:r>
            <w:proofErr w:type="spellEnd"/>
            <w:r w:rsidRPr="00207A31">
              <w:rPr>
                <w:b/>
                <w:sz w:val="20"/>
                <w:szCs w:val="20"/>
                <w:lang w:val="en-US"/>
              </w:rPr>
              <w:t xml:space="preserve"> ETF</w:t>
            </w:r>
          </w:p>
        </w:tc>
        <w:tc>
          <w:tcPr>
            <w:tcW w:w="1000" w:type="dxa"/>
          </w:tcPr>
          <w:p w14:paraId="3D413EF4" w14:textId="77777777" w:rsidR="00380F71" w:rsidRPr="00207A31" w:rsidRDefault="00380F71" w:rsidP="00207A31">
            <w:pPr>
              <w:spacing w:before="60"/>
              <w:jc w:val="center"/>
              <w:rPr>
                <w:b/>
                <w:sz w:val="20"/>
                <w:szCs w:val="20"/>
                <w:lang w:val="en-US"/>
              </w:rPr>
            </w:pPr>
            <w:r w:rsidRPr="00207A31">
              <w:rPr>
                <w:b/>
                <w:sz w:val="20"/>
                <w:szCs w:val="20"/>
                <w:lang w:val="en-US"/>
              </w:rPr>
              <w:t>Telstra (TLS)</w:t>
            </w:r>
          </w:p>
        </w:tc>
        <w:tc>
          <w:tcPr>
            <w:tcW w:w="1080" w:type="dxa"/>
          </w:tcPr>
          <w:p w14:paraId="0B18F880" w14:textId="77777777" w:rsidR="00380F71" w:rsidRPr="00207A31" w:rsidRDefault="00380F71" w:rsidP="00207A31">
            <w:pPr>
              <w:spacing w:before="60"/>
              <w:jc w:val="center"/>
              <w:rPr>
                <w:b/>
                <w:sz w:val="20"/>
                <w:szCs w:val="20"/>
                <w:lang w:val="en-US"/>
              </w:rPr>
            </w:pPr>
            <w:r w:rsidRPr="00207A31">
              <w:rPr>
                <w:b/>
                <w:sz w:val="20"/>
                <w:szCs w:val="20"/>
                <w:lang w:val="en-US"/>
              </w:rPr>
              <w:t>Rio Tinto (RIO)</w:t>
            </w:r>
          </w:p>
        </w:tc>
        <w:tc>
          <w:tcPr>
            <w:tcW w:w="1522" w:type="dxa"/>
          </w:tcPr>
          <w:p w14:paraId="58020284" w14:textId="77777777" w:rsidR="00380F71" w:rsidRPr="00207A31" w:rsidRDefault="00744F4F" w:rsidP="00207A31">
            <w:pPr>
              <w:spacing w:before="60"/>
              <w:jc w:val="center"/>
              <w:rPr>
                <w:b/>
                <w:sz w:val="20"/>
                <w:szCs w:val="20"/>
                <w:lang w:val="en-US"/>
              </w:rPr>
            </w:pPr>
            <w:r w:rsidRPr="00207A31">
              <w:rPr>
                <w:b/>
                <w:sz w:val="20"/>
                <w:szCs w:val="20"/>
                <w:lang w:val="en-US"/>
              </w:rPr>
              <w:t>Total Active Stock Positions</w:t>
            </w:r>
          </w:p>
        </w:tc>
        <w:tc>
          <w:tcPr>
            <w:tcW w:w="2168" w:type="dxa"/>
          </w:tcPr>
          <w:p w14:paraId="60276EBF" w14:textId="77777777" w:rsidR="00380F71" w:rsidRPr="00207A31" w:rsidRDefault="00380F71" w:rsidP="00207A31">
            <w:pPr>
              <w:spacing w:before="60" w:after="60"/>
              <w:jc w:val="center"/>
              <w:rPr>
                <w:b/>
                <w:sz w:val="20"/>
                <w:szCs w:val="20"/>
                <w:lang w:val="en-US"/>
              </w:rPr>
            </w:pPr>
            <w:r w:rsidRPr="00207A31">
              <w:rPr>
                <w:b/>
                <w:sz w:val="20"/>
                <w:szCs w:val="20"/>
                <w:lang w:val="en-US"/>
              </w:rPr>
              <w:t>A</w:t>
            </w:r>
            <w:r w:rsidR="00DC2C08" w:rsidRPr="00207A31">
              <w:rPr>
                <w:b/>
                <w:sz w:val="20"/>
                <w:szCs w:val="20"/>
                <w:lang w:val="en-US"/>
              </w:rPr>
              <w:t xml:space="preserve">ctive Stock Positions </w:t>
            </w:r>
            <w:r w:rsidRPr="00207A31">
              <w:rPr>
                <w:b/>
                <w:sz w:val="20"/>
                <w:szCs w:val="20"/>
                <w:lang w:val="en-US"/>
              </w:rPr>
              <w:t xml:space="preserve">vs. </w:t>
            </w:r>
            <w:r w:rsidR="00BF3830" w:rsidRPr="00207A31">
              <w:rPr>
                <w:b/>
                <w:sz w:val="20"/>
                <w:szCs w:val="20"/>
                <w:lang w:val="en-US"/>
              </w:rPr>
              <w:t>S&amp;P/</w:t>
            </w:r>
            <w:proofErr w:type="spellStart"/>
            <w:r w:rsidR="00BF3830" w:rsidRPr="00207A31">
              <w:rPr>
                <w:b/>
                <w:sz w:val="20"/>
                <w:szCs w:val="20"/>
                <w:lang w:val="en-US"/>
              </w:rPr>
              <w:t>ASX200</w:t>
            </w:r>
            <w:proofErr w:type="spellEnd"/>
            <w:r w:rsidR="00BF3830" w:rsidRPr="00207A31">
              <w:rPr>
                <w:b/>
                <w:sz w:val="20"/>
                <w:szCs w:val="20"/>
                <w:lang w:val="en-US"/>
              </w:rPr>
              <w:t xml:space="preserve"> (B</w:t>
            </w:r>
            <w:r w:rsidRPr="00207A31">
              <w:rPr>
                <w:b/>
                <w:sz w:val="20"/>
                <w:szCs w:val="20"/>
                <w:lang w:val="en-US"/>
              </w:rPr>
              <w:t>enchmark)</w:t>
            </w:r>
          </w:p>
        </w:tc>
      </w:tr>
      <w:tr w:rsidR="00744F4F" w:rsidRPr="006771EF" w14:paraId="2EA0E1F2" w14:textId="77777777">
        <w:trPr>
          <w:trHeight w:val="287"/>
        </w:trPr>
        <w:tc>
          <w:tcPr>
            <w:tcW w:w="2515" w:type="dxa"/>
          </w:tcPr>
          <w:p w14:paraId="528C2499" w14:textId="77777777" w:rsidR="00744F4F" w:rsidRPr="006771EF" w:rsidRDefault="00744F4F" w:rsidP="00207A31">
            <w:pPr>
              <w:spacing w:before="60" w:after="60"/>
              <w:jc w:val="left"/>
              <w:rPr>
                <w:sz w:val="20"/>
                <w:szCs w:val="20"/>
                <w:lang w:val="en-US"/>
              </w:rPr>
            </w:pPr>
            <w:r w:rsidRPr="006771EF">
              <w:rPr>
                <w:sz w:val="20"/>
                <w:szCs w:val="20"/>
                <w:lang w:val="en-US"/>
              </w:rPr>
              <w:t xml:space="preserve">Weighting in </w:t>
            </w:r>
            <w:proofErr w:type="spellStart"/>
            <w:r w:rsidRPr="006771EF">
              <w:rPr>
                <w:sz w:val="20"/>
                <w:szCs w:val="20"/>
                <w:lang w:val="en-US"/>
              </w:rPr>
              <w:t>AAE</w:t>
            </w:r>
            <w:proofErr w:type="spellEnd"/>
            <w:r w:rsidRPr="006771EF">
              <w:rPr>
                <w:sz w:val="20"/>
                <w:szCs w:val="20"/>
                <w:lang w:val="en-US"/>
              </w:rPr>
              <w:t xml:space="preserve"> portfolio</w:t>
            </w:r>
          </w:p>
        </w:tc>
        <w:tc>
          <w:tcPr>
            <w:tcW w:w="1250" w:type="dxa"/>
          </w:tcPr>
          <w:p w14:paraId="6564E1DD" w14:textId="77777777" w:rsidR="00744F4F" w:rsidRPr="006771EF" w:rsidRDefault="00744F4F" w:rsidP="00207A31">
            <w:pPr>
              <w:spacing w:before="60" w:after="60"/>
              <w:jc w:val="center"/>
              <w:rPr>
                <w:sz w:val="20"/>
                <w:szCs w:val="20"/>
                <w:lang w:val="en-US"/>
              </w:rPr>
            </w:pPr>
            <w:r w:rsidRPr="006771EF">
              <w:rPr>
                <w:sz w:val="20"/>
                <w:szCs w:val="20"/>
                <w:lang w:val="en-US"/>
              </w:rPr>
              <w:t>9</w:t>
            </w:r>
            <w:r w:rsidR="004539F6">
              <w:rPr>
                <w:sz w:val="20"/>
                <w:szCs w:val="20"/>
                <w:lang w:val="en-US"/>
              </w:rPr>
              <w:t>1</w:t>
            </w:r>
            <w:r w:rsidRPr="006771EF">
              <w:rPr>
                <w:sz w:val="20"/>
                <w:szCs w:val="20"/>
                <w:lang w:val="en-US"/>
              </w:rPr>
              <w:t>.</w:t>
            </w:r>
            <w:r w:rsidR="004539F6">
              <w:rPr>
                <w:sz w:val="20"/>
                <w:szCs w:val="20"/>
                <w:lang w:val="en-US"/>
              </w:rPr>
              <w:t>1</w:t>
            </w:r>
            <w:r w:rsidRPr="006771EF">
              <w:rPr>
                <w:sz w:val="20"/>
                <w:szCs w:val="20"/>
                <w:lang w:val="en-US"/>
              </w:rPr>
              <w:t>%</w:t>
            </w:r>
          </w:p>
        </w:tc>
        <w:tc>
          <w:tcPr>
            <w:tcW w:w="1000" w:type="dxa"/>
          </w:tcPr>
          <w:p w14:paraId="6A39C4C8" w14:textId="77777777" w:rsidR="00744F4F" w:rsidRPr="006771EF" w:rsidRDefault="00744F4F" w:rsidP="00207A31">
            <w:pPr>
              <w:spacing w:before="60" w:after="60"/>
              <w:jc w:val="center"/>
              <w:rPr>
                <w:sz w:val="20"/>
                <w:szCs w:val="20"/>
                <w:lang w:val="en-US"/>
              </w:rPr>
            </w:pPr>
            <w:r w:rsidRPr="006771EF">
              <w:rPr>
                <w:sz w:val="20"/>
                <w:szCs w:val="20"/>
                <w:lang w:val="en-US"/>
              </w:rPr>
              <w:t>6.</w:t>
            </w:r>
            <w:r w:rsidR="004C1192">
              <w:rPr>
                <w:sz w:val="20"/>
                <w:szCs w:val="20"/>
                <w:lang w:val="en-US"/>
              </w:rPr>
              <w:t>4</w:t>
            </w:r>
            <w:r w:rsidRPr="006771EF">
              <w:rPr>
                <w:sz w:val="20"/>
                <w:szCs w:val="20"/>
                <w:lang w:val="en-US"/>
              </w:rPr>
              <w:t>%</w:t>
            </w:r>
          </w:p>
        </w:tc>
        <w:tc>
          <w:tcPr>
            <w:tcW w:w="1080" w:type="dxa"/>
          </w:tcPr>
          <w:p w14:paraId="453F2345" w14:textId="77777777" w:rsidR="00744F4F" w:rsidRPr="006771EF" w:rsidRDefault="004C1192" w:rsidP="00207A31">
            <w:pPr>
              <w:spacing w:before="60" w:after="60"/>
              <w:jc w:val="center"/>
              <w:rPr>
                <w:sz w:val="20"/>
                <w:szCs w:val="20"/>
                <w:lang w:val="en-US"/>
              </w:rPr>
            </w:pPr>
            <w:r>
              <w:rPr>
                <w:sz w:val="20"/>
                <w:szCs w:val="20"/>
                <w:lang w:val="en-US"/>
              </w:rPr>
              <w:t>2.5</w:t>
            </w:r>
            <w:r w:rsidR="00744F4F" w:rsidRPr="006771EF">
              <w:rPr>
                <w:sz w:val="20"/>
                <w:szCs w:val="20"/>
                <w:lang w:val="en-US"/>
              </w:rPr>
              <w:t>%</w:t>
            </w:r>
          </w:p>
        </w:tc>
        <w:tc>
          <w:tcPr>
            <w:tcW w:w="1522" w:type="dxa"/>
          </w:tcPr>
          <w:p w14:paraId="2238D626" w14:textId="77777777" w:rsidR="00744F4F" w:rsidRPr="00744F4F" w:rsidRDefault="004C1192" w:rsidP="00207A31">
            <w:pPr>
              <w:spacing w:before="60" w:after="60"/>
              <w:jc w:val="center"/>
              <w:rPr>
                <w:sz w:val="20"/>
                <w:szCs w:val="20"/>
                <w:lang w:val="en-US"/>
              </w:rPr>
            </w:pPr>
            <w:r>
              <w:rPr>
                <w:sz w:val="20"/>
                <w:szCs w:val="20"/>
              </w:rPr>
              <w:t>8</w:t>
            </w:r>
            <w:r w:rsidR="00DC2C08" w:rsidRPr="00DC2C08">
              <w:rPr>
                <w:sz w:val="20"/>
                <w:szCs w:val="20"/>
              </w:rPr>
              <w:t>.</w:t>
            </w:r>
            <w:r>
              <w:rPr>
                <w:sz w:val="20"/>
                <w:szCs w:val="20"/>
              </w:rPr>
              <w:t>9</w:t>
            </w:r>
            <w:r w:rsidR="00744F4F" w:rsidRPr="003A4744">
              <w:rPr>
                <w:sz w:val="20"/>
                <w:szCs w:val="20"/>
              </w:rPr>
              <w:t>%</w:t>
            </w:r>
          </w:p>
        </w:tc>
        <w:tc>
          <w:tcPr>
            <w:tcW w:w="2168" w:type="dxa"/>
          </w:tcPr>
          <w:p w14:paraId="797C3F9A" w14:textId="77777777" w:rsidR="00744F4F" w:rsidRPr="00744F4F" w:rsidRDefault="00744F4F" w:rsidP="00207A31">
            <w:pPr>
              <w:spacing w:before="60" w:after="60"/>
              <w:jc w:val="center"/>
              <w:rPr>
                <w:sz w:val="20"/>
                <w:szCs w:val="20"/>
                <w:lang w:val="en-US"/>
              </w:rPr>
            </w:pPr>
            <w:r w:rsidRPr="003A4744">
              <w:rPr>
                <w:sz w:val="20"/>
                <w:szCs w:val="20"/>
              </w:rPr>
              <w:t>-</w:t>
            </w:r>
          </w:p>
        </w:tc>
      </w:tr>
      <w:tr w:rsidR="00744F4F" w:rsidRPr="006771EF" w14:paraId="1556B307" w14:textId="77777777">
        <w:trPr>
          <w:trHeight w:val="269"/>
        </w:trPr>
        <w:tc>
          <w:tcPr>
            <w:tcW w:w="2515" w:type="dxa"/>
          </w:tcPr>
          <w:p w14:paraId="6D08C313" w14:textId="77777777" w:rsidR="00744F4F" w:rsidRPr="006771EF" w:rsidRDefault="00744F4F" w:rsidP="00207A31">
            <w:pPr>
              <w:spacing w:before="60" w:after="60"/>
              <w:jc w:val="left"/>
              <w:rPr>
                <w:sz w:val="20"/>
                <w:szCs w:val="20"/>
                <w:lang w:val="en-US"/>
              </w:rPr>
            </w:pPr>
            <w:r w:rsidRPr="006771EF">
              <w:rPr>
                <w:sz w:val="20"/>
                <w:szCs w:val="20"/>
                <w:lang w:val="en-US"/>
              </w:rPr>
              <w:t>Carbon intensity</w:t>
            </w:r>
          </w:p>
        </w:tc>
        <w:tc>
          <w:tcPr>
            <w:tcW w:w="1250" w:type="dxa"/>
          </w:tcPr>
          <w:p w14:paraId="043098A8" w14:textId="77777777" w:rsidR="00744F4F" w:rsidRPr="006771EF" w:rsidRDefault="00744F4F" w:rsidP="00207A31">
            <w:pPr>
              <w:spacing w:before="60" w:after="60"/>
              <w:jc w:val="center"/>
              <w:rPr>
                <w:sz w:val="20"/>
                <w:szCs w:val="20"/>
                <w:lang w:val="en-US"/>
              </w:rPr>
            </w:pPr>
            <w:r w:rsidRPr="006771EF">
              <w:rPr>
                <w:sz w:val="20"/>
                <w:szCs w:val="20"/>
                <w:lang w:val="en-US"/>
              </w:rPr>
              <w:t>314.2</w:t>
            </w:r>
          </w:p>
        </w:tc>
        <w:tc>
          <w:tcPr>
            <w:tcW w:w="1000" w:type="dxa"/>
          </w:tcPr>
          <w:p w14:paraId="575D161C" w14:textId="77777777" w:rsidR="00744F4F" w:rsidRPr="006771EF" w:rsidRDefault="00744F4F" w:rsidP="00207A31">
            <w:pPr>
              <w:spacing w:before="60" w:after="60"/>
              <w:jc w:val="center"/>
              <w:rPr>
                <w:sz w:val="20"/>
                <w:szCs w:val="20"/>
                <w:lang w:val="en-US"/>
              </w:rPr>
            </w:pPr>
            <w:r w:rsidRPr="006771EF">
              <w:rPr>
                <w:sz w:val="20"/>
                <w:szCs w:val="20"/>
                <w:lang w:val="en-US"/>
              </w:rPr>
              <w:t>50.2</w:t>
            </w:r>
          </w:p>
        </w:tc>
        <w:tc>
          <w:tcPr>
            <w:tcW w:w="1080" w:type="dxa"/>
          </w:tcPr>
          <w:p w14:paraId="2926090A" w14:textId="77777777" w:rsidR="00744F4F" w:rsidRPr="006771EF" w:rsidRDefault="00646DE8" w:rsidP="00207A31">
            <w:pPr>
              <w:spacing w:before="60" w:after="60"/>
              <w:jc w:val="center"/>
              <w:rPr>
                <w:sz w:val="20"/>
                <w:szCs w:val="20"/>
                <w:lang w:val="en-US"/>
              </w:rPr>
            </w:pPr>
            <w:r>
              <w:rPr>
                <w:sz w:val="20"/>
                <w:szCs w:val="20"/>
                <w:lang w:val="en-US"/>
              </w:rPr>
              <w:t>557.6</w:t>
            </w:r>
          </w:p>
        </w:tc>
        <w:tc>
          <w:tcPr>
            <w:tcW w:w="1522" w:type="dxa"/>
          </w:tcPr>
          <w:p w14:paraId="33358872" w14:textId="77777777" w:rsidR="00744F4F" w:rsidRPr="00744F4F" w:rsidRDefault="00646DE8" w:rsidP="00207A31">
            <w:pPr>
              <w:spacing w:before="60" w:after="60"/>
              <w:jc w:val="center"/>
              <w:rPr>
                <w:sz w:val="20"/>
                <w:szCs w:val="20"/>
                <w:lang w:val="en-US"/>
              </w:rPr>
            </w:pPr>
            <w:r>
              <w:rPr>
                <w:sz w:val="20"/>
                <w:szCs w:val="20"/>
                <w:lang w:val="en-US"/>
              </w:rPr>
              <w:t>190</w:t>
            </w:r>
            <w:r w:rsidR="000204B2">
              <w:rPr>
                <w:sz w:val="20"/>
                <w:szCs w:val="20"/>
                <w:lang w:val="en-US"/>
              </w:rPr>
              <w:t>.6</w:t>
            </w:r>
          </w:p>
        </w:tc>
        <w:tc>
          <w:tcPr>
            <w:tcW w:w="2168" w:type="dxa"/>
          </w:tcPr>
          <w:p w14:paraId="27C03FA7" w14:textId="77777777" w:rsidR="00744F4F" w:rsidRPr="00744F4F" w:rsidRDefault="00744F4F" w:rsidP="00207A31">
            <w:pPr>
              <w:spacing w:before="60" w:after="60"/>
              <w:jc w:val="center"/>
              <w:rPr>
                <w:sz w:val="20"/>
                <w:szCs w:val="20"/>
                <w:lang w:val="en-US"/>
              </w:rPr>
            </w:pPr>
            <w:r w:rsidRPr="000204B2">
              <w:rPr>
                <w:sz w:val="20"/>
                <w:szCs w:val="20"/>
              </w:rPr>
              <w:t>-</w:t>
            </w:r>
            <w:r w:rsidR="000204B2" w:rsidRPr="000204B2">
              <w:rPr>
                <w:sz w:val="20"/>
                <w:szCs w:val="20"/>
              </w:rPr>
              <w:t>39.3</w:t>
            </w:r>
            <w:r w:rsidRPr="000204B2">
              <w:rPr>
                <w:sz w:val="20"/>
                <w:szCs w:val="20"/>
              </w:rPr>
              <w:t>%</w:t>
            </w:r>
          </w:p>
        </w:tc>
      </w:tr>
      <w:tr w:rsidR="00744F4F" w:rsidRPr="006771EF" w14:paraId="603123E1" w14:textId="77777777">
        <w:trPr>
          <w:trHeight w:val="276"/>
        </w:trPr>
        <w:tc>
          <w:tcPr>
            <w:tcW w:w="2515" w:type="dxa"/>
          </w:tcPr>
          <w:p w14:paraId="3A1EC05A" w14:textId="77777777" w:rsidR="00744F4F" w:rsidRPr="006771EF" w:rsidRDefault="00744F4F" w:rsidP="00207A31">
            <w:pPr>
              <w:spacing w:before="60" w:after="60"/>
              <w:jc w:val="left"/>
              <w:rPr>
                <w:sz w:val="20"/>
                <w:szCs w:val="20"/>
                <w:lang w:val="en-US"/>
              </w:rPr>
            </w:pPr>
            <w:proofErr w:type="spellStart"/>
            <w:r w:rsidRPr="006771EF">
              <w:rPr>
                <w:sz w:val="20"/>
                <w:szCs w:val="20"/>
                <w:lang w:val="en-US"/>
              </w:rPr>
              <w:t>ESG</w:t>
            </w:r>
            <w:proofErr w:type="spellEnd"/>
            <w:r w:rsidRPr="006771EF">
              <w:rPr>
                <w:sz w:val="20"/>
                <w:szCs w:val="20"/>
                <w:lang w:val="en-US"/>
              </w:rPr>
              <w:t xml:space="preserve"> score</w:t>
            </w:r>
          </w:p>
        </w:tc>
        <w:tc>
          <w:tcPr>
            <w:tcW w:w="1250" w:type="dxa"/>
          </w:tcPr>
          <w:p w14:paraId="48C607FF" w14:textId="77777777" w:rsidR="00744F4F" w:rsidRPr="006771EF" w:rsidRDefault="00744F4F" w:rsidP="00207A31">
            <w:pPr>
              <w:spacing w:before="60" w:after="60"/>
              <w:jc w:val="center"/>
              <w:rPr>
                <w:sz w:val="20"/>
                <w:szCs w:val="20"/>
                <w:lang w:val="en-US"/>
              </w:rPr>
            </w:pPr>
            <w:r w:rsidRPr="006771EF">
              <w:rPr>
                <w:sz w:val="20"/>
                <w:szCs w:val="20"/>
                <w:lang w:val="en-US"/>
              </w:rPr>
              <w:t>63.8</w:t>
            </w:r>
          </w:p>
        </w:tc>
        <w:tc>
          <w:tcPr>
            <w:tcW w:w="1000" w:type="dxa"/>
          </w:tcPr>
          <w:p w14:paraId="702DB087" w14:textId="77777777" w:rsidR="00744F4F" w:rsidRPr="006771EF" w:rsidRDefault="00744F4F" w:rsidP="00207A31">
            <w:pPr>
              <w:spacing w:before="60" w:after="60"/>
              <w:jc w:val="center"/>
              <w:rPr>
                <w:sz w:val="20"/>
                <w:szCs w:val="20"/>
                <w:lang w:val="en-US"/>
              </w:rPr>
            </w:pPr>
            <w:r w:rsidRPr="006771EF">
              <w:rPr>
                <w:sz w:val="20"/>
                <w:szCs w:val="20"/>
                <w:lang w:val="en-US"/>
              </w:rPr>
              <w:t>74.0</w:t>
            </w:r>
          </w:p>
        </w:tc>
        <w:tc>
          <w:tcPr>
            <w:tcW w:w="1080" w:type="dxa"/>
          </w:tcPr>
          <w:p w14:paraId="23DA24A7" w14:textId="77777777" w:rsidR="00744F4F" w:rsidRPr="006771EF" w:rsidRDefault="00744F4F" w:rsidP="00207A31">
            <w:pPr>
              <w:spacing w:before="60" w:after="60"/>
              <w:jc w:val="center"/>
              <w:rPr>
                <w:sz w:val="20"/>
                <w:szCs w:val="20"/>
                <w:lang w:val="en-US"/>
              </w:rPr>
            </w:pPr>
            <w:r w:rsidRPr="006771EF">
              <w:rPr>
                <w:sz w:val="20"/>
                <w:szCs w:val="20"/>
                <w:lang w:val="en-US"/>
              </w:rPr>
              <w:t>68.0</w:t>
            </w:r>
          </w:p>
        </w:tc>
        <w:tc>
          <w:tcPr>
            <w:tcW w:w="1522" w:type="dxa"/>
          </w:tcPr>
          <w:p w14:paraId="02BCED05" w14:textId="77777777" w:rsidR="00744F4F" w:rsidRPr="00744F4F" w:rsidRDefault="00744F4F" w:rsidP="00207A31">
            <w:pPr>
              <w:spacing w:before="60" w:after="60"/>
              <w:jc w:val="center"/>
              <w:rPr>
                <w:sz w:val="20"/>
                <w:szCs w:val="20"/>
                <w:lang w:val="en-US"/>
              </w:rPr>
            </w:pPr>
            <w:r w:rsidRPr="00744F4F">
              <w:rPr>
                <w:sz w:val="20"/>
                <w:szCs w:val="20"/>
              </w:rPr>
              <w:t>72</w:t>
            </w:r>
            <w:r w:rsidRPr="003A4744">
              <w:rPr>
                <w:sz w:val="20"/>
                <w:szCs w:val="20"/>
              </w:rPr>
              <w:t>.</w:t>
            </w:r>
            <w:r w:rsidR="00C01083">
              <w:rPr>
                <w:sz w:val="20"/>
                <w:szCs w:val="20"/>
              </w:rPr>
              <w:t>3</w:t>
            </w:r>
          </w:p>
        </w:tc>
        <w:tc>
          <w:tcPr>
            <w:tcW w:w="2168" w:type="dxa"/>
          </w:tcPr>
          <w:p w14:paraId="24DD7DD5" w14:textId="77777777" w:rsidR="00744F4F" w:rsidRPr="00744F4F" w:rsidRDefault="00744F4F" w:rsidP="00207A31">
            <w:pPr>
              <w:spacing w:before="60" w:after="60"/>
              <w:jc w:val="center"/>
              <w:rPr>
                <w:sz w:val="20"/>
                <w:szCs w:val="20"/>
                <w:lang w:val="en-US"/>
              </w:rPr>
            </w:pPr>
            <w:r>
              <w:rPr>
                <w:sz w:val="20"/>
                <w:szCs w:val="20"/>
              </w:rPr>
              <w:t>+</w:t>
            </w:r>
            <w:r w:rsidRPr="003A4744">
              <w:rPr>
                <w:sz w:val="20"/>
                <w:szCs w:val="20"/>
              </w:rPr>
              <w:t>1</w:t>
            </w:r>
            <w:r w:rsidR="00962E83">
              <w:rPr>
                <w:sz w:val="20"/>
                <w:szCs w:val="20"/>
              </w:rPr>
              <w:t>3</w:t>
            </w:r>
            <w:r w:rsidRPr="00744F4F">
              <w:rPr>
                <w:sz w:val="20"/>
                <w:szCs w:val="20"/>
              </w:rPr>
              <w:t>.</w:t>
            </w:r>
            <w:r w:rsidR="00962E83">
              <w:rPr>
                <w:sz w:val="20"/>
                <w:szCs w:val="20"/>
              </w:rPr>
              <w:t>4</w:t>
            </w:r>
            <w:r w:rsidRPr="003A4744">
              <w:rPr>
                <w:sz w:val="20"/>
                <w:szCs w:val="20"/>
              </w:rPr>
              <w:t>%</w:t>
            </w:r>
          </w:p>
        </w:tc>
      </w:tr>
    </w:tbl>
    <w:p w14:paraId="583A54DD" w14:textId="77777777" w:rsidR="00F10D6E" w:rsidRDefault="007D766D" w:rsidP="00103C6C">
      <w:pPr>
        <w:spacing w:before="240" w:after="0"/>
        <w:rPr>
          <w:sz w:val="20"/>
          <w:szCs w:val="20"/>
          <w:lang w:val="en-US"/>
        </w:rPr>
      </w:pPr>
      <w:r w:rsidRPr="00AB2382">
        <w:rPr>
          <w:sz w:val="20"/>
          <w:szCs w:val="20"/>
          <w:lang w:val="en-US"/>
        </w:rPr>
        <w:t>The SMF</w:t>
      </w:r>
      <w:r w:rsidR="00380F71" w:rsidRPr="00AB2382">
        <w:rPr>
          <w:sz w:val="20"/>
          <w:szCs w:val="20"/>
          <w:lang w:val="en-US"/>
        </w:rPr>
        <w:t xml:space="preserve"> portfolio </w:t>
      </w:r>
      <w:r w:rsidR="00E070AD">
        <w:rPr>
          <w:sz w:val="20"/>
          <w:szCs w:val="20"/>
          <w:lang w:val="en-US"/>
        </w:rPr>
        <w:t xml:space="preserve">has </w:t>
      </w:r>
      <w:proofErr w:type="gramStart"/>
      <w:r w:rsidR="00E070AD">
        <w:rPr>
          <w:sz w:val="20"/>
          <w:szCs w:val="20"/>
          <w:lang w:val="en-US"/>
        </w:rPr>
        <w:t xml:space="preserve">been </w:t>
      </w:r>
      <w:r w:rsidR="00BD1B82" w:rsidRPr="00AB2382">
        <w:rPr>
          <w:sz w:val="20"/>
          <w:szCs w:val="20"/>
          <w:lang w:val="en-US"/>
        </w:rPr>
        <w:t>in</w:t>
      </w:r>
      <w:r w:rsidR="00E80B45" w:rsidRPr="00AB2382">
        <w:rPr>
          <w:sz w:val="20"/>
          <w:szCs w:val="20"/>
          <w:lang w:val="en-US"/>
        </w:rPr>
        <w:t xml:space="preserve"> </w:t>
      </w:r>
      <w:r w:rsidR="00BD1B82" w:rsidRPr="00AB2382">
        <w:rPr>
          <w:sz w:val="20"/>
          <w:szCs w:val="20"/>
          <w:lang w:val="en-US"/>
        </w:rPr>
        <w:t>compliance with</w:t>
      </w:r>
      <w:proofErr w:type="gramEnd"/>
      <w:r w:rsidR="00BD1B82" w:rsidRPr="00AB2382">
        <w:rPr>
          <w:sz w:val="20"/>
          <w:szCs w:val="20"/>
          <w:lang w:val="en-US"/>
        </w:rPr>
        <w:t xml:space="preserve"> the ANU SRI policy </w:t>
      </w:r>
      <w:r w:rsidR="00187EC7" w:rsidRPr="00AB2382">
        <w:rPr>
          <w:sz w:val="20"/>
          <w:szCs w:val="20"/>
          <w:lang w:val="en-US"/>
        </w:rPr>
        <w:t>in regard to</w:t>
      </w:r>
      <w:r w:rsidR="000513A4" w:rsidRPr="00AB2382">
        <w:rPr>
          <w:sz w:val="20"/>
          <w:szCs w:val="20"/>
          <w:lang w:val="en-US"/>
        </w:rPr>
        <w:t xml:space="preserve"> </w:t>
      </w:r>
      <w:r w:rsidR="00187EC7" w:rsidRPr="00AB2382">
        <w:rPr>
          <w:sz w:val="20"/>
          <w:szCs w:val="20"/>
          <w:lang w:val="en-US"/>
        </w:rPr>
        <w:t>its</w:t>
      </w:r>
      <w:r w:rsidR="000513A4" w:rsidRPr="00AB2382">
        <w:rPr>
          <w:sz w:val="20"/>
          <w:szCs w:val="20"/>
          <w:lang w:val="en-US"/>
        </w:rPr>
        <w:t xml:space="preserve"> holdings in the active investments of Telstra and RIO. </w:t>
      </w:r>
      <w:r w:rsidR="00707EB8" w:rsidRPr="00AB2382">
        <w:rPr>
          <w:sz w:val="20"/>
          <w:szCs w:val="20"/>
          <w:lang w:val="en-US"/>
        </w:rPr>
        <w:t>This is demonstrated by a</w:t>
      </w:r>
      <w:r w:rsidR="00A055ED" w:rsidRPr="00AB2382">
        <w:rPr>
          <w:sz w:val="20"/>
          <w:szCs w:val="20"/>
          <w:lang w:val="en-US"/>
        </w:rPr>
        <w:t xml:space="preserve"> -</w:t>
      </w:r>
      <w:r w:rsidR="00A61BF4" w:rsidRPr="00AB2382">
        <w:rPr>
          <w:sz w:val="20"/>
          <w:szCs w:val="20"/>
          <w:lang w:val="en-US"/>
        </w:rPr>
        <w:t>39.3</w:t>
      </w:r>
      <w:r w:rsidR="00CE26DC" w:rsidRPr="00AB2382">
        <w:rPr>
          <w:sz w:val="20"/>
          <w:szCs w:val="20"/>
          <w:lang w:val="en-US"/>
        </w:rPr>
        <w:t>% reduction in carbon intensity against the required -25%</w:t>
      </w:r>
      <w:r w:rsidR="00CE1A20">
        <w:rPr>
          <w:sz w:val="20"/>
          <w:szCs w:val="20"/>
          <w:lang w:val="en-US"/>
        </w:rPr>
        <w:t>,</w:t>
      </w:r>
      <w:r w:rsidR="00CE26DC" w:rsidRPr="00AB2382">
        <w:rPr>
          <w:sz w:val="20"/>
          <w:szCs w:val="20"/>
          <w:lang w:val="en-US"/>
        </w:rPr>
        <w:t xml:space="preserve"> and a </w:t>
      </w:r>
      <w:r w:rsidR="00892F7C" w:rsidRPr="00AB2382">
        <w:rPr>
          <w:sz w:val="20"/>
          <w:szCs w:val="20"/>
          <w:lang w:val="en-US"/>
        </w:rPr>
        <w:t>1</w:t>
      </w:r>
      <w:r w:rsidR="00962E83" w:rsidRPr="00AB2382">
        <w:rPr>
          <w:sz w:val="20"/>
          <w:szCs w:val="20"/>
          <w:lang w:val="en-US"/>
        </w:rPr>
        <w:t>3</w:t>
      </w:r>
      <w:r w:rsidR="00892F7C" w:rsidRPr="00AB2382">
        <w:rPr>
          <w:sz w:val="20"/>
          <w:szCs w:val="20"/>
          <w:lang w:val="en-US"/>
        </w:rPr>
        <w:t>.</w:t>
      </w:r>
      <w:r w:rsidR="00962E83" w:rsidRPr="00AB2382">
        <w:rPr>
          <w:sz w:val="20"/>
          <w:szCs w:val="20"/>
          <w:lang w:val="en-US"/>
        </w:rPr>
        <w:t>4</w:t>
      </w:r>
      <w:r w:rsidR="00892F7C" w:rsidRPr="00AB2382">
        <w:rPr>
          <w:sz w:val="20"/>
          <w:szCs w:val="20"/>
          <w:lang w:val="en-US"/>
        </w:rPr>
        <w:t xml:space="preserve">% improvement in </w:t>
      </w:r>
      <w:proofErr w:type="spellStart"/>
      <w:r w:rsidR="00892F7C" w:rsidRPr="00AB2382">
        <w:rPr>
          <w:sz w:val="20"/>
          <w:szCs w:val="20"/>
          <w:lang w:val="en-US"/>
        </w:rPr>
        <w:t>ESG</w:t>
      </w:r>
      <w:proofErr w:type="spellEnd"/>
      <w:r w:rsidR="00892F7C" w:rsidRPr="00AB2382">
        <w:rPr>
          <w:sz w:val="20"/>
          <w:szCs w:val="20"/>
          <w:lang w:val="en-US"/>
        </w:rPr>
        <w:t xml:space="preserve"> score against the required 10%. </w:t>
      </w:r>
      <w:r w:rsidR="00CE1A20">
        <w:rPr>
          <w:sz w:val="20"/>
          <w:szCs w:val="20"/>
          <w:lang w:val="en-US"/>
        </w:rPr>
        <w:t xml:space="preserve">Once the </w:t>
      </w:r>
      <w:proofErr w:type="spellStart"/>
      <w:r w:rsidR="00CE1A20">
        <w:rPr>
          <w:sz w:val="20"/>
          <w:szCs w:val="20"/>
          <w:lang w:val="en-US"/>
        </w:rPr>
        <w:t>AAE</w:t>
      </w:r>
      <w:proofErr w:type="spellEnd"/>
      <w:r w:rsidR="00CE1A20">
        <w:rPr>
          <w:sz w:val="20"/>
          <w:szCs w:val="20"/>
          <w:lang w:val="en-US"/>
        </w:rPr>
        <w:t xml:space="preserve"> Portfolio is fully invested in active stock positions, as against its current partial</w:t>
      </w:r>
      <w:r w:rsidR="00E80B45">
        <w:rPr>
          <w:sz w:val="20"/>
          <w:szCs w:val="20"/>
          <w:lang w:val="en-US"/>
        </w:rPr>
        <w:t xml:space="preserve"> exposure to the S&amp;P/</w:t>
      </w:r>
      <w:proofErr w:type="spellStart"/>
      <w:r w:rsidR="00E80B45">
        <w:rPr>
          <w:sz w:val="20"/>
          <w:szCs w:val="20"/>
          <w:lang w:val="en-US"/>
        </w:rPr>
        <w:t>ASX200</w:t>
      </w:r>
      <w:proofErr w:type="spellEnd"/>
      <w:r w:rsidR="00E80B45">
        <w:rPr>
          <w:sz w:val="20"/>
          <w:szCs w:val="20"/>
          <w:lang w:val="en-US"/>
        </w:rPr>
        <w:t xml:space="preserve"> ETF</w:t>
      </w:r>
      <w:r w:rsidR="0055705C">
        <w:rPr>
          <w:sz w:val="20"/>
          <w:szCs w:val="20"/>
          <w:lang w:val="en-US"/>
        </w:rPr>
        <w:t>,</w:t>
      </w:r>
      <w:r w:rsidR="00187EC7">
        <w:rPr>
          <w:sz w:val="20"/>
          <w:szCs w:val="20"/>
          <w:lang w:val="en-US"/>
        </w:rPr>
        <w:t xml:space="preserve"> th</w:t>
      </w:r>
      <w:r w:rsidR="004870A9">
        <w:rPr>
          <w:sz w:val="20"/>
          <w:szCs w:val="20"/>
          <w:lang w:val="en-US"/>
        </w:rPr>
        <w:t xml:space="preserve">e </w:t>
      </w:r>
      <w:proofErr w:type="spellStart"/>
      <w:r w:rsidR="004870A9">
        <w:rPr>
          <w:sz w:val="20"/>
          <w:szCs w:val="20"/>
          <w:lang w:val="en-US"/>
        </w:rPr>
        <w:t>AAE</w:t>
      </w:r>
      <w:proofErr w:type="spellEnd"/>
      <w:r w:rsidR="004870A9">
        <w:rPr>
          <w:sz w:val="20"/>
          <w:szCs w:val="20"/>
          <w:lang w:val="en-US"/>
        </w:rPr>
        <w:t xml:space="preserve"> portfolio will be in complete compliance </w:t>
      </w:r>
      <w:r w:rsidR="00E070AD">
        <w:rPr>
          <w:sz w:val="20"/>
          <w:szCs w:val="20"/>
          <w:lang w:val="en-US"/>
        </w:rPr>
        <w:t xml:space="preserve">with these elements of the ANU </w:t>
      </w:r>
      <w:r w:rsidR="00707EB8">
        <w:rPr>
          <w:sz w:val="20"/>
          <w:szCs w:val="20"/>
          <w:lang w:val="en-US"/>
        </w:rPr>
        <w:t>SRI policy.</w:t>
      </w:r>
      <w:r w:rsidR="00103C6C" w:rsidRPr="00103C6C">
        <w:rPr>
          <w:sz w:val="20"/>
          <w:szCs w:val="20"/>
          <w:lang w:val="en-US"/>
        </w:rPr>
        <w:t xml:space="preserve"> </w:t>
      </w:r>
    </w:p>
    <w:p w14:paraId="50D6923A" w14:textId="77777777" w:rsidR="00103C6C" w:rsidRDefault="00F10D6E" w:rsidP="00B8737F">
      <w:pPr>
        <w:spacing w:before="240" w:after="0"/>
        <w:rPr>
          <w:sz w:val="20"/>
          <w:szCs w:val="20"/>
          <w:lang w:val="en-US"/>
        </w:rPr>
      </w:pPr>
      <w:r>
        <w:rPr>
          <w:sz w:val="20"/>
          <w:szCs w:val="20"/>
          <w:lang w:val="en-US"/>
        </w:rPr>
        <w:t>The implementation of the ANU SRI policy by the SMF was recently discussed at an IAC meeting</w:t>
      </w:r>
      <w:r w:rsidR="00E070AD">
        <w:rPr>
          <w:sz w:val="20"/>
          <w:szCs w:val="20"/>
          <w:lang w:val="en-US"/>
        </w:rPr>
        <w:t xml:space="preserve"> on 17 </w:t>
      </w:r>
      <w:proofErr w:type="gramStart"/>
      <w:r w:rsidR="00E070AD">
        <w:rPr>
          <w:sz w:val="20"/>
          <w:szCs w:val="20"/>
          <w:lang w:val="en-US"/>
        </w:rPr>
        <w:t>September,</w:t>
      </w:r>
      <w:proofErr w:type="gramEnd"/>
      <w:r w:rsidR="00E070AD">
        <w:rPr>
          <w:sz w:val="20"/>
          <w:szCs w:val="20"/>
          <w:lang w:val="en-US"/>
        </w:rPr>
        <w:t xml:space="preserve"> 2018</w:t>
      </w:r>
      <w:r>
        <w:rPr>
          <w:sz w:val="20"/>
          <w:szCs w:val="20"/>
          <w:lang w:val="en-US"/>
        </w:rPr>
        <w:t xml:space="preserve">. </w:t>
      </w:r>
      <w:r w:rsidR="00B8737F">
        <w:rPr>
          <w:sz w:val="20"/>
          <w:szCs w:val="20"/>
          <w:lang w:val="en-US"/>
        </w:rPr>
        <w:t>Based on the discussions at this meeting, g</w:t>
      </w:r>
      <w:r>
        <w:rPr>
          <w:sz w:val="20"/>
          <w:szCs w:val="20"/>
          <w:lang w:val="en-US"/>
        </w:rPr>
        <w:t xml:space="preserve">oing </w:t>
      </w:r>
      <w:r w:rsidR="00B8737F">
        <w:rPr>
          <w:sz w:val="20"/>
          <w:szCs w:val="20"/>
          <w:lang w:val="en-US"/>
        </w:rPr>
        <w:t>forward</w:t>
      </w:r>
      <w:r>
        <w:rPr>
          <w:sz w:val="20"/>
          <w:szCs w:val="20"/>
          <w:lang w:val="en-US"/>
        </w:rPr>
        <w:t xml:space="preserve"> the </w:t>
      </w:r>
      <w:proofErr w:type="spellStart"/>
      <w:r>
        <w:rPr>
          <w:sz w:val="20"/>
          <w:szCs w:val="20"/>
          <w:lang w:val="en-US"/>
        </w:rPr>
        <w:t>AAE</w:t>
      </w:r>
      <w:proofErr w:type="spellEnd"/>
      <w:r>
        <w:rPr>
          <w:sz w:val="20"/>
          <w:szCs w:val="20"/>
          <w:lang w:val="en-US"/>
        </w:rPr>
        <w:t xml:space="preserve"> team will be integrating </w:t>
      </w:r>
      <w:r w:rsidR="00E62E5E">
        <w:rPr>
          <w:sz w:val="20"/>
          <w:szCs w:val="20"/>
          <w:lang w:val="en-US"/>
        </w:rPr>
        <w:t xml:space="preserve">broader </w:t>
      </w:r>
      <w:r>
        <w:rPr>
          <w:sz w:val="20"/>
          <w:szCs w:val="20"/>
          <w:lang w:val="en-US"/>
        </w:rPr>
        <w:t>SRI considerations into its stock selection</w:t>
      </w:r>
      <w:r w:rsidR="00B8737F">
        <w:rPr>
          <w:sz w:val="20"/>
          <w:szCs w:val="20"/>
          <w:lang w:val="en-US"/>
        </w:rPr>
        <w:t xml:space="preserve">. </w:t>
      </w:r>
      <w:r w:rsidR="00E070AD">
        <w:rPr>
          <w:sz w:val="20"/>
          <w:szCs w:val="20"/>
          <w:lang w:val="en-US"/>
        </w:rPr>
        <w:t xml:space="preserve">In </w:t>
      </w:r>
      <w:r w:rsidR="00B8737F">
        <w:rPr>
          <w:sz w:val="20"/>
          <w:szCs w:val="20"/>
          <w:lang w:val="en-US"/>
        </w:rPr>
        <w:t>forming investment recommendations to be put to IAC, consideration will be given to</w:t>
      </w:r>
      <w:r>
        <w:rPr>
          <w:sz w:val="20"/>
          <w:szCs w:val="20"/>
          <w:lang w:val="en-US"/>
        </w:rPr>
        <w:t xml:space="preserve"> </w:t>
      </w:r>
      <w:r w:rsidR="00B8737F">
        <w:rPr>
          <w:sz w:val="20"/>
          <w:szCs w:val="20"/>
          <w:lang w:val="en-US"/>
        </w:rPr>
        <w:t xml:space="preserve">whether candidate companies </w:t>
      </w:r>
      <w:r w:rsidR="00E070AD">
        <w:rPr>
          <w:sz w:val="20"/>
          <w:szCs w:val="20"/>
          <w:lang w:val="en-US"/>
        </w:rPr>
        <w:t xml:space="preserve">either </w:t>
      </w:r>
      <w:r w:rsidR="00B8737F">
        <w:rPr>
          <w:sz w:val="20"/>
          <w:szCs w:val="20"/>
          <w:lang w:val="en-US"/>
        </w:rPr>
        <w:t>“</w:t>
      </w:r>
      <w:r w:rsidR="00B8737F" w:rsidRPr="00B8737F">
        <w:rPr>
          <w:sz w:val="20"/>
          <w:szCs w:val="20"/>
          <w:lang w:val="en-US"/>
        </w:rPr>
        <w:t>cause substantial</w:t>
      </w:r>
      <w:r w:rsidR="00B8737F">
        <w:rPr>
          <w:sz w:val="20"/>
          <w:szCs w:val="20"/>
          <w:lang w:val="en-US"/>
        </w:rPr>
        <w:t xml:space="preserve"> </w:t>
      </w:r>
      <w:r w:rsidR="00B8737F" w:rsidRPr="00B8737F">
        <w:rPr>
          <w:sz w:val="20"/>
          <w:szCs w:val="20"/>
          <w:lang w:val="en-US"/>
        </w:rPr>
        <w:t>social injury</w:t>
      </w:r>
      <w:r w:rsidR="00B8737F">
        <w:rPr>
          <w:sz w:val="20"/>
          <w:szCs w:val="20"/>
          <w:lang w:val="en-US"/>
        </w:rPr>
        <w:t>” or promote “socially beneficial outcomes”, in addition to their impact on the c</w:t>
      </w:r>
      <w:r w:rsidR="00E070AD">
        <w:rPr>
          <w:sz w:val="20"/>
          <w:szCs w:val="20"/>
          <w:lang w:val="en-US"/>
        </w:rPr>
        <w:t xml:space="preserve">arbon intensity and </w:t>
      </w:r>
      <w:proofErr w:type="spellStart"/>
      <w:r w:rsidR="00E070AD">
        <w:rPr>
          <w:sz w:val="20"/>
          <w:szCs w:val="20"/>
          <w:lang w:val="en-US"/>
        </w:rPr>
        <w:t>ESG</w:t>
      </w:r>
      <w:proofErr w:type="spellEnd"/>
      <w:r w:rsidR="00E070AD">
        <w:rPr>
          <w:sz w:val="20"/>
          <w:szCs w:val="20"/>
          <w:lang w:val="en-US"/>
        </w:rPr>
        <w:t xml:space="preserve"> score for</w:t>
      </w:r>
      <w:r w:rsidR="00B8737F">
        <w:rPr>
          <w:sz w:val="20"/>
          <w:szCs w:val="20"/>
          <w:lang w:val="en-US"/>
        </w:rPr>
        <w:t xml:space="preserve"> the </w:t>
      </w:r>
      <w:r w:rsidR="00E070AD">
        <w:rPr>
          <w:sz w:val="20"/>
          <w:szCs w:val="20"/>
          <w:lang w:val="en-US"/>
        </w:rPr>
        <w:t xml:space="preserve">overall </w:t>
      </w:r>
      <w:proofErr w:type="spellStart"/>
      <w:r w:rsidR="00B8737F">
        <w:rPr>
          <w:sz w:val="20"/>
          <w:szCs w:val="20"/>
          <w:lang w:val="en-US"/>
        </w:rPr>
        <w:t>AAE</w:t>
      </w:r>
      <w:proofErr w:type="spellEnd"/>
      <w:r w:rsidR="00B8737F">
        <w:rPr>
          <w:sz w:val="20"/>
          <w:szCs w:val="20"/>
          <w:lang w:val="en-US"/>
        </w:rPr>
        <w:t xml:space="preserve"> portfolio. It was also decided that the SMF will consider</w:t>
      </w:r>
      <w:r w:rsidR="00E62E5E">
        <w:rPr>
          <w:sz w:val="20"/>
          <w:szCs w:val="20"/>
          <w:lang w:val="en-US"/>
        </w:rPr>
        <w:t xml:space="preserve"> </w:t>
      </w:r>
      <w:r w:rsidR="00B8737F">
        <w:rPr>
          <w:sz w:val="20"/>
          <w:szCs w:val="20"/>
          <w:lang w:val="en-US"/>
        </w:rPr>
        <w:t>changing its benchmark ETFs to those that reflect the ANU SRI policy</w:t>
      </w:r>
      <w:r w:rsidR="00E62E5E">
        <w:rPr>
          <w:sz w:val="20"/>
          <w:szCs w:val="20"/>
          <w:lang w:val="en-US"/>
        </w:rPr>
        <w:t>,</w:t>
      </w:r>
      <w:r w:rsidR="00B8737F">
        <w:rPr>
          <w:sz w:val="20"/>
          <w:szCs w:val="20"/>
          <w:lang w:val="en-US"/>
        </w:rPr>
        <w:t xml:space="preserve"> while</w:t>
      </w:r>
      <w:r w:rsidR="00E62E5E">
        <w:rPr>
          <w:sz w:val="20"/>
          <w:szCs w:val="20"/>
          <w:lang w:val="en-US"/>
        </w:rPr>
        <w:t xml:space="preserve"> still</w:t>
      </w:r>
      <w:r w:rsidR="00B8737F">
        <w:rPr>
          <w:sz w:val="20"/>
          <w:szCs w:val="20"/>
          <w:lang w:val="en-US"/>
        </w:rPr>
        <w:t xml:space="preserve"> providing an adequate representation of the underlying asset class, </w:t>
      </w:r>
      <w:r w:rsidR="00E070AD">
        <w:rPr>
          <w:sz w:val="20"/>
          <w:szCs w:val="20"/>
          <w:lang w:val="en-US"/>
        </w:rPr>
        <w:t>once suitable</w:t>
      </w:r>
      <w:r w:rsidR="00B8737F">
        <w:rPr>
          <w:sz w:val="20"/>
          <w:szCs w:val="20"/>
          <w:lang w:val="en-US"/>
        </w:rPr>
        <w:t xml:space="preserve"> ETFs become available. </w:t>
      </w:r>
      <w:r w:rsidR="00E070AD">
        <w:rPr>
          <w:sz w:val="20"/>
          <w:szCs w:val="20"/>
          <w:lang w:val="en-US"/>
        </w:rPr>
        <w:t xml:space="preserve">The latter decision was considered an appropriate balance between the SRI policy, fund efficiency, and the learning objectives of the SMF.  </w:t>
      </w:r>
      <w:r w:rsidR="00B8737F">
        <w:rPr>
          <w:sz w:val="20"/>
          <w:szCs w:val="20"/>
          <w:lang w:val="en-US"/>
        </w:rPr>
        <w:t xml:space="preserve">  </w:t>
      </w:r>
      <w:r w:rsidR="00103C6C">
        <w:rPr>
          <w:sz w:val="20"/>
          <w:szCs w:val="20"/>
          <w:lang w:val="en-US"/>
        </w:rPr>
        <w:t xml:space="preserve">  </w:t>
      </w:r>
    </w:p>
    <w:p w14:paraId="52B4A325" w14:textId="77777777" w:rsidR="00EE2652" w:rsidRDefault="00EE2652" w:rsidP="003A4744">
      <w:pPr>
        <w:spacing w:before="240" w:after="0"/>
        <w:rPr>
          <w:sz w:val="20"/>
          <w:szCs w:val="20"/>
          <w:lang w:val="en-US"/>
        </w:rPr>
      </w:pPr>
    </w:p>
    <w:p w14:paraId="76E3A7BE" w14:textId="77777777" w:rsidR="00AA1520" w:rsidRDefault="00AA1520" w:rsidP="001040F0">
      <w:pPr>
        <w:widowControl/>
        <w:spacing w:line="312" w:lineRule="auto"/>
        <w:jc w:val="left"/>
        <w:rPr>
          <w:rFonts w:eastAsiaTheme="minorEastAsia"/>
          <w:b/>
          <w:color w:val="4472C4" w:themeColor="accent1"/>
          <w:spacing w:val="15"/>
          <w:lang w:val="en-US"/>
        </w:rPr>
      </w:pPr>
    </w:p>
    <w:p w14:paraId="16A7140B" w14:textId="77777777" w:rsidR="00AA1520" w:rsidRDefault="00AA1520" w:rsidP="001040F0">
      <w:pPr>
        <w:widowControl/>
        <w:spacing w:line="312" w:lineRule="auto"/>
        <w:jc w:val="left"/>
        <w:rPr>
          <w:rFonts w:eastAsiaTheme="minorEastAsia"/>
          <w:b/>
          <w:color w:val="4472C4" w:themeColor="accent1"/>
          <w:spacing w:val="15"/>
          <w:lang w:val="en-US"/>
        </w:rPr>
      </w:pPr>
    </w:p>
    <w:p w14:paraId="22B8B2C1" w14:textId="77777777" w:rsidR="00AA1520" w:rsidRDefault="00AA1520" w:rsidP="001040F0">
      <w:pPr>
        <w:widowControl/>
        <w:spacing w:line="312" w:lineRule="auto"/>
        <w:jc w:val="left"/>
        <w:rPr>
          <w:rFonts w:eastAsiaTheme="minorEastAsia"/>
          <w:b/>
          <w:color w:val="4472C4" w:themeColor="accent1"/>
          <w:spacing w:val="15"/>
          <w:lang w:val="en-US"/>
        </w:rPr>
      </w:pPr>
    </w:p>
    <w:p w14:paraId="22AE57E7" w14:textId="77777777" w:rsidR="00AA1520" w:rsidRDefault="00AA1520" w:rsidP="001040F0">
      <w:pPr>
        <w:widowControl/>
        <w:spacing w:line="312" w:lineRule="auto"/>
        <w:jc w:val="left"/>
        <w:rPr>
          <w:rFonts w:eastAsiaTheme="minorEastAsia"/>
          <w:b/>
          <w:color w:val="4472C4" w:themeColor="accent1"/>
          <w:spacing w:val="15"/>
          <w:lang w:val="en-US"/>
        </w:rPr>
      </w:pPr>
    </w:p>
    <w:p w14:paraId="156EFED4" w14:textId="77777777" w:rsidR="00AA1520" w:rsidRDefault="00AA1520" w:rsidP="001040F0">
      <w:pPr>
        <w:widowControl/>
        <w:spacing w:line="312" w:lineRule="auto"/>
        <w:jc w:val="left"/>
        <w:rPr>
          <w:rFonts w:eastAsiaTheme="minorEastAsia"/>
          <w:b/>
          <w:color w:val="4472C4" w:themeColor="accent1"/>
          <w:spacing w:val="15"/>
          <w:lang w:val="en-US"/>
        </w:rPr>
      </w:pPr>
    </w:p>
    <w:p w14:paraId="5E32D08C" w14:textId="77777777" w:rsidR="00AA1520" w:rsidRDefault="00AA1520" w:rsidP="001040F0">
      <w:pPr>
        <w:widowControl/>
        <w:spacing w:line="312" w:lineRule="auto"/>
        <w:jc w:val="left"/>
        <w:rPr>
          <w:rFonts w:eastAsiaTheme="minorEastAsia"/>
          <w:b/>
          <w:color w:val="4472C4" w:themeColor="accent1"/>
          <w:spacing w:val="15"/>
          <w:lang w:val="en-US"/>
        </w:rPr>
      </w:pPr>
    </w:p>
    <w:p w14:paraId="5E777A47" w14:textId="77777777" w:rsidR="00AA1520" w:rsidRDefault="00AA1520" w:rsidP="001040F0">
      <w:pPr>
        <w:widowControl/>
        <w:spacing w:line="312" w:lineRule="auto"/>
        <w:jc w:val="left"/>
        <w:rPr>
          <w:rFonts w:eastAsiaTheme="minorEastAsia"/>
          <w:b/>
          <w:color w:val="4472C4" w:themeColor="accent1"/>
          <w:spacing w:val="15"/>
          <w:lang w:val="en-US"/>
        </w:rPr>
      </w:pPr>
    </w:p>
    <w:p w14:paraId="289AD375" w14:textId="77777777" w:rsidR="00AA1520" w:rsidRDefault="00AA1520" w:rsidP="001040F0">
      <w:pPr>
        <w:widowControl/>
        <w:spacing w:line="312" w:lineRule="auto"/>
        <w:jc w:val="left"/>
        <w:rPr>
          <w:rFonts w:eastAsiaTheme="minorEastAsia"/>
          <w:b/>
          <w:color w:val="4472C4" w:themeColor="accent1"/>
          <w:spacing w:val="15"/>
          <w:lang w:val="en-US"/>
        </w:rPr>
      </w:pPr>
    </w:p>
    <w:p w14:paraId="56AEE4ED" w14:textId="1E7241DA" w:rsidR="00AA1520" w:rsidRDefault="00AA1520" w:rsidP="001040F0">
      <w:pPr>
        <w:widowControl/>
        <w:spacing w:line="312" w:lineRule="auto"/>
        <w:jc w:val="left"/>
        <w:rPr>
          <w:rFonts w:eastAsiaTheme="minorEastAsia"/>
          <w:b/>
          <w:color w:val="4472C4" w:themeColor="accent1"/>
          <w:spacing w:val="15"/>
          <w:lang w:val="en-US"/>
        </w:rPr>
      </w:pPr>
    </w:p>
    <w:p w14:paraId="0E91457F" w14:textId="77777777" w:rsidR="00AA1520" w:rsidRDefault="00AA1520" w:rsidP="001040F0">
      <w:pPr>
        <w:widowControl/>
        <w:spacing w:line="312" w:lineRule="auto"/>
        <w:jc w:val="left"/>
        <w:rPr>
          <w:rFonts w:eastAsiaTheme="minorEastAsia"/>
          <w:b/>
          <w:color w:val="4472C4" w:themeColor="accent1"/>
          <w:spacing w:val="15"/>
          <w:lang w:val="en-US"/>
        </w:rPr>
      </w:pPr>
    </w:p>
    <w:p w14:paraId="7623D41A" w14:textId="215471B5" w:rsidR="00106FB4" w:rsidRPr="001040F0" w:rsidRDefault="00E73FFF" w:rsidP="001040F0">
      <w:pPr>
        <w:widowControl/>
        <w:spacing w:line="312" w:lineRule="auto"/>
        <w:jc w:val="left"/>
        <w:rPr>
          <w:rFonts w:eastAsiaTheme="minorEastAsia"/>
          <w:b/>
          <w:color w:val="4472C4" w:themeColor="accent1"/>
          <w:spacing w:val="15"/>
          <w:lang w:val="en-US"/>
        </w:rPr>
      </w:pPr>
      <w:r>
        <w:rPr>
          <w:noProof/>
          <w:sz w:val="20"/>
          <w:szCs w:val="20"/>
          <w:lang w:eastAsia="en-AU"/>
        </w:rPr>
        <mc:AlternateContent>
          <mc:Choice Requires="wps">
            <w:drawing>
              <wp:anchor distT="45720" distB="45720" distL="114300" distR="114300" simplePos="0" relativeHeight="251679744" behindDoc="0" locked="0" layoutInCell="1" allowOverlap="1" wp14:anchorId="5FF4EECD" wp14:editId="2FC485F9">
                <wp:simplePos x="0" y="0"/>
                <wp:positionH relativeFrom="margin">
                  <wp:posOffset>-170815</wp:posOffset>
                </wp:positionH>
                <wp:positionV relativeFrom="margin">
                  <wp:align>bottom</wp:align>
                </wp:positionV>
                <wp:extent cx="6105525" cy="172910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5525" cy="1729105"/>
                        </a:xfrm>
                        <a:prstGeom prst="rect">
                          <a:avLst/>
                        </a:prstGeom>
                        <a:solidFill>
                          <a:srgbClr val="FFFFFF"/>
                        </a:solidFill>
                        <a:ln w="9525">
                          <a:noFill/>
                          <a:miter lim="800000"/>
                          <a:headEnd/>
                          <a:tailEnd/>
                        </a:ln>
                      </wps:spPr>
                      <wps:txbx>
                        <w:txbxContent>
                          <w:p w14:paraId="73683F4B" w14:textId="77777777" w:rsidR="00517767" w:rsidRPr="00BF3830" w:rsidRDefault="00517767" w:rsidP="00DB286A">
                            <w:pPr>
                              <w:spacing w:before="0" w:after="0"/>
                              <w:rPr>
                                <w:sz w:val="22"/>
                                <w:szCs w:val="22"/>
                              </w:rPr>
                            </w:pPr>
                            <w:r w:rsidRPr="00BF3830">
                              <w:rPr>
                                <w:sz w:val="22"/>
                                <w:szCs w:val="22"/>
                              </w:rPr>
                              <w:t xml:space="preserve">ANU SMF / </w:t>
                            </w:r>
                            <w:proofErr w:type="spellStart"/>
                            <w:r w:rsidRPr="00BF3830">
                              <w:rPr>
                                <w:sz w:val="22"/>
                                <w:szCs w:val="22"/>
                              </w:rPr>
                              <w:t>RSFAS</w:t>
                            </w:r>
                            <w:proofErr w:type="spellEnd"/>
                            <w:r w:rsidRPr="00BF3830">
                              <w:rPr>
                                <w:sz w:val="22"/>
                                <w:szCs w:val="22"/>
                              </w:rPr>
                              <w:t xml:space="preserve"> / College of Business and Economics</w:t>
                            </w:r>
                          </w:p>
                          <w:p w14:paraId="01512626" w14:textId="77777777" w:rsidR="00517767" w:rsidRPr="00BF3830" w:rsidRDefault="00517767" w:rsidP="00DB286A">
                            <w:pPr>
                              <w:spacing w:before="0" w:after="0"/>
                              <w:rPr>
                                <w:sz w:val="22"/>
                                <w:szCs w:val="22"/>
                              </w:rPr>
                            </w:pPr>
                            <w:r w:rsidRPr="00BF3830">
                              <w:rPr>
                                <w:sz w:val="22"/>
                                <w:szCs w:val="22"/>
                              </w:rPr>
                              <w:t>+61 2 6125 4626</w:t>
                            </w:r>
                          </w:p>
                          <w:p w14:paraId="213123B3" w14:textId="77777777" w:rsidR="00517767" w:rsidRPr="00BF3830" w:rsidRDefault="00517767" w:rsidP="00DB286A">
                            <w:pPr>
                              <w:spacing w:before="240" w:after="240"/>
                              <w:rPr>
                                <w:sz w:val="22"/>
                                <w:szCs w:val="22"/>
                              </w:rPr>
                            </w:pPr>
                            <w:r w:rsidRPr="00BF3830">
                              <w:rPr>
                                <w:sz w:val="22"/>
                                <w:szCs w:val="22"/>
                              </w:rPr>
                              <w:t>SMF email: smf.rsfas@anu.edu.au</w:t>
                            </w:r>
                          </w:p>
                          <w:p w14:paraId="75333DBA" w14:textId="77777777" w:rsidR="00517767" w:rsidRPr="00BF3830" w:rsidRDefault="00517767" w:rsidP="00DB286A">
                            <w:pPr>
                              <w:spacing w:before="0" w:after="0"/>
                              <w:rPr>
                                <w:sz w:val="22"/>
                                <w:szCs w:val="22"/>
                              </w:rPr>
                            </w:pPr>
                            <w:r w:rsidRPr="00BF3830">
                              <w:rPr>
                                <w:sz w:val="22"/>
                                <w:szCs w:val="22"/>
                              </w:rPr>
                              <w:t>The Australian National University</w:t>
                            </w:r>
                          </w:p>
                          <w:p w14:paraId="49D3FAA6" w14:textId="77777777" w:rsidR="00517767" w:rsidRPr="00BF3830" w:rsidRDefault="00517767" w:rsidP="00DB286A">
                            <w:pPr>
                              <w:spacing w:before="0" w:after="0"/>
                              <w:rPr>
                                <w:sz w:val="22"/>
                                <w:szCs w:val="22"/>
                              </w:rPr>
                            </w:pPr>
                            <w:r w:rsidRPr="00BF3830">
                              <w:rPr>
                                <w:sz w:val="22"/>
                                <w:szCs w:val="22"/>
                              </w:rPr>
                              <w:t>Canberra ACT 2601 Australia</w:t>
                            </w:r>
                          </w:p>
                          <w:p w14:paraId="64438E17" w14:textId="77777777" w:rsidR="00517767" w:rsidRPr="00BF3830" w:rsidRDefault="002F1534" w:rsidP="00DB286A">
                            <w:pPr>
                              <w:spacing w:before="0" w:after="0"/>
                              <w:rPr>
                                <w:b/>
                                <w:bCs/>
                                <w:sz w:val="22"/>
                                <w:szCs w:val="22"/>
                              </w:rPr>
                            </w:pPr>
                            <w:hyperlink r:id="rId18" w:history="1">
                              <w:r w:rsidR="00517767" w:rsidRPr="00BF3830">
                                <w:rPr>
                                  <w:rStyle w:val="Hyperlink"/>
                                  <w:b/>
                                  <w:bCs/>
                                  <w:sz w:val="22"/>
                                  <w:szCs w:val="22"/>
                                  <w:u w:val="none"/>
                                </w:rPr>
                                <w:t>www.anu.edu.au</w:t>
                              </w:r>
                            </w:hyperlink>
                          </w:p>
                          <w:p w14:paraId="0EAEF5C1" w14:textId="77777777" w:rsidR="00517767" w:rsidRPr="00BF3830" w:rsidRDefault="00517767" w:rsidP="00E354A7">
                            <w:pPr>
                              <w:rPr>
                                <w:sz w:val="22"/>
                                <w:szCs w:val="22"/>
                              </w:rPr>
                            </w:pPr>
                            <w:proofErr w:type="spellStart"/>
                            <w:r w:rsidRPr="00BF3830">
                              <w:rPr>
                                <w:sz w:val="22"/>
                                <w:szCs w:val="22"/>
                              </w:rPr>
                              <w:t>CRICOS</w:t>
                            </w:r>
                            <w:proofErr w:type="spellEnd"/>
                            <w:r w:rsidRPr="00BF3830">
                              <w:rPr>
                                <w:sz w:val="22"/>
                                <w:szCs w:val="22"/>
                              </w:rPr>
                              <w:t xml:space="preserve"> Provider No. </w:t>
                            </w:r>
                            <w:proofErr w:type="spellStart"/>
                            <w:r w:rsidRPr="00BF3830">
                              <w:rPr>
                                <w:sz w:val="22"/>
                                <w:szCs w:val="22"/>
                              </w:rPr>
                              <w:t>00120C</w:t>
                            </w:r>
                            <w:proofErr w:type="spell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5FF4EECD" id="_x0000_t202" coordsize="21600,21600" o:spt="202" path="m,l,21600r21600,l21600,xe">
                <v:stroke joinstyle="miter"/>
                <v:path gradientshapeok="t" o:connecttype="rect"/>
              </v:shapetype>
              <v:shape id="Text Box 2" o:spid="_x0000_s1026" type="#_x0000_t202" style="position:absolute;margin-left:-13.45pt;margin-top:0;width:480.75pt;height:136.15pt;z-index:251679744;visibility:visible;mso-wrap-style:square;mso-width-percent:0;mso-height-percent:0;mso-wrap-distance-left:9pt;mso-wrap-distance-top:3.6pt;mso-wrap-distance-right:9pt;mso-wrap-distance-bottom:3.6pt;mso-position-horizontal:absolute;mso-position-horizontal-relative:margin;mso-position-vertical:bottom;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" stroked="f">
                <v:textbox style="mso-fit-shape-to-text:t">
                  <w:txbxContent>
                    <w:p w14:paraId="73683F4B" w14:textId="77777777" w:rsidR="00517767" w:rsidRPr="00BF3830" w:rsidRDefault="00517767" w:rsidP="00DB286A">
                      <w:pPr>
                        <w:spacing w:before="0" w:after="0"/>
                        <w:rPr>
                          <w:sz w:val="22"/>
                          <w:szCs w:val="22"/>
                        </w:rPr>
                      </w:pPr>
                      <w:r w:rsidRPr="00BF3830">
                        <w:rPr>
                          <w:sz w:val="22"/>
                          <w:szCs w:val="22"/>
                        </w:rPr>
                        <w:t>ANU SMF / RSFAS / College of Business and Economics</w:t>
                      </w:r>
                    </w:p>
                    <w:p w14:paraId="01512626" w14:textId="77777777" w:rsidR="00517767" w:rsidRPr="00BF3830" w:rsidRDefault="00517767" w:rsidP="00DB286A">
                      <w:pPr>
                        <w:spacing w:before="0" w:after="0"/>
                        <w:rPr>
                          <w:sz w:val="22"/>
                          <w:szCs w:val="22"/>
                        </w:rPr>
                      </w:pPr>
                      <w:r w:rsidRPr="00BF3830">
                        <w:rPr>
                          <w:sz w:val="22"/>
                          <w:szCs w:val="22"/>
                        </w:rPr>
                        <w:t>+61 2 6125 4626</w:t>
                      </w:r>
                    </w:p>
                    <w:p w14:paraId="213123B3" w14:textId="77777777" w:rsidR="00517767" w:rsidRPr="00BF3830" w:rsidRDefault="00517767" w:rsidP="00DB286A">
                      <w:pPr>
                        <w:spacing w:before="240" w:after="240"/>
                        <w:rPr>
                          <w:sz w:val="22"/>
                          <w:szCs w:val="22"/>
                        </w:rPr>
                      </w:pPr>
                      <w:r w:rsidRPr="00BF3830">
                        <w:rPr>
                          <w:sz w:val="22"/>
                          <w:szCs w:val="22"/>
                        </w:rPr>
                        <w:t>SMF email: smf.rsfas@anu.edu.au</w:t>
                      </w:r>
                    </w:p>
                    <w:p w14:paraId="75333DBA" w14:textId="77777777" w:rsidR="00517767" w:rsidRPr="00BF3830" w:rsidRDefault="00517767" w:rsidP="00DB286A">
                      <w:pPr>
                        <w:spacing w:before="0" w:after="0"/>
                        <w:rPr>
                          <w:sz w:val="22"/>
                          <w:szCs w:val="22"/>
                        </w:rPr>
                      </w:pPr>
                      <w:r w:rsidRPr="00BF3830">
                        <w:rPr>
                          <w:sz w:val="22"/>
                          <w:szCs w:val="22"/>
                        </w:rPr>
                        <w:t>The Australian National University</w:t>
                      </w:r>
                    </w:p>
                    <w:p w14:paraId="49D3FAA6" w14:textId="77777777" w:rsidR="00517767" w:rsidRPr="00BF3830" w:rsidRDefault="00517767" w:rsidP="00DB286A">
                      <w:pPr>
                        <w:spacing w:before="0" w:after="0"/>
                        <w:rPr>
                          <w:sz w:val="22"/>
                          <w:szCs w:val="22"/>
                        </w:rPr>
                      </w:pPr>
                      <w:r w:rsidRPr="00BF3830">
                        <w:rPr>
                          <w:sz w:val="22"/>
                          <w:szCs w:val="22"/>
                        </w:rPr>
                        <w:t>Canberra ACT 2601 Australia</w:t>
                      </w:r>
                    </w:p>
                    <w:p w14:paraId="64438E17" w14:textId="77777777" w:rsidR="00517767" w:rsidRPr="00BF3830" w:rsidRDefault="00EE6377" w:rsidP="00DB286A">
                      <w:pPr>
                        <w:spacing w:before="0" w:after="0"/>
                        <w:rPr>
                          <w:b/>
                          <w:bCs/>
                          <w:sz w:val="22"/>
                          <w:szCs w:val="22"/>
                        </w:rPr>
                      </w:pPr>
                      <w:hyperlink r:id="rId19" w:history="1">
                        <w:r w:rsidR="00517767" w:rsidRPr="00BF3830">
                          <w:rPr>
                            <w:rStyle w:val="Hyperlink"/>
                            <w:b/>
                            <w:bCs/>
                            <w:sz w:val="22"/>
                            <w:szCs w:val="22"/>
                            <w:u w:val="none"/>
                          </w:rPr>
                          <w:t>www.anu.edu.au</w:t>
                        </w:r>
                      </w:hyperlink>
                    </w:p>
                    <w:p w14:paraId="0EAEF5C1" w14:textId="77777777" w:rsidR="00517767" w:rsidRPr="00BF3830" w:rsidRDefault="00517767" w:rsidP="00E354A7">
                      <w:pPr>
                        <w:rPr>
                          <w:sz w:val="22"/>
                          <w:szCs w:val="22"/>
                        </w:rPr>
                      </w:pPr>
                      <w:r w:rsidRPr="00BF3830">
                        <w:rPr>
                          <w:sz w:val="22"/>
                          <w:szCs w:val="22"/>
                        </w:rPr>
                        <w:t>CRICOS Provider No. 00120C</w:t>
                      </w:r>
                    </w:p>
                  </w:txbxContent>
                </v:textbox>
                <w10:wrap type="square" anchorx="margin" anchory="margin"/>
              </v:shape>
            </w:pict>
          </mc:Fallback>
        </mc:AlternateContent>
      </w:r>
    </w:p>
    <w:sectPr w:rsidR="00106FB4" w:rsidRPr="001040F0" w:rsidSect="007D766D">
      <w:headerReference w:type="default" r:id="rId20"/>
      <w:footerReference w:type="default" r:id="rId21"/>
      <w:pgSz w:w="11906" w:h="16838" w:code="9"/>
      <w:pgMar w:top="1152" w:right="1152" w:bottom="1152" w:left="1152" w:header="432" w:footer="28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98C106" w14:textId="77777777" w:rsidR="002E42BC" w:rsidRDefault="002E42BC" w:rsidP="003C2B26">
      <w:r>
        <w:separator/>
      </w:r>
    </w:p>
  </w:endnote>
  <w:endnote w:type="continuationSeparator" w:id="0">
    <w:p w14:paraId="30AECBE4" w14:textId="77777777" w:rsidR="002E42BC" w:rsidRDefault="002E42BC" w:rsidP="003C2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B84B53" w14:textId="77777777" w:rsidR="00517767" w:rsidRDefault="00517767" w:rsidP="00BF3830">
    <w:pPr>
      <w:pStyle w:val="Footer"/>
      <w:tabs>
        <w:tab w:val="left" w:pos="8910"/>
      </w:tabs>
      <w:jc w:val="left"/>
    </w:pPr>
    <w:r>
      <w:t xml:space="preserve">ANU SMF: Mid-Semester Report, Semester 2, 2018 </w:t>
    </w:r>
    <w:r>
      <w:tab/>
      <w:t xml:space="preserve">Page </w:t>
    </w:r>
    <w:sdt>
      <w:sdtPr>
        <w:id w:val="-774936795"/>
        <w:docPartObj>
          <w:docPartGallery w:val="Page Numbers (Bottom of Page)"/>
          <w:docPartUnique/>
        </w:docPartObj>
      </w:sdtPr>
      <w:sdtEndPr>
        <w:rPr>
          <w:noProof/>
        </w:rPr>
      </w:sdtEndPr>
      <w:sdtContent>
        <w:r>
          <w:rPr>
            <w:noProof/>
          </w:rPr>
          <w:fldChar w:fldCharType="begin"/>
        </w:r>
        <w:r>
          <w:rPr>
            <w:noProof/>
          </w:rPr>
          <w:instrText xml:space="preserve"> PAGE   \* MERGEFORMAT </w:instrText>
        </w:r>
        <w:r>
          <w:rPr>
            <w:noProof/>
          </w:rPr>
          <w:fldChar w:fldCharType="separate"/>
        </w:r>
        <w:r>
          <w:rPr>
            <w:noProof/>
          </w:rPr>
          <w:t>2</w:t>
        </w:r>
        <w:r>
          <w:rPr>
            <w:noProof/>
          </w:rPr>
          <w:fldChar w:fldCharType="end"/>
        </w:r>
      </w:sdtContent>
    </w:sdt>
  </w:p>
  <w:p w14:paraId="062E7810" w14:textId="77777777" w:rsidR="00517767" w:rsidRPr="00063CBE" w:rsidRDefault="00517767" w:rsidP="00BF3830">
    <w:pPr>
      <w:pStyle w:val="Footer"/>
      <w:tabs>
        <w:tab w:val="left" w:pos="837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C9EEA4" w14:textId="77777777" w:rsidR="002E42BC" w:rsidRDefault="002E42BC" w:rsidP="003C2B26">
      <w:r>
        <w:separator/>
      </w:r>
    </w:p>
  </w:footnote>
  <w:footnote w:type="continuationSeparator" w:id="0">
    <w:p w14:paraId="3F194F88" w14:textId="77777777" w:rsidR="002E42BC" w:rsidRDefault="002E42BC" w:rsidP="003C2B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E53F1A" w14:textId="77777777" w:rsidR="00517767" w:rsidRDefault="00517767" w:rsidP="00380F71">
    <w:pPr>
      <w:pStyle w:val="Header"/>
      <w:tabs>
        <w:tab w:val="left" w:pos="360"/>
      </w:tabs>
      <w:spacing w:after="360"/>
      <w:jc w:val="left"/>
    </w:pPr>
    <w:r>
      <w:rPr>
        <w:noProof/>
        <w:lang w:val="en-US"/>
      </w:rPr>
      <w:drawing>
        <wp:inline distT="0" distB="0" distL="0" distR="0" wp14:anchorId="38178ABD" wp14:editId="7A3236AB">
          <wp:extent cx="1658883" cy="576943"/>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logo.w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63829" cy="57866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18CE15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66D2607"/>
    <w:multiLevelType w:val="multilevel"/>
    <w:tmpl w:val="1FBCE51A"/>
    <w:numStyleLink w:val="BulletPoints"/>
  </w:abstractNum>
  <w:abstractNum w:abstractNumId="2" w15:restartNumberingAfterBreak="0">
    <w:nsid w:val="06FA62CD"/>
    <w:multiLevelType w:val="hybridMultilevel"/>
    <w:tmpl w:val="F2B6EAFC"/>
    <w:lvl w:ilvl="0" w:tplc="0C090001">
      <w:start w:val="1"/>
      <w:numFmt w:val="bullet"/>
      <w:lvlText w:val=""/>
      <w:lvlJc w:val="left"/>
      <w:pPr>
        <w:ind w:left="720" w:hanging="360"/>
      </w:pPr>
      <w:rPr>
        <w:rFonts w:ascii="Symbol" w:hAnsi="Symbol" w:hint="default"/>
      </w:rPr>
    </w:lvl>
    <w:lvl w:ilvl="1" w:tplc="F188B042">
      <w:start w:val="1"/>
      <w:numFmt w:val="bullet"/>
      <w:lvlText w:val="­"/>
      <w:lvlJc w:val="left"/>
      <w:pPr>
        <w:ind w:left="9810" w:hanging="360"/>
      </w:pPr>
      <w:rPr>
        <w:rFonts w:ascii="Times New Roman" w:hAnsi="Times New Roman" w:cs="Times New Roman" w:hint="default"/>
        <w:color w:val="000000" w:themeColor="text1"/>
      </w:rPr>
    </w:lvl>
    <w:lvl w:ilvl="2" w:tplc="0C090005">
      <w:start w:val="1"/>
      <w:numFmt w:val="bullet"/>
      <w:lvlText w:val=""/>
      <w:lvlJc w:val="left"/>
      <w:pPr>
        <w:ind w:left="2160" w:hanging="360"/>
      </w:pPr>
      <w:rPr>
        <w:rFonts w:ascii="Wingdings" w:hAnsi="Wingdings" w:hint="default"/>
      </w:rPr>
    </w:lvl>
    <w:lvl w:ilvl="3" w:tplc="F188B042">
      <w:start w:val="1"/>
      <w:numFmt w:val="bullet"/>
      <w:lvlText w:val="­"/>
      <w:lvlJc w:val="left"/>
      <w:pPr>
        <w:ind w:left="2880" w:hanging="360"/>
      </w:pPr>
      <w:rPr>
        <w:rFonts w:ascii="Times New Roman" w:hAnsi="Times New Roman" w:cs="Times New Roman" w:hint="default"/>
        <w:color w:val="000000" w:themeColor="text1"/>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74A51C4"/>
    <w:multiLevelType w:val="multilevel"/>
    <w:tmpl w:val="0C09001D"/>
    <w:numStyleLink w:val="Style1"/>
  </w:abstractNum>
  <w:abstractNum w:abstractNumId="4" w15:restartNumberingAfterBreak="0">
    <w:nsid w:val="08624FB3"/>
    <w:multiLevelType w:val="hybridMultilevel"/>
    <w:tmpl w:val="9EFA44AE"/>
    <w:lvl w:ilvl="0" w:tplc="8062C9D2">
      <w:start w:val="1"/>
      <w:numFmt w:val="bullet"/>
      <w:lvlText w:val=""/>
      <w:lvlJc w:val="left"/>
      <w:pPr>
        <w:ind w:left="720" w:hanging="360"/>
      </w:pPr>
      <w:rPr>
        <w:rFonts w:ascii="Symbol" w:hAnsi="Symbo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E186CA3"/>
    <w:multiLevelType w:val="hybridMultilevel"/>
    <w:tmpl w:val="629438E0"/>
    <w:lvl w:ilvl="0" w:tplc="E73EE798">
      <w:start w:val="3"/>
      <w:numFmt w:val="bullet"/>
      <w:lvlText w:val=""/>
      <w:lvlJc w:val="left"/>
      <w:pPr>
        <w:ind w:left="720" w:hanging="360"/>
      </w:pPr>
      <w:rPr>
        <w:rFonts w:ascii="Symbol" w:eastAsia="SimSu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9D531E5"/>
    <w:multiLevelType w:val="hybridMultilevel"/>
    <w:tmpl w:val="B70A7D30"/>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D3D5F1B"/>
    <w:multiLevelType w:val="multilevel"/>
    <w:tmpl w:val="1FBCE51A"/>
    <w:numStyleLink w:val="BulletPoints"/>
  </w:abstractNum>
  <w:abstractNum w:abstractNumId="8" w15:restartNumberingAfterBreak="0">
    <w:nsid w:val="1E491ECB"/>
    <w:multiLevelType w:val="multilevel"/>
    <w:tmpl w:val="1FBCE51A"/>
    <w:numStyleLink w:val="BulletPoints"/>
  </w:abstractNum>
  <w:abstractNum w:abstractNumId="9" w15:restartNumberingAfterBreak="0">
    <w:nsid w:val="1F9B2E52"/>
    <w:multiLevelType w:val="hybridMultilevel"/>
    <w:tmpl w:val="5BC402B2"/>
    <w:lvl w:ilvl="0" w:tplc="CF28BE3A">
      <w:start w:val="1"/>
      <w:numFmt w:val="bullet"/>
      <w:pStyle w:val="2ndIndentation"/>
      <w:lvlText w:val="­"/>
      <w:lvlJc w:val="left"/>
      <w:pPr>
        <w:ind w:left="1440" w:hanging="360"/>
      </w:pPr>
      <w:rPr>
        <w:rFonts w:ascii="Times New Roman" w:hAnsi="Times New Roman" w:cs="Times New Roman" w:hint="default"/>
        <w:color w:val="000000" w:themeColor="text1"/>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0" w15:restartNumberingAfterBreak="0">
    <w:nsid w:val="25625ED1"/>
    <w:multiLevelType w:val="multilevel"/>
    <w:tmpl w:val="1FBCE51A"/>
    <w:numStyleLink w:val="BulletPoints"/>
  </w:abstractNum>
  <w:abstractNum w:abstractNumId="11" w15:restartNumberingAfterBreak="0">
    <w:nsid w:val="2A361607"/>
    <w:multiLevelType w:val="hybridMultilevel"/>
    <w:tmpl w:val="8910BE92"/>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B702BD4"/>
    <w:multiLevelType w:val="hybridMultilevel"/>
    <w:tmpl w:val="AA0032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D781E85"/>
    <w:multiLevelType w:val="hybridMultilevel"/>
    <w:tmpl w:val="C30E998E"/>
    <w:lvl w:ilvl="0" w:tplc="AF746DC0">
      <w:start w:val="1"/>
      <w:numFmt w:val="bullet"/>
      <w:lvlText w:val=""/>
      <w:lvlJc w:val="left"/>
      <w:pPr>
        <w:ind w:left="720" w:hanging="360"/>
      </w:pPr>
      <w:rPr>
        <w:rFonts w:ascii="Symbol" w:hAnsi="Symbol" w:hint="default"/>
        <w:color w:val="4472C4" w:themeColor="accent1"/>
      </w:rPr>
    </w:lvl>
    <w:lvl w:ilvl="1" w:tplc="67EADF1A">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EC73F6F"/>
    <w:multiLevelType w:val="hybridMultilevel"/>
    <w:tmpl w:val="839C78AE"/>
    <w:lvl w:ilvl="0" w:tplc="08090003">
      <w:start w:val="1"/>
      <w:numFmt w:val="bullet"/>
      <w:lvlText w:val="o"/>
      <w:lvlJc w:val="left"/>
      <w:pPr>
        <w:ind w:left="778" w:hanging="360"/>
      </w:pPr>
      <w:rPr>
        <w:rFonts w:ascii="Courier New" w:hAnsi="Courier New" w:cs="Courier New" w:hint="default"/>
      </w:rPr>
    </w:lvl>
    <w:lvl w:ilvl="1" w:tplc="08090003">
      <w:start w:val="1"/>
      <w:numFmt w:val="bullet"/>
      <w:lvlText w:val="o"/>
      <w:lvlJc w:val="left"/>
      <w:pPr>
        <w:ind w:left="1498" w:hanging="360"/>
      </w:pPr>
      <w:rPr>
        <w:rFonts w:ascii="Courier New" w:hAnsi="Courier New" w:cs="Courier New" w:hint="default"/>
      </w:rPr>
    </w:lvl>
    <w:lvl w:ilvl="2" w:tplc="08090005">
      <w:start w:val="1"/>
      <w:numFmt w:val="bullet"/>
      <w:lvlText w:val=""/>
      <w:lvlJc w:val="left"/>
      <w:pPr>
        <w:ind w:left="2218" w:hanging="360"/>
      </w:pPr>
      <w:rPr>
        <w:rFonts w:ascii="Wingdings" w:hAnsi="Wingdings" w:hint="default"/>
      </w:rPr>
    </w:lvl>
    <w:lvl w:ilvl="3" w:tplc="08090001">
      <w:start w:val="1"/>
      <w:numFmt w:val="bullet"/>
      <w:lvlText w:val=""/>
      <w:lvlJc w:val="left"/>
      <w:pPr>
        <w:ind w:left="2938" w:hanging="360"/>
      </w:pPr>
      <w:rPr>
        <w:rFonts w:ascii="Symbol" w:hAnsi="Symbol" w:hint="default"/>
      </w:rPr>
    </w:lvl>
    <w:lvl w:ilvl="4" w:tplc="08090003">
      <w:start w:val="1"/>
      <w:numFmt w:val="bullet"/>
      <w:lvlText w:val="o"/>
      <w:lvlJc w:val="left"/>
      <w:pPr>
        <w:ind w:left="3658" w:hanging="360"/>
      </w:pPr>
      <w:rPr>
        <w:rFonts w:ascii="Courier New" w:hAnsi="Courier New" w:cs="Courier New" w:hint="default"/>
      </w:rPr>
    </w:lvl>
    <w:lvl w:ilvl="5" w:tplc="08090005">
      <w:start w:val="1"/>
      <w:numFmt w:val="bullet"/>
      <w:lvlText w:val=""/>
      <w:lvlJc w:val="left"/>
      <w:pPr>
        <w:ind w:left="4378" w:hanging="360"/>
      </w:pPr>
      <w:rPr>
        <w:rFonts w:ascii="Wingdings" w:hAnsi="Wingdings" w:hint="default"/>
      </w:rPr>
    </w:lvl>
    <w:lvl w:ilvl="6" w:tplc="08090001">
      <w:start w:val="1"/>
      <w:numFmt w:val="bullet"/>
      <w:lvlText w:val=""/>
      <w:lvlJc w:val="left"/>
      <w:pPr>
        <w:ind w:left="5098" w:hanging="360"/>
      </w:pPr>
      <w:rPr>
        <w:rFonts w:ascii="Symbol" w:hAnsi="Symbol" w:hint="default"/>
      </w:rPr>
    </w:lvl>
    <w:lvl w:ilvl="7" w:tplc="08090003">
      <w:start w:val="1"/>
      <w:numFmt w:val="bullet"/>
      <w:lvlText w:val="o"/>
      <w:lvlJc w:val="left"/>
      <w:pPr>
        <w:ind w:left="5818" w:hanging="360"/>
      </w:pPr>
      <w:rPr>
        <w:rFonts w:ascii="Courier New" w:hAnsi="Courier New" w:cs="Courier New" w:hint="default"/>
      </w:rPr>
    </w:lvl>
    <w:lvl w:ilvl="8" w:tplc="08090005">
      <w:start w:val="1"/>
      <w:numFmt w:val="bullet"/>
      <w:lvlText w:val=""/>
      <w:lvlJc w:val="left"/>
      <w:pPr>
        <w:ind w:left="6538" w:hanging="360"/>
      </w:pPr>
      <w:rPr>
        <w:rFonts w:ascii="Wingdings" w:hAnsi="Wingdings" w:hint="default"/>
      </w:rPr>
    </w:lvl>
  </w:abstractNum>
  <w:abstractNum w:abstractNumId="15" w15:restartNumberingAfterBreak="0">
    <w:nsid w:val="30380990"/>
    <w:multiLevelType w:val="hybridMultilevel"/>
    <w:tmpl w:val="07A49F74"/>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30F14782"/>
    <w:multiLevelType w:val="hybridMultilevel"/>
    <w:tmpl w:val="2CA66AB8"/>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38931C95"/>
    <w:multiLevelType w:val="multilevel"/>
    <w:tmpl w:val="15ACAC36"/>
    <w:lvl w:ilvl="0">
      <w:start w:val="1"/>
      <w:numFmt w:val="decimal"/>
      <w:lvlText w:val="%1."/>
      <w:lvlJc w:val="left"/>
      <w:pPr>
        <w:ind w:left="480" w:hanging="480"/>
      </w:pPr>
      <w:rPr>
        <w:rFonts w:hint="default"/>
        <w:color w:val="4472C4" w:themeColor="accent1"/>
      </w:rPr>
    </w:lvl>
    <w:lvl w:ilvl="1">
      <w:start w:val="1"/>
      <w:numFmt w:val="lowerLetter"/>
      <w:lvlText w:val="%2."/>
      <w:lvlJc w:val="left"/>
      <w:pPr>
        <w:ind w:left="480" w:hanging="480"/>
      </w:pPr>
      <w:rPr>
        <w:rFonts w:hint="default"/>
        <w:color w:val="4472C4" w:themeColor="accen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DEB182A"/>
    <w:multiLevelType w:val="hybridMultilevel"/>
    <w:tmpl w:val="7264FB9E"/>
    <w:lvl w:ilvl="0" w:tplc="08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F0F5162"/>
    <w:multiLevelType w:val="multilevel"/>
    <w:tmpl w:val="1EF273D0"/>
    <w:lvl w:ilvl="0">
      <w:start w:val="1"/>
      <w:numFmt w:val="upperLetter"/>
      <w:lvlText w:val="%1."/>
      <w:lvlJc w:val="left"/>
      <w:pPr>
        <w:ind w:left="720" w:hanging="360"/>
      </w:pPr>
      <w:rPr>
        <w:strike w:val="0"/>
        <w:dstrike w:val="0"/>
        <w:u w:val="none"/>
        <w:effect w:val="none"/>
      </w:rPr>
    </w:lvl>
    <w:lvl w:ilvl="1">
      <w:start w:val="1"/>
      <w:numFmt w:val="bullet"/>
      <w:lvlText w:val="-"/>
      <w:lvlJc w:val="left"/>
      <w:pPr>
        <w:ind w:left="1440" w:hanging="360"/>
      </w:pPr>
      <w:rPr>
        <w:rFonts w:ascii="Calibri" w:eastAsiaTheme="minorHAnsi" w:hAnsi="Calibri" w:cstheme="minorBidi" w:hint="default"/>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20" w15:restartNumberingAfterBreak="0">
    <w:nsid w:val="41650EC7"/>
    <w:multiLevelType w:val="hybridMultilevel"/>
    <w:tmpl w:val="2606F7A6"/>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37A573A"/>
    <w:multiLevelType w:val="hybridMultilevel"/>
    <w:tmpl w:val="D280F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C62422"/>
    <w:multiLevelType w:val="multilevel"/>
    <w:tmpl w:val="BDEE01C8"/>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9440363"/>
    <w:multiLevelType w:val="hybridMultilevel"/>
    <w:tmpl w:val="1FBCE51A"/>
    <w:lvl w:ilvl="0" w:tplc="CC207BDC">
      <w:start w:val="1"/>
      <w:numFmt w:val="bullet"/>
      <w:pStyle w:val="ListParagraph"/>
      <w:lvlText w:val=""/>
      <w:lvlJc w:val="left"/>
      <w:pPr>
        <w:ind w:left="644" w:hanging="360"/>
      </w:pPr>
      <w:rPr>
        <w:rFonts w:ascii="Symbol" w:hAnsi="Symbol" w:hint="default"/>
      </w:rPr>
    </w:lvl>
    <w:lvl w:ilvl="1" w:tplc="443289AE">
      <w:start w:val="1"/>
      <w:numFmt w:val="bullet"/>
      <w:lvlText w:val=""/>
      <w:lvlJc w:val="left"/>
      <w:pPr>
        <w:ind w:left="2160" w:hanging="360"/>
      </w:pPr>
      <w:rPr>
        <w:rFonts w:ascii="Symbol" w:hAnsi="Symbol"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4" w15:restartNumberingAfterBreak="0">
    <w:nsid w:val="4B6E7B5B"/>
    <w:multiLevelType w:val="multilevel"/>
    <w:tmpl w:val="0C09001D"/>
    <w:styleLink w:val="Style1"/>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Times New Roman" w:hAnsi="Times New Roman" w:cs="Times New Roman"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4DC121D5"/>
    <w:multiLevelType w:val="hybridMultilevel"/>
    <w:tmpl w:val="1DE682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44C3EF9"/>
    <w:multiLevelType w:val="hybridMultilevel"/>
    <w:tmpl w:val="903A82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6FF36AA"/>
    <w:multiLevelType w:val="hybridMultilevel"/>
    <w:tmpl w:val="D2B622D4"/>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58BB5624"/>
    <w:multiLevelType w:val="multilevel"/>
    <w:tmpl w:val="1FBCE51A"/>
    <w:numStyleLink w:val="BulletPoints"/>
  </w:abstractNum>
  <w:abstractNum w:abstractNumId="29" w15:restartNumberingAfterBreak="0">
    <w:nsid w:val="60E32581"/>
    <w:multiLevelType w:val="hybridMultilevel"/>
    <w:tmpl w:val="E5C0BB22"/>
    <w:lvl w:ilvl="0" w:tplc="058AEAB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218021C"/>
    <w:multiLevelType w:val="multilevel"/>
    <w:tmpl w:val="1FBCE51A"/>
    <w:numStyleLink w:val="BulletPoints"/>
  </w:abstractNum>
  <w:abstractNum w:abstractNumId="31" w15:restartNumberingAfterBreak="0">
    <w:nsid w:val="663F3F1A"/>
    <w:multiLevelType w:val="hybridMultilevel"/>
    <w:tmpl w:val="1C8C92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7A4504D"/>
    <w:multiLevelType w:val="multilevel"/>
    <w:tmpl w:val="1FBCE51A"/>
    <w:numStyleLink w:val="BulletPoints"/>
  </w:abstractNum>
  <w:abstractNum w:abstractNumId="33" w15:restartNumberingAfterBreak="0">
    <w:nsid w:val="68683197"/>
    <w:multiLevelType w:val="multilevel"/>
    <w:tmpl w:val="1FBCE51A"/>
    <w:numStyleLink w:val="BulletPoints"/>
  </w:abstractNum>
  <w:abstractNum w:abstractNumId="34" w15:restartNumberingAfterBreak="0">
    <w:nsid w:val="6BF614DE"/>
    <w:multiLevelType w:val="hybridMultilevel"/>
    <w:tmpl w:val="BA56FC54"/>
    <w:lvl w:ilvl="0" w:tplc="08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71C601B0"/>
    <w:multiLevelType w:val="hybridMultilevel"/>
    <w:tmpl w:val="CC9E3F6C"/>
    <w:lvl w:ilvl="0" w:tplc="EDE05434">
      <w:numFmt w:val="bullet"/>
      <w:lvlText w:val="-"/>
      <w:lvlJc w:val="left"/>
      <w:pPr>
        <w:ind w:left="420" w:hanging="360"/>
      </w:pPr>
      <w:rPr>
        <w:rFonts w:ascii="Times New Roman" w:eastAsia="SimSu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6" w15:restartNumberingAfterBreak="0">
    <w:nsid w:val="750807FC"/>
    <w:multiLevelType w:val="multilevel"/>
    <w:tmpl w:val="1FBCE51A"/>
    <w:styleLink w:val="BulletPoints"/>
    <w:lvl w:ilvl="0">
      <w:start w:val="1"/>
      <w:numFmt w:val="bullet"/>
      <w:lvlText w:val=""/>
      <w:lvlJc w:val="left"/>
      <w:pPr>
        <w:ind w:left="644" w:hanging="360"/>
      </w:pPr>
      <w:rPr>
        <w:rFonts w:ascii="Symbol" w:hAnsi="Symbol" w:hint="default"/>
      </w:rPr>
    </w:lvl>
    <w:lvl w:ilvl="1">
      <w:start w:val="1"/>
      <w:numFmt w:val="bullet"/>
      <w:lvlText w:val=""/>
      <w:lvlJc w:val="left"/>
      <w:pPr>
        <w:ind w:left="1080" w:hanging="360"/>
      </w:pPr>
      <w:rPr>
        <w:rFonts w:ascii="Symbol" w:hAnsi="Symbol" w:hint="default"/>
        <w:b w:val="0"/>
        <w:i w:val="0"/>
        <w:spacing w:val="0"/>
        <w:sz w:val="22"/>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7" w15:restartNumberingAfterBreak="0">
    <w:nsid w:val="7CEC4C05"/>
    <w:multiLevelType w:val="hybridMultilevel"/>
    <w:tmpl w:val="56CC52DA"/>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15:restartNumberingAfterBreak="0">
    <w:nsid w:val="7F860C5A"/>
    <w:multiLevelType w:val="hybridMultilevel"/>
    <w:tmpl w:val="33246CAC"/>
    <w:lvl w:ilvl="0" w:tplc="4B22DD66">
      <w:start w:val="3"/>
      <w:numFmt w:val="bullet"/>
      <w:lvlText w:val="-"/>
      <w:lvlJc w:val="left"/>
      <w:pPr>
        <w:ind w:left="720" w:hanging="360"/>
      </w:pPr>
      <w:rPr>
        <w:rFonts w:ascii="Times New Roman" w:eastAsia="SimSu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3"/>
  </w:num>
  <w:num w:numId="2">
    <w:abstractNumId w:val="25"/>
  </w:num>
  <w:num w:numId="3">
    <w:abstractNumId w:val="14"/>
  </w:num>
  <w:num w:numId="4">
    <w:abstractNumId w:val="37"/>
  </w:num>
  <w:num w:numId="5">
    <w:abstractNumId w:val="11"/>
  </w:num>
  <w:num w:numId="6">
    <w:abstractNumId w:val="15"/>
  </w:num>
  <w:num w:numId="7">
    <w:abstractNumId w:val="16"/>
  </w:num>
  <w:num w:numId="8">
    <w:abstractNumId w:val="27"/>
  </w:num>
  <w:num w:numId="9">
    <w:abstractNumId w:val="18"/>
  </w:num>
  <w:num w:numId="10">
    <w:abstractNumId w:val="34"/>
  </w:num>
  <w:num w:numId="11">
    <w:abstractNumId w:val="9"/>
  </w:num>
  <w:num w:numId="12">
    <w:abstractNumId w:val="36"/>
  </w:num>
  <w:num w:numId="13">
    <w:abstractNumId w:val="8"/>
  </w:num>
  <w:num w:numId="14">
    <w:abstractNumId w:val="7"/>
  </w:num>
  <w:num w:numId="15">
    <w:abstractNumId w:val="24"/>
  </w:num>
  <w:num w:numId="16">
    <w:abstractNumId w:val="3"/>
  </w:num>
  <w:num w:numId="17">
    <w:abstractNumId w:val="32"/>
  </w:num>
  <w:num w:numId="18">
    <w:abstractNumId w:val="1"/>
  </w:num>
  <w:num w:numId="19">
    <w:abstractNumId w:val="28"/>
  </w:num>
  <w:num w:numId="20">
    <w:abstractNumId w:val="23"/>
  </w:num>
  <w:num w:numId="21">
    <w:abstractNumId w:val="33"/>
  </w:num>
  <w:num w:numId="22">
    <w:abstractNumId w:val="10"/>
  </w:num>
  <w:num w:numId="23">
    <w:abstractNumId w:val="31"/>
  </w:num>
  <w:num w:numId="24">
    <w:abstractNumId w:val="4"/>
  </w:num>
  <w:num w:numId="25">
    <w:abstractNumId w:val="21"/>
  </w:num>
  <w:num w:numId="26">
    <w:abstractNumId w:val="6"/>
  </w:num>
  <w:num w:numId="27">
    <w:abstractNumId w:val="20"/>
  </w:num>
  <w:num w:numId="28">
    <w:abstractNumId w:val="1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0"/>
  </w:num>
  <w:num w:numId="30">
    <w:abstractNumId w:val="22"/>
  </w:num>
  <w:num w:numId="31">
    <w:abstractNumId w:val="13"/>
  </w:num>
  <w:num w:numId="32">
    <w:abstractNumId w:val="17"/>
  </w:num>
  <w:num w:numId="33">
    <w:abstractNumId w:val="2"/>
  </w:num>
  <w:num w:numId="34">
    <w:abstractNumId w:val="26"/>
  </w:num>
  <w:num w:numId="35">
    <w:abstractNumId w:val="0"/>
  </w:num>
  <w:num w:numId="36">
    <w:abstractNumId w:val="35"/>
  </w:num>
  <w:num w:numId="37">
    <w:abstractNumId w:val="29"/>
  </w:num>
  <w:num w:numId="38">
    <w:abstractNumId w:val="5"/>
  </w:num>
  <w:num w:numId="39">
    <w:abstractNumId w:val="38"/>
  </w:num>
  <w:num w:numId="4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WAFNeedToUniquify" w:val="false"/>
    <w:docVar w:name="APWAFVersion" w:val="5.0"/>
  </w:docVars>
  <w:rsids>
    <w:rsidRoot w:val="004C7DE7"/>
    <w:rsid w:val="000008E2"/>
    <w:rsid w:val="000033FA"/>
    <w:rsid w:val="000048DC"/>
    <w:rsid w:val="00006E04"/>
    <w:rsid w:val="00007928"/>
    <w:rsid w:val="00011138"/>
    <w:rsid w:val="000118DF"/>
    <w:rsid w:val="000127F3"/>
    <w:rsid w:val="00013223"/>
    <w:rsid w:val="00014C63"/>
    <w:rsid w:val="000150BD"/>
    <w:rsid w:val="000173A9"/>
    <w:rsid w:val="000204B2"/>
    <w:rsid w:val="00023DC6"/>
    <w:rsid w:val="000243E0"/>
    <w:rsid w:val="00024EC9"/>
    <w:rsid w:val="000305AA"/>
    <w:rsid w:val="00032FD1"/>
    <w:rsid w:val="00034928"/>
    <w:rsid w:val="000351AB"/>
    <w:rsid w:val="0003600B"/>
    <w:rsid w:val="0003772C"/>
    <w:rsid w:val="00044435"/>
    <w:rsid w:val="00044DD5"/>
    <w:rsid w:val="00045263"/>
    <w:rsid w:val="000464A2"/>
    <w:rsid w:val="000468F8"/>
    <w:rsid w:val="000469C7"/>
    <w:rsid w:val="000513A4"/>
    <w:rsid w:val="00052E24"/>
    <w:rsid w:val="00060972"/>
    <w:rsid w:val="0006259C"/>
    <w:rsid w:val="000633A0"/>
    <w:rsid w:val="00063CBE"/>
    <w:rsid w:val="00066FA4"/>
    <w:rsid w:val="00073060"/>
    <w:rsid w:val="00074497"/>
    <w:rsid w:val="00074ABF"/>
    <w:rsid w:val="00080912"/>
    <w:rsid w:val="00081FDA"/>
    <w:rsid w:val="0008746E"/>
    <w:rsid w:val="00091CA7"/>
    <w:rsid w:val="00094031"/>
    <w:rsid w:val="000A0EB7"/>
    <w:rsid w:val="000A270B"/>
    <w:rsid w:val="000A3549"/>
    <w:rsid w:val="000A6F27"/>
    <w:rsid w:val="000B15D1"/>
    <w:rsid w:val="000B25E8"/>
    <w:rsid w:val="000B4115"/>
    <w:rsid w:val="000B46C2"/>
    <w:rsid w:val="000C0735"/>
    <w:rsid w:val="000C2957"/>
    <w:rsid w:val="000C3D55"/>
    <w:rsid w:val="000C4E45"/>
    <w:rsid w:val="000C534C"/>
    <w:rsid w:val="000D08D6"/>
    <w:rsid w:val="000D32E5"/>
    <w:rsid w:val="000D4CCE"/>
    <w:rsid w:val="000D6E1E"/>
    <w:rsid w:val="000E3A98"/>
    <w:rsid w:val="000E7D64"/>
    <w:rsid w:val="000F2315"/>
    <w:rsid w:val="000F2E88"/>
    <w:rsid w:val="000F38AF"/>
    <w:rsid w:val="000F3D7F"/>
    <w:rsid w:val="0010060C"/>
    <w:rsid w:val="0010133A"/>
    <w:rsid w:val="00101739"/>
    <w:rsid w:val="00103C6C"/>
    <w:rsid w:val="001040F0"/>
    <w:rsid w:val="00106365"/>
    <w:rsid w:val="00106FB4"/>
    <w:rsid w:val="00110B04"/>
    <w:rsid w:val="00111B39"/>
    <w:rsid w:val="0011363B"/>
    <w:rsid w:val="00116146"/>
    <w:rsid w:val="00117DFB"/>
    <w:rsid w:val="00125276"/>
    <w:rsid w:val="00126B4E"/>
    <w:rsid w:val="00130F2D"/>
    <w:rsid w:val="00130F44"/>
    <w:rsid w:val="00134166"/>
    <w:rsid w:val="0013572D"/>
    <w:rsid w:val="00136215"/>
    <w:rsid w:val="00141975"/>
    <w:rsid w:val="00142ADC"/>
    <w:rsid w:val="001440D9"/>
    <w:rsid w:val="001524E5"/>
    <w:rsid w:val="0015285B"/>
    <w:rsid w:val="001546B1"/>
    <w:rsid w:val="001619C5"/>
    <w:rsid w:val="00161F33"/>
    <w:rsid w:val="0016207A"/>
    <w:rsid w:val="0016293A"/>
    <w:rsid w:val="00162EAD"/>
    <w:rsid w:val="00166D01"/>
    <w:rsid w:val="00167569"/>
    <w:rsid w:val="001739EB"/>
    <w:rsid w:val="00175143"/>
    <w:rsid w:val="0017536B"/>
    <w:rsid w:val="00180907"/>
    <w:rsid w:val="001820E1"/>
    <w:rsid w:val="001827D2"/>
    <w:rsid w:val="001830BB"/>
    <w:rsid w:val="00185E8F"/>
    <w:rsid w:val="00186A0E"/>
    <w:rsid w:val="00187EC7"/>
    <w:rsid w:val="00190210"/>
    <w:rsid w:val="00190967"/>
    <w:rsid w:val="001918CE"/>
    <w:rsid w:val="00191C95"/>
    <w:rsid w:val="00192097"/>
    <w:rsid w:val="00192987"/>
    <w:rsid w:val="00193954"/>
    <w:rsid w:val="001942A3"/>
    <w:rsid w:val="00194FBB"/>
    <w:rsid w:val="001953CD"/>
    <w:rsid w:val="0019559B"/>
    <w:rsid w:val="00195F3E"/>
    <w:rsid w:val="001A4A0C"/>
    <w:rsid w:val="001A4BC7"/>
    <w:rsid w:val="001A5ADF"/>
    <w:rsid w:val="001A64FF"/>
    <w:rsid w:val="001A6D93"/>
    <w:rsid w:val="001A72A0"/>
    <w:rsid w:val="001B229F"/>
    <w:rsid w:val="001B2C22"/>
    <w:rsid w:val="001B5616"/>
    <w:rsid w:val="001C0447"/>
    <w:rsid w:val="001C0B1C"/>
    <w:rsid w:val="001C16C0"/>
    <w:rsid w:val="001C22F4"/>
    <w:rsid w:val="001C6F0F"/>
    <w:rsid w:val="001C7CD7"/>
    <w:rsid w:val="001D2350"/>
    <w:rsid w:val="001D6B5D"/>
    <w:rsid w:val="001D76F0"/>
    <w:rsid w:val="001E0DBA"/>
    <w:rsid w:val="001E36A9"/>
    <w:rsid w:val="001E6E32"/>
    <w:rsid w:val="001F3452"/>
    <w:rsid w:val="001F7E59"/>
    <w:rsid w:val="00200106"/>
    <w:rsid w:val="002027BE"/>
    <w:rsid w:val="00206CC1"/>
    <w:rsid w:val="00207A31"/>
    <w:rsid w:val="00207E27"/>
    <w:rsid w:val="00222466"/>
    <w:rsid w:val="002301BD"/>
    <w:rsid w:val="00230E9C"/>
    <w:rsid w:val="00230EAD"/>
    <w:rsid w:val="002312F9"/>
    <w:rsid w:val="002334C6"/>
    <w:rsid w:val="00234DCB"/>
    <w:rsid w:val="00237CB1"/>
    <w:rsid w:val="00241597"/>
    <w:rsid w:val="0024196A"/>
    <w:rsid w:val="00244253"/>
    <w:rsid w:val="002446FF"/>
    <w:rsid w:val="00244BF2"/>
    <w:rsid w:val="00245787"/>
    <w:rsid w:val="00246E78"/>
    <w:rsid w:val="0024797C"/>
    <w:rsid w:val="00250DAF"/>
    <w:rsid w:val="0025176D"/>
    <w:rsid w:val="00252094"/>
    <w:rsid w:val="00252399"/>
    <w:rsid w:val="00252951"/>
    <w:rsid w:val="00253E13"/>
    <w:rsid w:val="00253FB0"/>
    <w:rsid w:val="0026207C"/>
    <w:rsid w:val="00262118"/>
    <w:rsid w:val="00270551"/>
    <w:rsid w:val="00270995"/>
    <w:rsid w:val="00271152"/>
    <w:rsid w:val="002753D8"/>
    <w:rsid w:val="00277953"/>
    <w:rsid w:val="00282969"/>
    <w:rsid w:val="00282C1E"/>
    <w:rsid w:val="002839EA"/>
    <w:rsid w:val="0028764E"/>
    <w:rsid w:val="002918BE"/>
    <w:rsid w:val="00291C3F"/>
    <w:rsid w:val="00293E59"/>
    <w:rsid w:val="00293FDB"/>
    <w:rsid w:val="00294038"/>
    <w:rsid w:val="00294A3F"/>
    <w:rsid w:val="00294C84"/>
    <w:rsid w:val="00297D60"/>
    <w:rsid w:val="002A0690"/>
    <w:rsid w:val="002A0C6D"/>
    <w:rsid w:val="002A1F7D"/>
    <w:rsid w:val="002A3DE0"/>
    <w:rsid w:val="002A53D5"/>
    <w:rsid w:val="002A66C9"/>
    <w:rsid w:val="002B2122"/>
    <w:rsid w:val="002B2469"/>
    <w:rsid w:val="002B6B47"/>
    <w:rsid w:val="002C138C"/>
    <w:rsid w:val="002C3540"/>
    <w:rsid w:val="002C3C8B"/>
    <w:rsid w:val="002C4A6F"/>
    <w:rsid w:val="002C5178"/>
    <w:rsid w:val="002C73AA"/>
    <w:rsid w:val="002D0099"/>
    <w:rsid w:val="002D48E4"/>
    <w:rsid w:val="002D72BA"/>
    <w:rsid w:val="002E0F6A"/>
    <w:rsid w:val="002E2F3E"/>
    <w:rsid w:val="002E3DA2"/>
    <w:rsid w:val="002E42BC"/>
    <w:rsid w:val="002E4353"/>
    <w:rsid w:val="002E6CA5"/>
    <w:rsid w:val="002F0426"/>
    <w:rsid w:val="002F047F"/>
    <w:rsid w:val="002F1534"/>
    <w:rsid w:val="002F156B"/>
    <w:rsid w:val="002F1A15"/>
    <w:rsid w:val="002F1E7D"/>
    <w:rsid w:val="0030012E"/>
    <w:rsid w:val="00302A9A"/>
    <w:rsid w:val="00304243"/>
    <w:rsid w:val="0030741C"/>
    <w:rsid w:val="00307E61"/>
    <w:rsid w:val="00307FB3"/>
    <w:rsid w:val="0031627A"/>
    <w:rsid w:val="00316D9D"/>
    <w:rsid w:val="003274FE"/>
    <w:rsid w:val="00330B1D"/>
    <w:rsid w:val="00333E10"/>
    <w:rsid w:val="00335781"/>
    <w:rsid w:val="00341044"/>
    <w:rsid w:val="003439A1"/>
    <w:rsid w:val="00343BE1"/>
    <w:rsid w:val="00343EF0"/>
    <w:rsid w:val="00345E3C"/>
    <w:rsid w:val="00351779"/>
    <w:rsid w:val="00351C80"/>
    <w:rsid w:val="0035229A"/>
    <w:rsid w:val="00354D15"/>
    <w:rsid w:val="00355314"/>
    <w:rsid w:val="003600A7"/>
    <w:rsid w:val="00362564"/>
    <w:rsid w:val="00362AF8"/>
    <w:rsid w:val="00362F97"/>
    <w:rsid w:val="00363D06"/>
    <w:rsid w:val="00363E2D"/>
    <w:rsid w:val="00365CB5"/>
    <w:rsid w:val="003715AF"/>
    <w:rsid w:val="00373B5C"/>
    <w:rsid w:val="00375262"/>
    <w:rsid w:val="003809F1"/>
    <w:rsid w:val="00380F71"/>
    <w:rsid w:val="003810FD"/>
    <w:rsid w:val="003837EC"/>
    <w:rsid w:val="003850E3"/>
    <w:rsid w:val="00387039"/>
    <w:rsid w:val="00387259"/>
    <w:rsid w:val="00390F2B"/>
    <w:rsid w:val="00393293"/>
    <w:rsid w:val="00396F19"/>
    <w:rsid w:val="003A0D5E"/>
    <w:rsid w:val="003A24F7"/>
    <w:rsid w:val="003A4744"/>
    <w:rsid w:val="003A74C7"/>
    <w:rsid w:val="003A793C"/>
    <w:rsid w:val="003A7E80"/>
    <w:rsid w:val="003B3EAD"/>
    <w:rsid w:val="003B5862"/>
    <w:rsid w:val="003B73B3"/>
    <w:rsid w:val="003C2B26"/>
    <w:rsid w:val="003C2D30"/>
    <w:rsid w:val="003C4636"/>
    <w:rsid w:val="003C53D3"/>
    <w:rsid w:val="003C7A5D"/>
    <w:rsid w:val="003D2006"/>
    <w:rsid w:val="003D43F9"/>
    <w:rsid w:val="003D4B4A"/>
    <w:rsid w:val="003D4EB5"/>
    <w:rsid w:val="003D67B6"/>
    <w:rsid w:val="003D6AE7"/>
    <w:rsid w:val="003E0CE2"/>
    <w:rsid w:val="003E4DFD"/>
    <w:rsid w:val="003E5366"/>
    <w:rsid w:val="003E5B56"/>
    <w:rsid w:val="003E6CDB"/>
    <w:rsid w:val="003F129C"/>
    <w:rsid w:val="003F1E37"/>
    <w:rsid w:val="003F2FB2"/>
    <w:rsid w:val="003F3054"/>
    <w:rsid w:val="003F4F26"/>
    <w:rsid w:val="00403808"/>
    <w:rsid w:val="004050B2"/>
    <w:rsid w:val="00406DC8"/>
    <w:rsid w:val="00420486"/>
    <w:rsid w:val="004256AA"/>
    <w:rsid w:val="00427FDE"/>
    <w:rsid w:val="004300A6"/>
    <w:rsid w:val="00432317"/>
    <w:rsid w:val="00437E17"/>
    <w:rsid w:val="004403AD"/>
    <w:rsid w:val="004405F4"/>
    <w:rsid w:val="0044418D"/>
    <w:rsid w:val="0044483F"/>
    <w:rsid w:val="004448A0"/>
    <w:rsid w:val="00444B57"/>
    <w:rsid w:val="00444F9A"/>
    <w:rsid w:val="00446C28"/>
    <w:rsid w:val="00447910"/>
    <w:rsid w:val="0045356E"/>
    <w:rsid w:val="004539F6"/>
    <w:rsid w:val="00453EC3"/>
    <w:rsid w:val="004546CF"/>
    <w:rsid w:val="004562AE"/>
    <w:rsid w:val="00457409"/>
    <w:rsid w:val="004616E9"/>
    <w:rsid w:val="00461C51"/>
    <w:rsid w:val="00464263"/>
    <w:rsid w:val="00466F52"/>
    <w:rsid w:val="00467049"/>
    <w:rsid w:val="004734B9"/>
    <w:rsid w:val="00474F1F"/>
    <w:rsid w:val="00476B72"/>
    <w:rsid w:val="00480FF5"/>
    <w:rsid w:val="0048393A"/>
    <w:rsid w:val="0048492A"/>
    <w:rsid w:val="004854C7"/>
    <w:rsid w:val="00486335"/>
    <w:rsid w:val="00486FAD"/>
    <w:rsid w:val="004870A9"/>
    <w:rsid w:val="00487F4A"/>
    <w:rsid w:val="00490FA5"/>
    <w:rsid w:val="004A7A7C"/>
    <w:rsid w:val="004B3FDD"/>
    <w:rsid w:val="004C0DBC"/>
    <w:rsid w:val="004C1192"/>
    <w:rsid w:val="004C3B4B"/>
    <w:rsid w:val="004C4BD6"/>
    <w:rsid w:val="004C52E1"/>
    <w:rsid w:val="004C7DE7"/>
    <w:rsid w:val="004D3A58"/>
    <w:rsid w:val="004D769E"/>
    <w:rsid w:val="004E02AC"/>
    <w:rsid w:val="004E05A9"/>
    <w:rsid w:val="004E1855"/>
    <w:rsid w:val="004E6241"/>
    <w:rsid w:val="004E6580"/>
    <w:rsid w:val="004E67DA"/>
    <w:rsid w:val="004E7E92"/>
    <w:rsid w:val="004F00DA"/>
    <w:rsid w:val="004F00F2"/>
    <w:rsid w:val="004F5205"/>
    <w:rsid w:val="004F6057"/>
    <w:rsid w:val="004F6251"/>
    <w:rsid w:val="004F629B"/>
    <w:rsid w:val="004F7045"/>
    <w:rsid w:val="00501339"/>
    <w:rsid w:val="005046A5"/>
    <w:rsid w:val="00506528"/>
    <w:rsid w:val="00506DF6"/>
    <w:rsid w:val="00506F52"/>
    <w:rsid w:val="00507C3D"/>
    <w:rsid w:val="00515130"/>
    <w:rsid w:val="00517767"/>
    <w:rsid w:val="00517A26"/>
    <w:rsid w:val="0052018F"/>
    <w:rsid w:val="0052198F"/>
    <w:rsid w:val="005220C5"/>
    <w:rsid w:val="00530235"/>
    <w:rsid w:val="00533071"/>
    <w:rsid w:val="005335A9"/>
    <w:rsid w:val="00536F5D"/>
    <w:rsid w:val="005405E4"/>
    <w:rsid w:val="0054287E"/>
    <w:rsid w:val="0054435B"/>
    <w:rsid w:val="005462FB"/>
    <w:rsid w:val="00551D89"/>
    <w:rsid w:val="00552DDA"/>
    <w:rsid w:val="00552EF9"/>
    <w:rsid w:val="005536EC"/>
    <w:rsid w:val="0055464B"/>
    <w:rsid w:val="00556F1A"/>
    <w:rsid w:val="0055705C"/>
    <w:rsid w:val="0056236C"/>
    <w:rsid w:val="0057142D"/>
    <w:rsid w:val="00573F0C"/>
    <w:rsid w:val="00581C04"/>
    <w:rsid w:val="00582E57"/>
    <w:rsid w:val="005834F4"/>
    <w:rsid w:val="00584257"/>
    <w:rsid w:val="00594CE5"/>
    <w:rsid w:val="005A0E24"/>
    <w:rsid w:val="005A3DC5"/>
    <w:rsid w:val="005A57CD"/>
    <w:rsid w:val="005A6721"/>
    <w:rsid w:val="005C1B9A"/>
    <w:rsid w:val="005C34DB"/>
    <w:rsid w:val="005C767D"/>
    <w:rsid w:val="005C7F7F"/>
    <w:rsid w:val="005D6F8E"/>
    <w:rsid w:val="005D7952"/>
    <w:rsid w:val="005E54E3"/>
    <w:rsid w:val="005F0A3B"/>
    <w:rsid w:val="005F1229"/>
    <w:rsid w:val="005F1839"/>
    <w:rsid w:val="005F32AE"/>
    <w:rsid w:val="005F6BE6"/>
    <w:rsid w:val="0060323A"/>
    <w:rsid w:val="00604D28"/>
    <w:rsid w:val="0060673D"/>
    <w:rsid w:val="006103EC"/>
    <w:rsid w:val="00610FAB"/>
    <w:rsid w:val="00612A42"/>
    <w:rsid w:val="00613365"/>
    <w:rsid w:val="00614BB4"/>
    <w:rsid w:val="00614BDE"/>
    <w:rsid w:val="00621195"/>
    <w:rsid w:val="0062203B"/>
    <w:rsid w:val="006235D5"/>
    <w:rsid w:val="0062360D"/>
    <w:rsid w:val="00623E20"/>
    <w:rsid w:val="00627737"/>
    <w:rsid w:val="00630EC7"/>
    <w:rsid w:val="00631A09"/>
    <w:rsid w:val="00631B23"/>
    <w:rsid w:val="00633084"/>
    <w:rsid w:val="006365E1"/>
    <w:rsid w:val="00637545"/>
    <w:rsid w:val="00640034"/>
    <w:rsid w:val="0064311C"/>
    <w:rsid w:val="00646DE8"/>
    <w:rsid w:val="0064707E"/>
    <w:rsid w:val="006528BA"/>
    <w:rsid w:val="00652C25"/>
    <w:rsid w:val="00652E3C"/>
    <w:rsid w:val="00653AAE"/>
    <w:rsid w:val="00654B31"/>
    <w:rsid w:val="00657B4E"/>
    <w:rsid w:val="00657F64"/>
    <w:rsid w:val="006614C2"/>
    <w:rsid w:val="006634D0"/>
    <w:rsid w:val="0066393E"/>
    <w:rsid w:val="00666001"/>
    <w:rsid w:val="006675A0"/>
    <w:rsid w:val="00672320"/>
    <w:rsid w:val="006738F1"/>
    <w:rsid w:val="006771EF"/>
    <w:rsid w:val="006816C7"/>
    <w:rsid w:val="006825C7"/>
    <w:rsid w:val="0068344F"/>
    <w:rsid w:val="00693ECF"/>
    <w:rsid w:val="00694EE5"/>
    <w:rsid w:val="006955D2"/>
    <w:rsid w:val="006A3CEB"/>
    <w:rsid w:val="006A4579"/>
    <w:rsid w:val="006B0B54"/>
    <w:rsid w:val="006B1EE3"/>
    <w:rsid w:val="006C4354"/>
    <w:rsid w:val="006D1145"/>
    <w:rsid w:val="006D530E"/>
    <w:rsid w:val="006E14F1"/>
    <w:rsid w:val="006E20CD"/>
    <w:rsid w:val="006E40EA"/>
    <w:rsid w:val="006F0224"/>
    <w:rsid w:val="006F555E"/>
    <w:rsid w:val="00701264"/>
    <w:rsid w:val="007038E8"/>
    <w:rsid w:val="007052B5"/>
    <w:rsid w:val="00705D70"/>
    <w:rsid w:val="0070736A"/>
    <w:rsid w:val="00707EB8"/>
    <w:rsid w:val="0071137F"/>
    <w:rsid w:val="00720257"/>
    <w:rsid w:val="00724B7B"/>
    <w:rsid w:val="00724D60"/>
    <w:rsid w:val="007269E3"/>
    <w:rsid w:val="00735505"/>
    <w:rsid w:val="0073784E"/>
    <w:rsid w:val="00741369"/>
    <w:rsid w:val="007435A8"/>
    <w:rsid w:val="00743C04"/>
    <w:rsid w:val="007445EE"/>
    <w:rsid w:val="00744F4F"/>
    <w:rsid w:val="00750305"/>
    <w:rsid w:val="0075433C"/>
    <w:rsid w:val="007551C7"/>
    <w:rsid w:val="00757F7E"/>
    <w:rsid w:val="00760E75"/>
    <w:rsid w:val="00761333"/>
    <w:rsid w:val="00762AF8"/>
    <w:rsid w:val="00762F49"/>
    <w:rsid w:val="00763160"/>
    <w:rsid w:val="007638BA"/>
    <w:rsid w:val="007665AF"/>
    <w:rsid w:val="007670E0"/>
    <w:rsid w:val="007674AA"/>
    <w:rsid w:val="00770B09"/>
    <w:rsid w:val="00770BE9"/>
    <w:rsid w:val="0077175B"/>
    <w:rsid w:val="00771B03"/>
    <w:rsid w:val="007728C6"/>
    <w:rsid w:val="0077433F"/>
    <w:rsid w:val="007753A3"/>
    <w:rsid w:val="007766EB"/>
    <w:rsid w:val="007824B1"/>
    <w:rsid w:val="00782F22"/>
    <w:rsid w:val="00783FB8"/>
    <w:rsid w:val="0078560F"/>
    <w:rsid w:val="00786116"/>
    <w:rsid w:val="00786F36"/>
    <w:rsid w:val="0078790E"/>
    <w:rsid w:val="007926C3"/>
    <w:rsid w:val="00792E7A"/>
    <w:rsid w:val="00793208"/>
    <w:rsid w:val="007933C9"/>
    <w:rsid w:val="00795378"/>
    <w:rsid w:val="007976A3"/>
    <w:rsid w:val="007B5B54"/>
    <w:rsid w:val="007B6083"/>
    <w:rsid w:val="007B6D12"/>
    <w:rsid w:val="007C515F"/>
    <w:rsid w:val="007C6EC6"/>
    <w:rsid w:val="007C6FE4"/>
    <w:rsid w:val="007C7E60"/>
    <w:rsid w:val="007D1000"/>
    <w:rsid w:val="007D6985"/>
    <w:rsid w:val="007D766D"/>
    <w:rsid w:val="007E64A2"/>
    <w:rsid w:val="007F06F5"/>
    <w:rsid w:val="007F0CA0"/>
    <w:rsid w:val="007F6270"/>
    <w:rsid w:val="007F7592"/>
    <w:rsid w:val="00801818"/>
    <w:rsid w:val="00803149"/>
    <w:rsid w:val="00804DA2"/>
    <w:rsid w:val="0080761D"/>
    <w:rsid w:val="008078D4"/>
    <w:rsid w:val="008136F9"/>
    <w:rsid w:val="00813981"/>
    <w:rsid w:val="00813D5E"/>
    <w:rsid w:val="008140E5"/>
    <w:rsid w:val="00814C66"/>
    <w:rsid w:val="00815C94"/>
    <w:rsid w:val="0082226E"/>
    <w:rsid w:val="00822F96"/>
    <w:rsid w:val="00823AFD"/>
    <w:rsid w:val="00824468"/>
    <w:rsid w:val="00825093"/>
    <w:rsid w:val="00825F71"/>
    <w:rsid w:val="008354AE"/>
    <w:rsid w:val="008403C0"/>
    <w:rsid w:val="00841936"/>
    <w:rsid w:val="008424F1"/>
    <w:rsid w:val="008444D6"/>
    <w:rsid w:val="0084472D"/>
    <w:rsid w:val="00847C99"/>
    <w:rsid w:val="008537F6"/>
    <w:rsid w:val="00856825"/>
    <w:rsid w:val="00860545"/>
    <w:rsid w:val="00860B43"/>
    <w:rsid w:val="0086103E"/>
    <w:rsid w:val="0086135B"/>
    <w:rsid w:val="008619F8"/>
    <w:rsid w:val="00882D6F"/>
    <w:rsid w:val="008865C5"/>
    <w:rsid w:val="008866EB"/>
    <w:rsid w:val="00887156"/>
    <w:rsid w:val="00887FA7"/>
    <w:rsid w:val="008909D4"/>
    <w:rsid w:val="00892526"/>
    <w:rsid w:val="00892E15"/>
    <w:rsid w:val="00892F7C"/>
    <w:rsid w:val="0089543F"/>
    <w:rsid w:val="008A2574"/>
    <w:rsid w:val="008A47BC"/>
    <w:rsid w:val="008A4AA3"/>
    <w:rsid w:val="008A6E69"/>
    <w:rsid w:val="008B24A4"/>
    <w:rsid w:val="008C5F30"/>
    <w:rsid w:val="008D1973"/>
    <w:rsid w:val="008D4435"/>
    <w:rsid w:val="008D6578"/>
    <w:rsid w:val="008D72D5"/>
    <w:rsid w:val="008E14CB"/>
    <w:rsid w:val="008F1375"/>
    <w:rsid w:val="008F14B7"/>
    <w:rsid w:val="008F27E5"/>
    <w:rsid w:val="008F51E8"/>
    <w:rsid w:val="008F61CE"/>
    <w:rsid w:val="008F6B05"/>
    <w:rsid w:val="0090050E"/>
    <w:rsid w:val="009015C2"/>
    <w:rsid w:val="0090663B"/>
    <w:rsid w:val="009079C9"/>
    <w:rsid w:val="009142CC"/>
    <w:rsid w:val="00916759"/>
    <w:rsid w:val="00920383"/>
    <w:rsid w:val="00927BCD"/>
    <w:rsid w:val="00930A38"/>
    <w:rsid w:val="00932B02"/>
    <w:rsid w:val="0093404B"/>
    <w:rsid w:val="00941CE1"/>
    <w:rsid w:val="00944922"/>
    <w:rsid w:val="009479F4"/>
    <w:rsid w:val="00951674"/>
    <w:rsid w:val="009568C0"/>
    <w:rsid w:val="00960B82"/>
    <w:rsid w:val="00962B71"/>
    <w:rsid w:val="00962E83"/>
    <w:rsid w:val="0096327E"/>
    <w:rsid w:val="00963862"/>
    <w:rsid w:val="00967777"/>
    <w:rsid w:val="00967B6C"/>
    <w:rsid w:val="009720B3"/>
    <w:rsid w:val="00973FCE"/>
    <w:rsid w:val="00974CE6"/>
    <w:rsid w:val="009760A0"/>
    <w:rsid w:val="0098486A"/>
    <w:rsid w:val="00984C5A"/>
    <w:rsid w:val="009866C0"/>
    <w:rsid w:val="00986ED0"/>
    <w:rsid w:val="00987781"/>
    <w:rsid w:val="009900EA"/>
    <w:rsid w:val="0099117D"/>
    <w:rsid w:val="009914C2"/>
    <w:rsid w:val="00992174"/>
    <w:rsid w:val="00997F4C"/>
    <w:rsid w:val="009A2BF2"/>
    <w:rsid w:val="009A37EB"/>
    <w:rsid w:val="009A3BDB"/>
    <w:rsid w:val="009A4E88"/>
    <w:rsid w:val="009A663C"/>
    <w:rsid w:val="009A6910"/>
    <w:rsid w:val="009B135E"/>
    <w:rsid w:val="009B2320"/>
    <w:rsid w:val="009B28F6"/>
    <w:rsid w:val="009B4FDC"/>
    <w:rsid w:val="009B6593"/>
    <w:rsid w:val="009C0ADD"/>
    <w:rsid w:val="009C40C1"/>
    <w:rsid w:val="009C54FC"/>
    <w:rsid w:val="009C6530"/>
    <w:rsid w:val="009C7B4E"/>
    <w:rsid w:val="009D078D"/>
    <w:rsid w:val="009D2BB3"/>
    <w:rsid w:val="009D3038"/>
    <w:rsid w:val="009D3DC0"/>
    <w:rsid w:val="009D73C9"/>
    <w:rsid w:val="009D7496"/>
    <w:rsid w:val="009D78C1"/>
    <w:rsid w:val="009E2493"/>
    <w:rsid w:val="009E3FC3"/>
    <w:rsid w:val="009E4370"/>
    <w:rsid w:val="009E7708"/>
    <w:rsid w:val="009F00DF"/>
    <w:rsid w:val="009F1146"/>
    <w:rsid w:val="009F285C"/>
    <w:rsid w:val="009F4661"/>
    <w:rsid w:val="00A03F1F"/>
    <w:rsid w:val="00A04C99"/>
    <w:rsid w:val="00A055ED"/>
    <w:rsid w:val="00A06542"/>
    <w:rsid w:val="00A0690A"/>
    <w:rsid w:val="00A06941"/>
    <w:rsid w:val="00A06DB7"/>
    <w:rsid w:val="00A1020D"/>
    <w:rsid w:val="00A10EEB"/>
    <w:rsid w:val="00A12F13"/>
    <w:rsid w:val="00A159A4"/>
    <w:rsid w:val="00A17406"/>
    <w:rsid w:val="00A22398"/>
    <w:rsid w:val="00A227E4"/>
    <w:rsid w:val="00A2330C"/>
    <w:rsid w:val="00A24D7D"/>
    <w:rsid w:val="00A318F8"/>
    <w:rsid w:val="00A3369F"/>
    <w:rsid w:val="00A34898"/>
    <w:rsid w:val="00A364A6"/>
    <w:rsid w:val="00A37531"/>
    <w:rsid w:val="00A37C03"/>
    <w:rsid w:val="00A4056E"/>
    <w:rsid w:val="00A41D7D"/>
    <w:rsid w:val="00A42D46"/>
    <w:rsid w:val="00A45238"/>
    <w:rsid w:val="00A47E3C"/>
    <w:rsid w:val="00A47FFA"/>
    <w:rsid w:val="00A504B6"/>
    <w:rsid w:val="00A522D4"/>
    <w:rsid w:val="00A52461"/>
    <w:rsid w:val="00A53EC5"/>
    <w:rsid w:val="00A567C4"/>
    <w:rsid w:val="00A574A3"/>
    <w:rsid w:val="00A61BF4"/>
    <w:rsid w:val="00A62057"/>
    <w:rsid w:val="00A647DD"/>
    <w:rsid w:val="00A650ED"/>
    <w:rsid w:val="00A6537D"/>
    <w:rsid w:val="00A654AE"/>
    <w:rsid w:val="00A703D8"/>
    <w:rsid w:val="00A713C7"/>
    <w:rsid w:val="00A74669"/>
    <w:rsid w:val="00A75848"/>
    <w:rsid w:val="00A80558"/>
    <w:rsid w:val="00A808B5"/>
    <w:rsid w:val="00A870BE"/>
    <w:rsid w:val="00A91FA0"/>
    <w:rsid w:val="00A931E9"/>
    <w:rsid w:val="00A95D1C"/>
    <w:rsid w:val="00A96614"/>
    <w:rsid w:val="00AA1520"/>
    <w:rsid w:val="00AA15C8"/>
    <w:rsid w:val="00AA294F"/>
    <w:rsid w:val="00AA3293"/>
    <w:rsid w:val="00AA34FB"/>
    <w:rsid w:val="00AA3BA4"/>
    <w:rsid w:val="00AA3EBF"/>
    <w:rsid w:val="00AA5EF4"/>
    <w:rsid w:val="00AA6C20"/>
    <w:rsid w:val="00AB2382"/>
    <w:rsid w:val="00AB3604"/>
    <w:rsid w:val="00AB58A2"/>
    <w:rsid w:val="00AB76B3"/>
    <w:rsid w:val="00AC520E"/>
    <w:rsid w:val="00AC5666"/>
    <w:rsid w:val="00AD3A6F"/>
    <w:rsid w:val="00AD68C8"/>
    <w:rsid w:val="00AD6ECF"/>
    <w:rsid w:val="00AE005C"/>
    <w:rsid w:val="00AE008F"/>
    <w:rsid w:val="00AE2A52"/>
    <w:rsid w:val="00AE3A6F"/>
    <w:rsid w:val="00AE4266"/>
    <w:rsid w:val="00AE5D6A"/>
    <w:rsid w:val="00AE74E4"/>
    <w:rsid w:val="00AF31D4"/>
    <w:rsid w:val="00AF3D38"/>
    <w:rsid w:val="00B019FF"/>
    <w:rsid w:val="00B01B02"/>
    <w:rsid w:val="00B05589"/>
    <w:rsid w:val="00B07F0C"/>
    <w:rsid w:val="00B12D74"/>
    <w:rsid w:val="00B15DE4"/>
    <w:rsid w:val="00B17F26"/>
    <w:rsid w:val="00B20709"/>
    <w:rsid w:val="00B21241"/>
    <w:rsid w:val="00B213FF"/>
    <w:rsid w:val="00B23B4A"/>
    <w:rsid w:val="00B26FDB"/>
    <w:rsid w:val="00B31A3B"/>
    <w:rsid w:val="00B346AB"/>
    <w:rsid w:val="00B34DF6"/>
    <w:rsid w:val="00B37E41"/>
    <w:rsid w:val="00B403F3"/>
    <w:rsid w:val="00B43743"/>
    <w:rsid w:val="00B44466"/>
    <w:rsid w:val="00B466C9"/>
    <w:rsid w:val="00B5066D"/>
    <w:rsid w:val="00B51B89"/>
    <w:rsid w:val="00B51CE2"/>
    <w:rsid w:val="00B52F0C"/>
    <w:rsid w:val="00B54E5B"/>
    <w:rsid w:val="00B55E3E"/>
    <w:rsid w:val="00B56C26"/>
    <w:rsid w:val="00B60351"/>
    <w:rsid w:val="00B61A9B"/>
    <w:rsid w:val="00B66D5B"/>
    <w:rsid w:val="00B730E1"/>
    <w:rsid w:val="00B76460"/>
    <w:rsid w:val="00B76CC0"/>
    <w:rsid w:val="00B779E2"/>
    <w:rsid w:val="00B8737F"/>
    <w:rsid w:val="00B90674"/>
    <w:rsid w:val="00B91665"/>
    <w:rsid w:val="00B91CDD"/>
    <w:rsid w:val="00B94761"/>
    <w:rsid w:val="00B94B3C"/>
    <w:rsid w:val="00B97635"/>
    <w:rsid w:val="00BA1264"/>
    <w:rsid w:val="00BB078C"/>
    <w:rsid w:val="00BB0AF0"/>
    <w:rsid w:val="00BB0AF1"/>
    <w:rsid w:val="00BB377B"/>
    <w:rsid w:val="00BB46E2"/>
    <w:rsid w:val="00BB4C63"/>
    <w:rsid w:val="00BB5C46"/>
    <w:rsid w:val="00BB72B3"/>
    <w:rsid w:val="00BC15A9"/>
    <w:rsid w:val="00BC337F"/>
    <w:rsid w:val="00BD1224"/>
    <w:rsid w:val="00BD1B82"/>
    <w:rsid w:val="00BD202E"/>
    <w:rsid w:val="00BD6801"/>
    <w:rsid w:val="00BD7951"/>
    <w:rsid w:val="00BD7A47"/>
    <w:rsid w:val="00BE08BF"/>
    <w:rsid w:val="00BE3F9B"/>
    <w:rsid w:val="00BE4D3F"/>
    <w:rsid w:val="00BE5F69"/>
    <w:rsid w:val="00BE7D82"/>
    <w:rsid w:val="00BF0112"/>
    <w:rsid w:val="00BF3830"/>
    <w:rsid w:val="00BF44DF"/>
    <w:rsid w:val="00BF5BC0"/>
    <w:rsid w:val="00BF63AC"/>
    <w:rsid w:val="00BF7386"/>
    <w:rsid w:val="00C01083"/>
    <w:rsid w:val="00C06D37"/>
    <w:rsid w:val="00C17C05"/>
    <w:rsid w:val="00C211F9"/>
    <w:rsid w:val="00C22C5C"/>
    <w:rsid w:val="00C25D62"/>
    <w:rsid w:val="00C27DB5"/>
    <w:rsid w:val="00C41EB8"/>
    <w:rsid w:val="00C43657"/>
    <w:rsid w:val="00C43F53"/>
    <w:rsid w:val="00C44B6A"/>
    <w:rsid w:val="00C479AE"/>
    <w:rsid w:val="00C535E5"/>
    <w:rsid w:val="00C536E4"/>
    <w:rsid w:val="00C54DB5"/>
    <w:rsid w:val="00C57A0D"/>
    <w:rsid w:val="00C626BE"/>
    <w:rsid w:val="00C6321C"/>
    <w:rsid w:val="00C640D1"/>
    <w:rsid w:val="00C660EB"/>
    <w:rsid w:val="00C661E0"/>
    <w:rsid w:val="00C66578"/>
    <w:rsid w:val="00C735B3"/>
    <w:rsid w:val="00C74611"/>
    <w:rsid w:val="00C875FF"/>
    <w:rsid w:val="00C92CA9"/>
    <w:rsid w:val="00CA1115"/>
    <w:rsid w:val="00CA13B9"/>
    <w:rsid w:val="00CA3591"/>
    <w:rsid w:val="00CA6807"/>
    <w:rsid w:val="00CB270A"/>
    <w:rsid w:val="00CB4F14"/>
    <w:rsid w:val="00CB56D2"/>
    <w:rsid w:val="00CB60F6"/>
    <w:rsid w:val="00CB62C5"/>
    <w:rsid w:val="00CC22A9"/>
    <w:rsid w:val="00CC346C"/>
    <w:rsid w:val="00CC4FEA"/>
    <w:rsid w:val="00CD04E3"/>
    <w:rsid w:val="00CD513E"/>
    <w:rsid w:val="00CD5932"/>
    <w:rsid w:val="00CE09C7"/>
    <w:rsid w:val="00CE1A20"/>
    <w:rsid w:val="00CE26DC"/>
    <w:rsid w:val="00CE2E1E"/>
    <w:rsid w:val="00CE4F72"/>
    <w:rsid w:val="00CE6431"/>
    <w:rsid w:val="00CE75B7"/>
    <w:rsid w:val="00CE7A67"/>
    <w:rsid w:val="00CF4C62"/>
    <w:rsid w:val="00CF60E6"/>
    <w:rsid w:val="00CF72CF"/>
    <w:rsid w:val="00D0000D"/>
    <w:rsid w:val="00D00196"/>
    <w:rsid w:val="00D061FF"/>
    <w:rsid w:val="00D07F7F"/>
    <w:rsid w:val="00D103A9"/>
    <w:rsid w:val="00D1235D"/>
    <w:rsid w:val="00D1292D"/>
    <w:rsid w:val="00D1515A"/>
    <w:rsid w:val="00D17B76"/>
    <w:rsid w:val="00D201B0"/>
    <w:rsid w:val="00D2199F"/>
    <w:rsid w:val="00D222EC"/>
    <w:rsid w:val="00D22FCC"/>
    <w:rsid w:val="00D23552"/>
    <w:rsid w:val="00D2366E"/>
    <w:rsid w:val="00D24EF8"/>
    <w:rsid w:val="00D25AC3"/>
    <w:rsid w:val="00D323AC"/>
    <w:rsid w:val="00D330BA"/>
    <w:rsid w:val="00D33B1A"/>
    <w:rsid w:val="00D34922"/>
    <w:rsid w:val="00D35F58"/>
    <w:rsid w:val="00D36C79"/>
    <w:rsid w:val="00D41E59"/>
    <w:rsid w:val="00D43E40"/>
    <w:rsid w:val="00D44777"/>
    <w:rsid w:val="00D54A38"/>
    <w:rsid w:val="00D55C1A"/>
    <w:rsid w:val="00D601DC"/>
    <w:rsid w:val="00D61028"/>
    <w:rsid w:val="00D65D83"/>
    <w:rsid w:val="00D713BE"/>
    <w:rsid w:val="00D719BE"/>
    <w:rsid w:val="00D73885"/>
    <w:rsid w:val="00D7692B"/>
    <w:rsid w:val="00D76DDF"/>
    <w:rsid w:val="00D8181A"/>
    <w:rsid w:val="00D8595B"/>
    <w:rsid w:val="00D9113A"/>
    <w:rsid w:val="00D92385"/>
    <w:rsid w:val="00D939AC"/>
    <w:rsid w:val="00D95427"/>
    <w:rsid w:val="00D955D9"/>
    <w:rsid w:val="00DA0F9D"/>
    <w:rsid w:val="00DA1284"/>
    <w:rsid w:val="00DA4CC1"/>
    <w:rsid w:val="00DB008C"/>
    <w:rsid w:val="00DB0F42"/>
    <w:rsid w:val="00DB110D"/>
    <w:rsid w:val="00DB1A5D"/>
    <w:rsid w:val="00DB286A"/>
    <w:rsid w:val="00DB2E3C"/>
    <w:rsid w:val="00DB3178"/>
    <w:rsid w:val="00DB4D11"/>
    <w:rsid w:val="00DB6913"/>
    <w:rsid w:val="00DB7838"/>
    <w:rsid w:val="00DC0726"/>
    <w:rsid w:val="00DC1048"/>
    <w:rsid w:val="00DC1AA9"/>
    <w:rsid w:val="00DC2C08"/>
    <w:rsid w:val="00DC2E70"/>
    <w:rsid w:val="00DC4242"/>
    <w:rsid w:val="00DC49D6"/>
    <w:rsid w:val="00DC5952"/>
    <w:rsid w:val="00DD0B68"/>
    <w:rsid w:val="00DD2EE3"/>
    <w:rsid w:val="00DD448F"/>
    <w:rsid w:val="00DD6DC7"/>
    <w:rsid w:val="00DD7337"/>
    <w:rsid w:val="00DE03C7"/>
    <w:rsid w:val="00DE51D0"/>
    <w:rsid w:val="00DE599D"/>
    <w:rsid w:val="00DE67CC"/>
    <w:rsid w:val="00DF1423"/>
    <w:rsid w:val="00DF3AAF"/>
    <w:rsid w:val="00DF402A"/>
    <w:rsid w:val="00DF6E90"/>
    <w:rsid w:val="00E01772"/>
    <w:rsid w:val="00E02AC4"/>
    <w:rsid w:val="00E03DB9"/>
    <w:rsid w:val="00E070AD"/>
    <w:rsid w:val="00E10C29"/>
    <w:rsid w:val="00E11F84"/>
    <w:rsid w:val="00E1764A"/>
    <w:rsid w:val="00E17875"/>
    <w:rsid w:val="00E212A4"/>
    <w:rsid w:val="00E26A95"/>
    <w:rsid w:val="00E27876"/>
    <w:rsid w:val="00E32D45"/>
    <w:rsid w:val="00E340DF"/>
    <w:rsid w:val="00E346F1"/>
    <w:rsid w:val="00E354A7"/>
    <w:rsid w:val="00E419DD"/>
    <w:rsid w:val="00E41E08"/>
    <w:rsid w:val="00E51358"/>
    <w:rsid w:val="00E604B8"/>
    <w:rsid w:val="00E60C88"/>
    <w:rsid w:val="00E62385"/>
    <w:rsid w:val="00E62D21"/>
    <w:rsid w:val="00E62E5E"/>
    <w:rsid w:val="00E645CE"/>
    <w:rsid w:val="00E66133"/>
    <w:rsid w:val="00E700A2"/>
    <w:rsid w:val="00E706A8"/>
    <w:rsid w:val="00E70CD3"/>
    <w:rsid w:val="00E73FFF"/>
    <w:rsid w:val="00E74876"/>
    <w:rsid w:val="00E75E0D"/>
    <w:rsid w:val="00E76AAD"/>
    <w:rsid w:val="00E80B45"/>
    <w:rsid w:val="00E82EAA"/>
    <w:rsid w:val="00E8386E"/>
    <w:rsid w:val="00E84F0E"/>
    <w:rsid w:val="00E913B9"/>
    <w:rsid w:val="00E96035"/>
    <w:rsid w:val="00EB07F5"/>
    <w:rsid w:val="00EB48C8"/>
    <w:rsid w:val="00EB580F"/>
    <w:rsid w:val="00EB6E25"/>
    <w:rsid w:val="00EC07D0"/>
    <w:rsid w:val="00EC1A3F"/>
    <w:rsid w:val="00EC5617"/>
    <w:rsid w:val="00ED35A3"/>
    <w:rsid w:val="00ED6111"/>
    <w:rsid w:val="00ED6E16"/>
    <w:rsid w:val="00ED6FCC"/>
    <w:rsid w:val="00ED7515"/>
    <w:rsid w:val="00EE2652"/>
    <w:rsid w:val="00EE36ED"/>
    <w:rsid w:val="00EE494B"/>
    <w:rsid w:val="00EE5136"/>
    <w:rsid w:val="00EE6377"/>
    <w:rsid w:val="00F02164"/>
    <w:rsid w:val="00F02678"/>
    <w:rsid w:val="00F06872"/>
    <w:rsid w:val="00F069FC"/>
    <w:rsid w:val="00F10D6E"/>
    <w:rsid w:val="00F123D4"/>
    <w:rsid w:val="00F1370E"/>
    <w:rsid w:val="00F13A2B"/>
    <w:rsid w:val="00F245E4"/>
    <w:rsid w:val="00F25224"/>
    <w:rsid w:val="00F309C1"/>
    <w:rsid w:val="00F32E9E"/>
    <w:rsid w:val="00F34698"/>
    <w:rsid w:val="00F350AB"/>
    <w:rsid w:val="00F35760"/>
    <w:rsid w:val="00F44E5A"/>
    <w:rsid w:val="00F47D1F"/>
    <w:rsid w:val="00F54FE3"/>
    <w:rsid w:val="00F55649"/>
    <w:rsid w:val="00F56E4C"/>
    <w:rsid w:val="00F615E9"/>
    <w:rsid w:val="00F6193C"/>
    <w:rsid w:val="00F627EC"/>
    <w:rsid w:val="00F62983"/>
    <w:rsid w:val="00F649E2"/>
    <w:rsid w:val="00F67A32"/>
    <w:rsid w:val="00F70F62"/>
    <w:rsid w:val="00F72E02"/>
    <w:rsid w:val="00F7321E"/>
    <w:rsid w:val="00F738A5"/>
    <w:rsid w:val="00F73BAB"/>
    <w:rsid w:val="00F74F97"/>
    <w:rsid w:val="00F76151"/>
    <w:rsid w:val="00F802FF"/>
    <w:rsid w:val="00F80C06"/>
    <w:rsid w:val="00F82166"/>
    <w:rsid w:val="00F8254E"/>
    <w:rsid w:val="00F92D0B"/>
    <w:rsid w:val="00F93672"/>
    <w:rsid w:val="00FA079A"/>
    <w:rsid w:val="00FA45A2"/>
    <w:rsid w:val="00FA4F79"/>
    <w:rsid w:val="00FB079F"/>
    <w:rsid w:val="00FB2261"/>
    <w:rsid w:val="00FB3904"/>
    <w:rsid w:val="00FB7794"/>
    <w:rsid w:val="00FC0EAC"/>
    <w:rsid w:val="00FC30D2"/>
    <w:rsid w:val="00FC3AAC"/>
    <w:rsid w:val="00FC750F"/>
    <w:rsid w:val="00FD2449"/>
    <w:rsid w:val="00FD373E"/>
    <w:rsid w:val="00FD7385"/>
    <w:rsid w:val="00FD7983"/>
    <w:rsid w:val="00FE061D"/>
    <w:rsid w:val="00FE064D"/>
    <w:rsid w:val="00FE13EC"/>
    <w:rsid w:val="00FF31DC"/>
    <w:rsid w:val="00FF5D30"/>
    <w:rsid w:val="4A516FEF"/>
  </w:rsids>
  <m:mathPr>
    <m:mathFont m:val="Cambria Math"/>
    <m:brkBin m:val="before"/>
    <m:brkBinSub m:val="--"/>
    <m:smallFrac/>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DE61748"/>
  <w15:docId w15:val="{1623BD58-F37E-4632-B976-5215E4B50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4"/>
        <w:szCs w:val="24"/>
        <w:lang w:val="en-AU" w:eastAsia="en-US" w:bidi="ar-SA"/>
      </w:rPr>
    </w:rPrDefault>
    <w:pPrDefault>
      <w:pPr>
        <w:spacing w:before="120" w:after="120" w:line="312"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9"/>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B56D2"/>
    <w:pPr>
      <w:widowControl w:val="0"/>
      <w:spacing w:line="252" w:lineRule="auto"/>
      <w:jc w:val="both"/>
    </w:pPr>
    <w:rPr>
      <w:rFonts w:ascii="Times New Roman" w:hAnsi="Times New Roman" w:cs="Times New Roman"/>
    </w:rPr>
  </w:style>
  <w:style w:type="paragraph" w:styleId="Heading1">
    <w:name w:val="heading 1"/>
    <w:basedOn w:val="Normal"/>
    <w:next w:val="Normal"/>
    <w:link w:val="Heading1Char"/>
    <w:uiPriority w:val="9"/>
    <w:qFormat/>
    <w:rsid w:val="00C43F53"/>
    <w:pPr>
      <w:keepNext/>
      <w:keepLines/>
      <w:tabs>
        <w:tab w:val="left" w:pos="220"/>
        <w:tab w:val="left" w:pos="720"/>
      </w:tabs>
      <w:spacing w:before="240" w:after="0"/>
      <w:outlineLvl w:val="0"/>
    </w:pPr>
    <w:rPr>
      <w:rFonts w:eastAsiaTheme="minorEastAsia"/>
      <w:b/>
      <w:color w:val="4472C4" w:themeColor="accent1"/>
      <w:spacing w:val="15"/>
      <w:sz w:val="32"/>
      <w:szCs w:val="32"/>
    </w:rPr>
  </w:style>
  <w:style w:type="paragraph" w:styleId="Heading2">
    <w:name w:val="heading 2"/>
    <w:basedOn w:val="Normal"/>
    <w:next w:val="Normal"/>
    <w:link w:val="Heading2Char"/>
    <w:autoRedefine/>
    <w:uiPriority w:val="9"/>
    <w:qFormat/>
    <w:rsid w:val="00813981"/>
    <w:pPr>
      <w:keepNext/>
      <w:keepLines/>
      <w:tabs>
        <w:tab w:val="left" w:pos="220"/>
        <w:tab w:val="left" w:pos="720"/>
      </w:tabs>
      <w:spacing w:before="240" w:after="0"/>
      <w:outlineLvl w:val="1"/>
    </w:pPr>
    <w:rPr>
      <w:rFonts w:eastAsiaTheme="minorEastAsia"/>
      <w:b/>
      <w:color w:val="4472C4" w:themeColor="accent1"/>
      <w:spacing w:val="15"/>
      <w:sz w:val="22"/>
      <w:szCs w:val="22"/>
    </w:rPr>
  </w:style>
  <w:style w:type="paragraph" w:styleId="Heading3">
    <w:name w:val="heading 3"/>
    <w:basedOn w:val="Heading2"/>
    <w:next w:val="Normal"/>
    <w:link w:val="Heading3Char"/>
    <w:uiPriority w:val="9"/>
    <w:qFormat/>
    <w:rsid w:val="00C43F53"/>
    <w:pPr>
      <w:outlineLvl w:val="2"/>
    </w:pPr>
  </w:style>
  <w:style w:type="paragraph" w:styleId="Heading4">
    <w:name w:val="heading 4"/>
    <w:basedOn w:val="Normal"/>
    <w:next w:val="Normal"/>
    <w:link w:val="Heading4Char"/>
    <w:uiPriority w:val="9"/>
    <w:qFormat/>
    <w:rsid w:val="000048DC"/>
    <w:pPr>
      <w:keepNext/>
      <w:keepLines/>
      <w:tabs>
        <w:tab w:val="left" w:pos="220"/>
        <w:tab w:val="left" w:pos="720"/>
      </w:tabs>
      <w:spacing w:before="240" w:after="0"/>
      <w:outlineLvl w:val="3"/>
    </w:pPr>
    <w:rPr>
      <w:rFonts w:eastAsia="Calibri"/>
      <w:b/>
      <w:i/>
      <w:lang w:val="en-US" w:eastAsia="en-GB"/>
    </w:rPr>
  </w:style>
  <w:style w:type="paragraph" w:styleId="Heading5">
    <w:name w:val="heading 5"/>
    <w:basedOn w:val="Normal"/>
    <w:next w:val="Normal"/>
    <w:link w:val="Heading5Char"/>
    <w:autoRedefine/>
    <w:uiPriority w:val="9"/>
    <w:unhideWhenUsed/>
    <w:qFormat/>
    <w:rsid w:val="003C2B26"/>
    <w:pPr>
      <w:spacing w:before="24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32FD1"/>
    <w:pPr>
      <w:numPr>
        <w:numId w:val="1"/>
      </w:numPr>
      <w:contextualSpacing/>
    </w:pPr>
  </w:style>
  <w:style w:type="character" w:customStyle="1" w:styleId="Heading1Char">
    <w:name w:val="Heading 1 Char"/>
    <w:basedOn w:val="DefaultParagraphFont"/>
    <w:link w:val="Heading1"/>
    <w:uiPriority w:val="9"/>
    <w:rsid w:val="00C43F53"/>
    <w:rPr>
      <w:rFonts w:ascii="Times New Roman" w:eastAsiaTheme="minorEastAsia" w:hAnsi="Times New Roman" w:cs="Times New Roman"/>
      <w:b/>
      <w:color w:val="4472C4" w:themeColor="accent1"/>
      <w:spacing w:val="15"/>
      <w:sz w:val="32"/>
      <w:szCs w:val="32"/>
    </w:rPr>
  </w:style>
  <w:style w:type="character" w:customStyle="1" w:styleId="Heading2Char">
    <w:name w:val="Heading 2 Char"/>
    <w:basedOn w:val="DefaultParagraphFont"/>
    <w:link w:val="Heading2"/>
    <w:uiPriority w:val="9"/>
    <w:rsid w:val="00813981"/>
    <w:rPr>
      <w:rFonts w:ascii="Times New Roman" w:eastAsiaTheme="minorEastAsia" w:hAnsi="Times New Roman" w:cs="Times New Roman"/>
      <w:b/>
      <w:color w:val="4472C4" w:themeColor="accent1"/>
      <w:spacing w:val="15"/>
      <w:sz w:val="22"/>
      <w:szCs w:val="22"/>
    </w:rPr>
  </w:style>
  <w:style w:type="character" w:customStyle="1" w:styleId="Heading3Char">
    <w:name w:val="Heading 3 Char"/>
    <w:basedOn w:val="DefaultParagraphFont"/>
    <w:link w:val="Heading3"/>
    <w:uiPriority w:val="9"/>
    <w:rsid w:val="00C43F53"/>
    <w:rPr>
      <w:rFonts w:ascii="Times New Roman" w:eastAsiaTheme="minorEastAsia" w:hAnsi="Times New Roman" w:cs="Times New Roman"/>
      <w:b/>
      <w:color w:val="4472C4" w:themeColor="accent1"/>
      <w:spacing w:val="15"/>
    </w:rPr>
  </w:style>
  <w:style w:type="character" w:customStyle="1" w:styleId="Heading4Char">
    <w:name w:val="Heading 4 Char"/>
    <w:basedOn w:val="DefaultParagraphFont"/>
    <w:link w:val="Heading4"/>
    <w:uiPriority w:val="9"/>
    <w:rsid w:val="00406DC8"/>
    <w:rPr>
      <w:rFonts w:ascii="Times New Roman" w:eastAsia="Calibri" w:hAnsi="Times New Roman" w:cs="Times New Roman"/>
      <w:b/>
      <w:i/>
      <w:lang w:val="en-US" w:eastAsia="en-GB"/>
    </w:rPr>
  </w:style>
  <w:style w:type="paragraph" w:styleId="Title">
    <w:name w:val="Title"/>
    <w:basedOn w:val="Normal"/>
    <w:next w:val="Normal"/>
    <w:link w:val="TitleChar"/>
    <w:uiPriority w:val="10"/>
    <w:qFormat/>
    <w:rsid w:val="003C53D3"/>
    <w:pPr>
      <w:spacing w:before="0"/>
      <w:jc w:val="center"/>
    </w:pPr>
    <w:rPr>
      <w:rFonts w:eastAsiaTheme="majorEastAsia" w:cstheme="majorBidi"/>
      <w:b/>
      <w:spacing w:val="-10"/>
      <w:kern w:val="28"/>
      <w:sz w:val="48"/>
      <w:szCs w:val="48"/>
    </w:rPr>
  </w:style>
  <w:style w:type="character" w:customStyle="1" w:styleId="TitleChar">
    <w:name w:val="Title Char"/>
    <w:basedOn w:val="DefaultParagraphFont"/>
    <w:link w:val="Title"/>
    <w:uiPriority w:val="10"/>
    <w:rsid w:val="003C53D3"/>
    <w:rPr>
      <w:rFonts w:ascii="Times New Roman" w:eastAsiaTheme="majorEastAsia" w:hAnsi="Times New Roman" w:cstheme="majorBidi"/>
      <w:b/>
      <w:spacing w:val="-10"/>
      <w:kern w:val="28"/>
      <w:sz w:val="48"/>
      <w:szCs w:val="48"/>
    </w:rPr>
  </w:style>
  <w:style w:type="paragraph" w:styleId="Subtitle">
    <w:name w:val="Subtitle"/>
    <w:basedOn w:val="Normal"/>
    <w:next w:val="Normal"/>
    <w:link w:val="SubtitleChar"/>
    <w:uiPriority w:val="11"/>
    <w:qFormat/>
    <w:rsid w:val="003C53D3"/>
    <w:pPr>
      <w:spacing w:before="0"/>
      <w:jc w:val="center"/>
    </w:pPr>
    <w:rPr>
      <w:rFonts w:eastAsiaTheme="minorEastAsia" w:cstheme="minorBidi"/>
      <w:b/>
      <w:color w:val="4472C4" w:themeColor="accent1"/>
      <w:spacing w:val="15"/>
      <w:sz w:val="48"/>
      <w:szCs w:val="22"/>
    </w:rPr>
  </w:style>
  <w:style w:type="character" w:customStyle="1" w:styleId="SubtitleChar">
    <w:name w:val="Subtitle Char"/>
    <w:basedOn w:val="DefaultParagraphFont"/>
    <w:link w:val="Subtitle"/>
    <w:uiPriority w:val="11"/>
    <w:rsid w:val="003C53D3"/>
    <w:rPr>
      <w:rFonts w:ascii="Times New Roman" w:eastAsiaTheme="minorEastAsia" w:hAnsi="Times New Roman"/>
      <w:b/>
      <w:color w:val="4472C4" w:themeColor="accent1"/>
      <w:spacing w:val="15"/>
      <w:sz w:val="48"/>
      <w:szCs w:val="22"/>
    </w:rPr>
  </w:style>
  <w:style w:type="paragraph" w:styleId="Header">
    <w:name w:val="header"/>
    <w:basedOn w:val="Normal"/>
    <w:link w:val="HeaderChar"/>
    <w:uiPriority w:val="99"/>
    <w:qFormat/>
    <w:rsid w:val="00CE2E1E"/>
    <w:pPr>
      <w:tabs>
        <w:tab w:val="center" w:pos="4513"/>
        <w:tab w:val="right" w:pos="9026"/>
      </w:tabs>
      <w:spacing w:before="0" w:after="0" w:line="240" w:lineRule="auto"/>
      <w:jc w:val="right"/>
    </w:pPr>
    <w:rPr>
      <w:sz w:val="20"/>
    </w:rPr>
  </w:style>
  <w:style w:type="character" w:customStyle="1" w:styleId="HeaderChar">
    <w:name w:val="Header Char"/>
    <w:basedOn w:val="DefaultParagraphFont"/>
    <w:link w:val="Header"/>
    <w:uiPriority w:val="99"/>
    <w:rsid w:val="00CE2E1E"/>
    <w:rPr>
      <w:sz w:val="20"/>
    </w:rPr>
  </w:style>
  <w:style w:type="paragraph" w:styleId="Footer">
    <w:name w:val="footer"/>
    <w:basedOn w:val="FootnoteText"/>
    <w:link w:val="FooterChar"/>
    <w:uiPriority w:val="99"/>
    <w:qFormat/>
    <w:rsid w:val="00C43F53"/>
  </w:style>
  <w:style w:type="character" w:customStyle="1" w:styleId="FooterChar">
    <w:name w:val="Footer Char"/>
    <w:basedOn w:val="DefaultParagraphFont"/>
    <w:link w:val="Footer"/>
    <w:uiPriority w:val="99"/>
    <w:rsid w:val="00C43F53"/>
    <w:rPr>
      <w:rFonts w:ascii="Times New Roman" w:eastAsia="Times New Roman" w:hAnsi="Times New Roman" w:cs="Times New Roman"/>
      <w:color w:val="000000"/>
      <w:sz w:val="20"/>
      <w:szCs w:val="20"/>
      <w:lang w:val="en-US" w:eastAsia="en-GB"/>
    </w:rPr>
  </w:style>
  <w:style w:type="paragraph" w:styleId="TOCHeading">
    <w:name w:val="TOC Heading"/>
    <w:basedOn w:val="Heading1"/>
    <w:next w:val="Normal"/>
    <w:uiPriority w:val="39"/>
    <w:unhideWhenUsed/>
    <w:qFormat/>
    <w:rsid w:val="00782F22"/>
    <w:pPr>
      <w:outlineLvl w:val="9"/>
    </w:pPr>
  </w:style>
  <w:style w:type="character" w:styleId="Strong">
    <w:name w:val="Strong"/>
    <w:basedOn w:val="DefaultParagraphFont"/>
    <w:uiPriority w:val="22"/>
    <w:unhideWhenUsed/>
    <w:rsid w:val="00032FD1"/>
    <w:rPr>
      <w:rFonts w:asciiTheme="minorHAnsi" w:hAnsiTheme="minorHAnsi"/>
      <w:b/>
      <w:bCs/>
      <w:sz w:val="20"/>
    </w:rPr>
  </w:style>
  <w:style w:type="character" w:styleId="Emphasis">
    <w:name w:val="Emphasis"/>
    <w:uiPriority w:val="20"/>
    <w:unhideWhenUsed/>
    <w:rsid w:val="003C2B26"/>
    <w:rPr>
      <w:rFonts w:ascii="Times New Roman" w:hAnsi="Times New Roman"/>
      <w:b/>
      <w:sz w:val="24"/>
    </w:rPr>
  </w:style>
  <w:style w:type="character" w:styleId="Hyperlink">
    <w:name w:val="Hyperlink"/>
    <w:basedOn w:val="DefaultParagraphFont"/>
    <w:uiPriority w:val="99"/>
    <w:unhideWhenUsed/>
    <w:rsid w:val="003D4B4A"/>
    <w:rPr>
      <w:color w:val="0563C1" w:themeColor="hyperlink"/>
      <w:u w:val="single"/>
    </w:rPr>
  </w:style>
  <w:style w:type="paragraph" w:styleId="BalloonText">
    <w:name w:val="Balloon Text"/>
    <w:basedOn w:val="Normal"/>
    <w:link w:val="BalloonTextChar"/>
    <w:uiPriority w:val="99"/>
    <w:semiHidden/>
    <w:unhideWhenUsed/>
    <w:rsid w:val="00476B72"/>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6B72"/>
    <w:rPr>
      <w:rFonts w:ascii="Segoe UI" w:hAnsi="Segoe UI" w:cs="Segoe UI"/>
      <w:sz w:val="18"/>
      <w:szCs w:val="18"/>
    </w:rPr>
  </w:style>
  <w:style w:type="paragraph" w:styleId="TOC1">
    <w:name w:val="toc 1"/>
    <w:basedOn w:val="Normal"/>
    <w:next w:val="Normal"/>
    <w:autoRedefine/>
    <w:uiPriority w:val="39"/>
    <w:unhideWhenUsed/>
    <w:rsid w:val="00E62D21"/>
    <w:pPr>
      <w:tabs>
        <w:tab w:val="right" w:pos="9592"/>
      </w:tabs>
      <w:spacing w:after="100"/>
    </w:pPr>
    <w:rPr>
      <w:noProof/>
      <w:lang w:eastAsia="zh-CN"/>
    </w:rPr>
  </w:style>
  <w:style w:type="paragraph" w:styleId="TOC2">
    <w:name w:val="toc 2"/>
    <w:basedOn w:val="Normal"/>
    <w:next w:val="Normal"/>
    <w:autoRedefine/>
    <w:uiPriority w:val="39"/>
    <w:unhideWhenUsed/>
    <w:rsid w:val="004E67DA"/>
    <w:pPr>
      <w:spacing w:after="100"/>
      <w:ind w:left="200"/>
    </w:pPr>
  </w:style>
  <w:style w:type="paragraph" w:styleId="TOC3">
    <w:name w:val="toc 3"/>
    <w:basedOn w:val="Normal"/>
    <w:next w:val="Normal"/>
    <w:autoRedefine/>
    <w:uiPriority w:val="39"/>
    <w:unhideWhenUsed/>
    <w:rsid w:val="004E67DA"/>
    <w:pPr>
      <w:spacing w:after="100"/>
      <w:ind w:left="400"/>
    </w:pPr>
  </w:style>
  <w:style w:type="paragraph" w:styleId="Caption">
    <w:name w:val="caption"/>
    <w:basedOn w:val="Normal"/>
    <w:next w:val="Normal"/>
    <w:uiPriority w:val="35"/>
    <w:unhideWhenUsed/>
    <w:qFormat/>
    <w:rsid w:val="00581C04"/>
    <w:pPr>
      <w:spacing w:line="240" w:lineRule="auto"/>
    </w:pPr>
    <w:rPr>
      <w:iCs/>
      <w:color w:val="595959" w:themeColor="text1" w:themeTint="A6"/>
      <w:sz w:val="20"/>
      <w:szCs w:val="18"/>
    </w:rPr>
  </w:style>
  <w:style w:type="table" w:styleId="TableGrid">
    <w:name w:val="Table Grid"/>
    <w:basedOn w:val="TableNormal"/>
    <w:uiPriority w:val="39"/>
    <w:rsid w:val="00581C04"/>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NUstandard">
    <w:name w:val="ANU standard"/>
    <w:basedOn w:val="TableNormal"/>
    <w:uiPriority w:val="99"/>
    <w:rsid w:val="00282969"/>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Pr>
  </w:style>
  <w:style w:type="table" w:customStyle="1" w:styleId="ANUrowheader">
    <w:name w:val="ANU row header"/>
    <w:basedOn w:val="ANUstandard"/>
    <w:uiPriority w:val="99"/>
    <w:rsid w:val="002E3DA2"/>
    <w:rPr>
      <w:rFonts w:ascii="Times New Roman" w:hAnsi="Times New Roman"/>
    </w:rPr>
    <w:tblPr/>
    <w:tcPr>
      <w:shd w:val="clear" w:color="auto" w:fill="auto"/>
    </w:tcPr>
    <w:tblStylePr w:type="firstRow">
      <w:rPr>
        <w:b/>
      </w:rPr>
      <w:tblPr/>
      <w:tcPr>
        <w:shd w:val="clear" w:color="auto" w:fill="B4C6E7" w:themeFill="accent1" w:themeFillTint="66"/>
      </w:tcPr>
    </w:tblStylePr>
    <w:tblStylePr w:type="firstCol">
      <w:rPr>
        <w:b w:val="0"/>
      </w:rPr>
    </w:tblStylePr>
  </w:style>
  <w:style w:type="table" w:customStyle="1" w:styleId="ANUcolumnheader">
    <w:name w:val="ANU column header"/>
    <w:basedOn w:val="ANUstandard"/>
    <w:uiPriority w:val="99"/>
    <w:rsid w:val="00282969"/>
    <w:tblPr/>
    <w:tcPr>
      <w:shd w:val="clear" w:color="auto" w:fill="auto"/>
    </w:tcPr>
    <w:tblStylePr w:type="firstRow">
      <w:rPr>
        <w:b w:val="0"/>
      </w:rPr>
    </w:tblStylePr>
    <w:tblStylePr w:type="firstCol">
      <w:rPr>
        <w:b/>
      </w:rPr>
      <w:tblPr/>
      <w:tcPr>
        <w:shd w:val="clear" w:color="auto" w:fill="B4C6E7" w:themeFill="accent1" w:themeFillTint="66"/>
      </w:tcPr>
    </w:tblStylePr>
  </w:style>
  <w:style w:type="table" w:customStyle="1" w:styleId="ANUrowcolumnheader">
    <w:name w:val="ANU row/column header"/>
    <w:basedOn w:val="ANUstandard"/>
    <w:uiPriority w:val="99"/>
    <w:rsid w:val="00282969"/>
    <w:tblPr/>
    <w:tblStylePr w:type="firstRow">
      <w:rPr>
        <w:b/>
      </w:rPr>
      <w:tblPr/>
      <w:tcPr>
        <w:shd w:val="clear" w:color="auto" w:fill="B4C6E7" w:themeFill="accent1" w:themeFillTint="66"/>
      </w:tcPr>
    </w:tblStylePr>
    <w:tblStylePr w:type="firstCol">
      <w:rPr>
        <w:b/>
      </w:rPr>
      <w:tblPr/>
      <w:tcPr>
        <w:shd w:val="clear" w:color="auto" w:fill="B4C6E7" w:themeFill="accent1" w:themeFillTint="66"/>
      </w:tcPr>
    </w:tblStylePr>
  </w:style>
  <w:style w:type="paragraph" w:styleId="FootnoteText">
    <w:name w:val="footnote text"/>
    <w:basedOn w:val="Caption"/>
    <w:link w:val="FootnoteTextChar"/>
    <w:uiPriority w:val="99"/>
    <w:unhideWhenUsed/>
    <w:rsid w:val="00B01B02"/>
  </w:style>
  <w:style w:type="character" w:customStyle="1" w:styleId="FootnoteTextChar">
    <w:name w:val="Footnote Text Char"/>
    <w:basedOn w:val="DefaultParagraphFont"/>
    <w:link w:val="FootnoteText"/>
    <w:uiPriority w:val="99"/>
    <w:rsid w:val="00B01B02"/>
    <w:rPr>
      <w:rFonts w:ascii="Times New Roman" w:hAnsi="Times New Roman" w:cs="Times New Roman"/>
      <w:iCs/>
      <w:color w:val="595959" w:themeColor="text1" w:themeTint="A6"/>
      <w:sz w:val="20"/>
      <w:szCs w:val="18"/>
    </w:rPr>
  </w:style>
  <w:style w:type="character" w:customStyle="1" w:styleId="UnresolvedMention1">
    <w:name w:val="Unresolved Mention1"/>
    <w:basedOn w:val="DefaultParagraphFont"/>
    <w:uiPriority w:val="99"/>
    <w:rsid w:val="00E354A7"/>
    <w:rPr>
      <w:color w:val="808080"/>
      <w:shd w:val="clear" w:color="auto" w:fill="E6E6E6"/>
    </w:rPr>
  </w:style>
  <w:style w:type="character" w:styleId="FootnoteReference">
    <w:name w:val="footnote reference"/>
    <w:basedOn w:val="DefaultParagraphFont"/>
    <w:uiPriority w:val="99"/>
    <w:semiHidden/>
    <w:unhideWhenUsed/>
    <w:rsid w:val="009E2493"/>
    <w:rPr>
      <w:vertAlign w:val="superscript"/>
    </w:rPr>
  </w:style>
  <w:style w:type="paragraph" w:styleId="Quote">
    <w:name w:val="Quote"/>
    <w:basedOn w:val="Normal"/>
    <w:next w:val="Normal"/>
    <w:link w:val="QuoteChar"/>
    <w:uiPriority w:val="29"/>
    <w:qFormat/>
    <w:rsid w:val="00230EAD"/>
    <w:pPr>
      <w:ind w:left="220"/>
    </w:pPr>
    <w:rPr>
      <w:i/>
    </w:rPr>
  </w:style>
  <w:style w:type="character" w:customStyle="1" w:styleId="QuoteChar">
    <w:name w:val="Quote Char"/>
    <w:basedOn w:val="DefaultParagraphFont"/>
    <w:link w:val="Quote"/>
    <w:uiPriority w:val="29"/>
    <w:rsid w:val="00230EAD"/>
    <w:rPr>
      <w:rFonts w:ascii="Times New Roman" w:hAnsi="Times New Roman" w:cs="Times New Roman"/>
      <w:i/>
    </w:rPr>
  </w:style>
  <w:style w:type="paragraph" w:customStyle="1" w:styleId="TableFigure">
    <w:name w:val="Table/Figure"/>
    <w:basedOn w:val="Normal"/>
    <w:link w:val="TableFigureChar"/>
    <w:qFormat/>
    <w:rsid w:val="00013223"/>
    <w:rPr>
      <w:b/>
      <w:sz w:val="28"/>
      <w:szCs w:val="28"/>
    </w:rPr>
  </w:style>
  <w:style w:type="table" w:customStyle="1" w:styleId="GridTable4-Accent51">
    <w:name w:val="Grid Table 4 - Accent 51"/>
    <w:basedOn w:val="TableNormal"/>
    <w:uiPriority w:val="49"/>
    <w:rsid w:val="00882D6F"/>
    <w:pPr>
      <w:spacing w:before="0" w:after="0" w:line="240" w:lineRule="auto"/>
    </w:pPr>
    <w:rPr>
      <w:rFonts w:eastAsiaTheme="minorEastAsia"/>
      <w:sz w:val="22"/>
      <w:szCs w:val="22"/>
      <w:lang w:eastAsia="zh-CN"/>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TableFigureChar">
    <w:name w:val="Table/Figure Char"/>
    <w:basedOn w:val="DefaultParagraphFont"/>
    <w:link w:val="TableFigure"/>
    <w:rsid w:val="00013223"/>
    <w:rPr>
      <w:rFonts w:ascii="Times New Roman" w:hAnsi="Times New Roman" w:cs="Times New Roman"/>
      <w:b/>
      <w:sz w:val="28"/>
      <w:szCs w:val="28"/>
    </w:rPr>
  </w:style>
  <w:style w:type="paragraph" w:customStyle="1" w:styleId="2ndIndentation">
    <w:name w:val="2nd Indentation"/>
    <w:basedOn w:val="ListParagraph"/>
    <w:link w:val="2ndIndentationChar"/>
    <w:uiPriority w:val="99"/>
    <w:rsid w:val="00406DC8"/>
    <w:pPr>
      <w:numPr>
        <w:numId w:val="11"/>
      </w:numPr>
      <w:tabs>
        <w:tab w:val="left" w:pos="720"/>
      </w:tabs>
      <w:spacing w:before="0" w:after="160"/>
      <w:ind w:left="1170" w:hanging="180"/>
    </w:pPr>
  </w:style>
  <w:style w:type="numbering" w:customStyle="1" w:styleId="BulletPoints">
    <w:name w:val="Bullet Points"/>
    <w:basedOn w:val="NoList"/>
    <w:uiPriority w:val="99"/>
    <w:rsid w:val="00406DC8"/>
    <w:pPr>
      <w:numPr>
        <w:numId w:val="12"/>
      </w:numPr>
    </w:pPr>
  </w:style>
  <w:style w:type="character" w:customStyle="1" w:styleId="ListParagraphChar">
    <w:name w:val="List Paragraph Char"/>
    <w:basedOn w:val="DefaultParagraphFont"/>
    <w:link w:val="ListParagraph"/>
    <w:uiPriority w:val="34"/>
    <w:rsid w:val="00406DC8"/>
    <w:rPr>
      <w:rFonts w:ascii="Times New Roman" w:hAnsi="Times New Roman" w:cs="Times New Roman"/>
    </w:rPr>
  </w:style>
  <w:style w:type="character" w:customStyle="1" w:styleId="2ndIndentationChar">
    <w:name w:val="2nd Indentation Char"/>
    <w:basedOn w:val="ListParagraphChar"/>
    <w:link w:val="2ndIndentation"/>
    <w:uiPriority w:val="99"/>
    <w:rsid w:val="002F0426"/>
    <w:rPr>
      <w:rFonts w:ascii="Times New Roman" w:hAnsi="Times New Roman" w:cs="Times New Roman"/>
    </w:rPr>
  </w:style>
  <w:style w:type="numbering" w:customStyle="1" w:styleId="Style1">
    <w:name w:val="Style1"/>
    <w:basedOn w:val="BulletPoints"/>
    <w:uiPriority w:val="99"/>
    <w:rsid w:val="002F0426"/>
    <w:pPr>
      <w:numPr>
        <w:numId w:val="15"/>
      </w:numPr>
    </w:pPr>
  </w:style>
  <w:style w:type="character" w:customStyle="1" w:styleId="Heading5Char">
    <w:name w:val="Heading 5 Char"/>
    <w:basedOn w:val="DefaultParagraphFont"/>
    <w:link w:val="Heading5"/>
    <w:uiPriority w:val="9"/>
    <w:rsid w:val="003C2B26"/>
    <w:rPr>
      <w:rFonts w:ascii="Times New Roman" w:hAnsi="Times New Roman" w:cs="Times New Roman"/>
    </w:rPr>
  </w:style>
  <w:style w:type="character" w:styleId="SubtleEmphasis">
    <w:name w:val="Subtle Emphasis"/>
    <w:uiPriority w:val="19"/>
    <w:qFormat/>
    <w:rsid w:val="003C2B26"/>
    <w:rPr>
      <w:rFonts w:ascii="Times New Roman" w:hAnsi="Times New Roman"/>
      <w:caps/>
      <w:smallCaps w:val="0"/>
      <w:vanish w:val="0"/>
      <w:sz w:val="24"/>
    </w:rPr>
  </w:style>
  <w:style w:type="character" w:styleId="IntenseEmphasis">
    <w:name w:val="Intense Emphasis"/>
    <w:basedOn w:val="DefaultParagraphFont"/>
    <w:uiPriority w:val="21"/>
    <w:qFormat/>
    <w:rsid w:val="003C2B26"/>
    <w:rPr>
      <w:rFonts w:ascii="Times New Roman" w:hAnsi="Times New Roman"/>
      <w:b/>
      <w:i w:val="0"/>
      <w:iCs/>
      <w:caps/>
      <w:smallCaps w:val="0"/>
      <w:vanish w:val="0"/>
      <w:sz w:val="24"/>
    </w:rPr>
  </w:style>
  <w:style w:type="character" w:styleId="BookTitle">
    <w:name w:val="Book Title"/>
    <w:uiPriority w:val="33"/>
    <w:qFormat/>
    <w:rsid w:val="003C2B26"/>
    <w:rPr>
      <w:i/>
      <w:noProof/>
    </w:rPr>
  </w:style>
  <w:style w:type="character" w:styleId="PlaceholderText">
    <w:name w:val="Placeholder Text"/>
    <w:basedOn w:val="DefaultParagraphFont"/>
    <w:uiPriority w:val="99"/>
    <w:semiHidden/>
    <w:rsid w:val="0008746E"/>
    <w:rPr>
      <w:color w:val="808080"/>
    </w:rPr>
  </w:style>
  <w:style w:type="paragraph" w:customStyle="1" w:styleId="paragraph">
    <w:name w:val="paragraph"/>
    <w:basedOn w:val="Normal"/>
    <w:rsid w:val="00C66578"/>
    <w:pPr>
      <w:widowControl/>
      <w:spacing w:before="100" w:beforeAutospacing="1" w:after="100" w:afterAutospacing="1" w:line="240" w:lineRule="auto"/>
      <w:jc w:val="left"/>
    </w:pPr>
    <w:rPr>
      <w:rFonts w:eastAsia="Times New Roman"/>
      <w:lang w:eastAsia="zh-CN"/>
    </w:rPr>
  </w:style>
  <w:style w:type="character" w:customStyle="1" w:styleId="normaltextrun">
    <w:name w:val="normaltextrun"/>
    <w:basedOn w:val="DefaultParagraphFont"/>
    <w:rsid w:val="00C66578"/>
  </w:style>
  <w:style w:type="character" w:customStyle="1" w:styleId="eop">
    <w:name w:val="eop"/>
    <w:basedOn w:val="DefaultParagraphFont"/>
    <w:rsid w:val="00C66578"/>
  </w:style>
  <w:style w:type="character" w:customStyle="1" w:styleId="apple-converted-space">
    <w:name w:val="apple-converted-space"/>
    <w:basedOn w:val="DefaultParagraphFont"/>
    <w:rsid w:val="00C66578"/>
  </w:style>
  <w:style w:type="character" w:customStyle="1" w:styleId="contextualspellingandgrammarerror">
    <w:name w:val="contextualspellingandgrammarerror"/>
    <w:basedOn w:val="DefaultParagraphFont"/>
    <w:rsid w:val="00C66578"/>
  </w:style>
  <w:style w:type="paragraph" w:styleId="NormalWeb">
    <w:name w:val="Normal (Web)"/>
    <w:basedOn w:val="Normal"/>
    <w:uiPriority w:val="99"/>
    <w:unhideWhenUsed/>
    <w:rsid w:val="006C4354"/>
    <w:pPr>
      <w:widowControl/>
      <w:spacing w:before="100" w:beforeAutospacing="1" w:after="100" w:afterAutospacing="1" w:line="240" w:lineRule="auto"/>
      <w:jc w:val="left"/>
    </w:pPr>
    <w:rPr>
      <w:rFonts w:eastAsia="Times New Roman"/>
      <w:lang w:val="en-GB" w:eastAsia="en-GB"/>
    </w:rPr>
  </w:style>
  <w:style w:type="character" w:styleId="CommentReference">
    <w:name w:val="annotation reference"/>
    <w:basedOn w:val="DefaultParagraphFont"/>
    <w:uiPriority w:val="99"/>
    <w:semiHidden/>
    <w:unhideWhenUsed/>
    <w:rsid w:val="009914C2"/>
    <w:rPr>
      <w:sz w:val="18"/>
      <w:szCs w:val="18"/>
    </w:rPr>
  </w:style>
  <w:style w:type="paragraph" w:styleId="CommentText">
    <w:name w:val="annotation text"/>
    <w:basedOn w:val="Normal"/>
    <w:link w:val="CommentTextChar"/>
    <w:uiPriority w:val="99"/>
    <w:semiHidden/>
    <w:unhideWhenUsed/>
    <w:rsid w:val="009914C2"/>
    <w:pPr>
      <w:spacing w:line="240" w:lineRule="auto"/>
    </w:pPr>
  </w:style>
  <w:style w:type="character" w:customStyle="1" w:styleId="CommentTextChar">
    <w:name w:val="Comment Text Char"/>
    <w:basedOn w:val="DefaultParagraphFont"/>
    <w:link w:val="CommentText"/>
    <w:uiPriority w:val="99"/>
    <w:semiHidden/>
    <w:rsid w:val="009914C2"/>
    <w:rPr>
      <w:rFonts w:ascii="Times New Roman" w:hAnsi="Times New Roman" w:cs="Times New Roman"/>
    </w:rPr>
  </w:style>
  <w:style w:type="paragraph" w:styleId="CommentSubject">
    <w:name w:val="annotation subject"/>
    <w:basedOn w:val="CommentText"/>
    <w:next w:val="CommentText"/>
    <w:link w:val="CommentSubjectChar"/>
    <w:uiPriority w:val="99"/>
    <w:semiHidden/>
    <w:unhideWhenUsed/>
    <w:rsid w:val="009914C2"/>
    <w:rPr>
      <w:b/>
      <w:bCs/>
      <w:sz w:val="20"/>
      <w:szCs w:val="20"/>
    </w:rPr>
  </w:style>
  <w:style w:type="character" w:customStyle="1" w:styleId="CommentSubjectChar">
    <w:name w:val="Comment Subject Char"/>
    <w:basedOn w:val="CommentTextChar"/>
    <w:link w:val="CommentSubject"/>
    <w:uiPriority w:val="99"/>
    <w:semiHidden/>
    <w:rsid w:val="009914C2"/>
    <w:rPr>
      <w:rFonts w:ascii="Times New Roman" w:hAnsi="Times New Roman" w:cs="Times New Roman"/>
      <w:b/>
      <w:bCs/>
      <w:sz w:val="20"/>
      <w:szCs w:val="20"/>
    </w:rPr>
  </w:style>
  <w:style w:type="paragraph" w:styleId="Revision">
    <w:name w:val="Revision"/>
    <w:hidden/>
    <w:uiPriority w:val="99"/>
    <w:semiHidden/>
    <w:rsid w:val="00813981"/>
    <w:pPr>
      <w:spacing w:before="0" w:after="0" w:line="240" w:lineRule="auto"/>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974989">
      <w:bodyDiv w:val="1"/>
      <w:marLeft w:val="0"/>
      <w:marRight w:val="0"/>
      <w:marTop w:val="0"/>
      <w:marBottom w:val="0"/>
      <w:divBdr>
        <w:top w:val="none" w:sz="0" w:space="0" w:color="auto"/>
        <w:left w:val="none" w:sz="0" w:space="0" w:color="auto"/>
        <w:bottom w:val="none" w:sz="0" w:space="0" w:color="auto"/>
        <w:right w:val="none" w:sz="0" w:space="0" w:color="auto"/>
      </w:divBdr>
    </w:div>
    <w:div w:id="302395892">
      <w:bodyDiv w:val="1"/>
      <w:marLeft w:val="0"/>
      <w:marRight w:val="0"/>
      <w:marTop w:val="0"/>
      <w:marBottom w:val="0"/>
      <w:divBdr>
        <w:top w:val="none" w:sz="0" w:space="0" w:color="auto"/>
        <w:left w:val="none" w:sz="0" w:space="0" w:color="auto"/>
        <w:bottom w:val="none" w:sz="0" w:space="0" w:color="auto"/>
        <w:right w:val="none" w:sz="0" w:space="0" w:color="auto"/>
      </w:divBdr>
    </w:div>
    <w:div w:id="447630591">
      <w:bodyDiv w:val="1"/>
      <w:marLeft w:val="0"/>
      <w:marRight w:val="0"/>
      <w:marTop w:val="0"/>
      <w:marBottom w:val="0"/>
      <w:divBdr>
        <w:top w:val="none" w:sz="0" w:space="0" w:color="auto"/>
        <w:left w:val="none" w:sz="0" w:space="0" w:color="auto"/>
        <w:bottom w:val="none" w:sz="0" w:space="0" w:color="auto"/>
        <w:right w:val="none" w:sz="0" w:space="0" w:color="auto"/>
      </w:divBdr>
    </w:div>
    <w:div w:id="476260025">
      <w:bodyDiv w:val="1"/>
      <w:marLeft w:val="0"/>
      <w:marRight w:val="0"/>
      <w:marTop w:val="0"/>
      <w:marBottom w:val="0"/>
      <w:divBdr>
        <w:top w:val="none" w:sz="0" w:space="0" w:color="auto"/>
        <w:left w:val="none" w:sz="0" w:space="0" w:color="auto"/>
        <w:bottom w:val="none" w:sz="0" w:space="0" w:color="auto"/>
        <w:right w:val="none" w:sz="0" w:space="0" w:color="auto"/>
      </w:divBdr>
    </w:div>
    <w:div w:id="736173087">
      <w:bodyDiv w:val="1"/>
      <w:marLeft w:val="0"/>
      <w:marRight w:val="0"/>
      <w:marTop w:val="0"/>
      <w:marBottom w:val="0"/>
      <w:divBdr>
        <w:top w:val="none" w:sz="0" w:space="0" w:color="auto"/>
        <w:left w:val="none" w:sz="0" w:space="0" w:color="auto"/>
        <w:bottom w:val="none" w:sz="0" w:space="0" w:color="auto"/>
        <w:right w:val="none" w:sz="0" w:space="0" w:color="auto"/>
      </w:divBdr>
    </w:div>
    <w:div w:id="988945167">
      <w:bodyDiv w:val="1"/>
      <w:marLeft w:val="0"/>
      <w:marRight w:val="0"/>
      <w:marTop w:val="0"/>
      <w:marBottom w:val="0"/>
      <w:divBdr>
        <w:top w:val="none" w:sz="0" w:space="0" w:color="auto"/>
        <w:left w:val="none" w:sz="0" w:space="0" w:color="auto"/>
        <w:bottom w:val="none" w:sz="0" w:space="0" w:color="auto"/>
        <w:right w:val="none" w:sz="0" w:space="0" w:color="auto"/>
      </w:divBdr>
    </w:div>
    <w:div w:id="1252199944">
      <w:bodyDiv w:val="1"/>
      <w:marLeft w:val="0"/>
      <w:marRight w:val="0"/>
      <w:marTop w:val="0"/>
      <w:marBottom w:val="0"/>
      <w:divBdr>
        <w:top w:val="none" w:sz="0" w:space="0" w:color="auto"/>
        <w:left w:val="none" w:sz="0" w:space="0" w:color="auto"/>
        <w:bottom w:val="none" w:sz="0" w:space="0" w:color="auto"/>
        <w:right w:val="none" w:sz="0" w:space="0" w:color="auto"/>
      </w:divBdr>
    </w:div>
    <w:div w:id="1466853828">
      <w:bodyDiv w:val="1"/>
      <w:marLeft w:val="0"/>
      <w:marRight w:val="0"/>
      <w:marTop w:val="0"/>
      <w:marBottom w:val="0"/>
      <w:divBdr>
        <w:top w:val="none" w:sz="0" w:space="0" w:color="auto"/>
        <w:left w:val="none" w:sz="0" w:space="0" w:color="auto"/>
        <w:bottom w:val="none" w:sz="0" w:space="0" w:color="auto"/>
        <w:right w:val="none" w:sz="0" w:space="0" w:color="auto"/>
      </w:divBdr>
    </w:div>
    <w:div w:id="1552229143">
      <w:bodyDiv w:val="1"/>
      <w:marLeft w:val="0"/>
      <w:marRight w:val="0"/>
      <w:marTop w:val="0"/>
      <w:marBottom w:val="0"/>
      <w:divBdr>
        <w:top w:val="none" w:sz="0" w:space="0" w:color="auto"/>
        <w:left w:val="none" w:sz="0" w:space="0" w:color="auto"/>
        <w:bottom w:val="none" w:sz="0" w:space="0" w:color="auto"/>
        <w:right w:val="none" w:sz="0" w:space="0" w:color="auto"/>
      </w:divBdr>
    </w:div>
    <w:div w:id="1628967326">
      <w:bodyDiv w:val="1"/>
      <w:marLeft w:val="0"/>
      <w:marRight w:val="0"/>
      <w:marTop w:val="0"/>
      <w:marBottom w:val="0"/>
      <w:divBdr>
        <w:top w:val="none" w:sz="0" w:space="0" w:color="auto"/>
        <w:left w:val="none" w:sz="0" w:space="0" w:color="auto"/>
        <w:bottom w:val="none" w:sz="0" w:space="0" w:color="auto"/>
        <w:right w:val="none" w:sz="0" w:space="0" w:color="auto"/>
      </w:divBdr>
    </w:div>
    <w:div w:id="1681423379">
      <w:bodyDiv w:val="1"/>
      <w:marLeft w:val="0"/>
      <w:marRight w:val="0"/>
      <w:marTop w:val="0"/>
      <w:marBottom w:val="0"/>
      <w:divBdr>
        <w:top w:val="none" w:sz="0" w:space="0" w:color="auto"/>
        <w:left w:val="none" w:sz="0" w:space="0" w:color="auto"/>
        <w:bottom w:val="none" w:sz="0" w:space="0" w:color="auto"/>
        <w:right w:val="none" w:sz="0" w:space="0" w:color="auto"/>
      </w:divBdr>
    </w:div>
    <w:div w:id="1764305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hyperlink" Target="http://www.anu.edu.au"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smf.rsfas@anu.edu.au" TargetMode="External"/><Relationship Id="rId17" Type="http://schemas.openxmlformats.org/officeDocument/2006/relationships/chart" Target="charts/chart4.xml"/><Relationship Id="rId2" Type="http://schemas.openxmlformats.org/officeDocument/2006/relationships/customXml" Target="../customXml/item2.xml"/><Relationship Id="rId16" Type="http://schemas.openxmlformats.org/officeDocument/2006/relationships/chart" Target="charts/chart3.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chart" Target="charts/chart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anu.edu.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wmf"/></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https://d.docs.live.net/d6c99ea5ddba8e8d/School/ANU/Lecture%20Powerpoints%5eJ%20Notes%20%5e0%20Material/2018/Semester%202/FINM3009/R%5e0C%20Material/Performance%20Attribution/R%5e0C%20Performance%20Attribution%20FINAL%20.xlsx" TargetMode="Externa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https://d.docs.live.net/d6c99ea5ddba8e8d/School/ANU/Lecture%20Powerpoints%5eJ%20Notes%20%5e0%20Material/2018/Semester%202/FINM3009/R%5e0C%20Material/Performance%20Attribution/R%5e0C%20Performance%20Attribution%20FINAL%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1-12C5-4DFF-A4F0-F85AECF31D94}"/>
              </c:ext>
            </c:extLst>
          </c:dPt>
          <c:dPt>
            <c:idx val="1"/>
            <c:bubble3D val="0"/>
            <c:spPr>
              <a:solidFill>
                <a:schemeClr val="accent2"/>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3-12C5-4DFF-A4F0-F85AECF31D94}"/>
              </c:ext>
            </c:extLst>
          </c:dPt>
          <c:dPt>
            <c:idx val="2"/>
            <c:bubble3D val="0"/>
            <c:spPr>
              <a:solidFill>
                <a:schemeClr val="accent3"/>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5-12C5-4DFF-A4F0-F85AECF31D94}"/>
              </c:ext>
            </c:extLst>
          </c:dPt>
          <c:dPt>
            <c:idx val="3"/>
            <c:bubble3D val="0"/>
            <c:spPr>
              <a:solidFill>
                <a:schemeClr val="accent4"/>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7-12C5-4DFF-A4F0-F85AECF31D94}"/>
              </c:ext>
            </c:extLst>
          </c:dPt>
          <c:dPt>
            <c:idx val="4"/>
            <c:bubble3D val="0"/>
            <c:spPr>
              <a:solidFill>
                <a:schemeClr val="accent5"/>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9-12C5-4DFF-A4F0-F85AECF31D94}"/>
              </c:ext>
            </c:extLst>
          </c:dPt>
          <c:dPt>
            <c:idx val="5"/>
            <c:bubble3D val="0"/>
            <c:spPr>
              <a:solidFill>
                <a:schemeClr val="accent6"/>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B-12C5-4DFF-A4F0-F85AECF31D94}"/>
              </c:ext>
            </c:extLst>
          </c:dPt>
          <c:dPt>
            <c:idx val="6"/>
            <c:bubble3D val="0"/>
            <c:spPr>
              <a:solidFill>
                <a:schemeClr val="accent1">
                  <a:lumMod val="6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D-12C5-4DFF-A4F0-F85AECF31D94}"/>
              </c:ext>
            </c:extLst>
          </c:dPt>
          <c:dPt>
            <c:idx val="7"/>
            <c:bubble3D val="0"/>
            <c:spPr>
              <a:solidFill>
                <a:schemeClr val="accent2">
                  <a:lumMod val="6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F-12C5-4DFF-A4F0-F85AECF31D94}"/>
              </c:ext>
            </c:extLst>
          </c:dPt>
          <c:dPt>
            <c:idx val="8"/>
            <c:bubble3D val="0"/>
            <c:spPr>
              <a:solidFill>
                <a:schemeClr val="accent3">
                  <a:lumMod val="6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1-12C5-4DFF-A4F0-F85AECF31D94}"/>
              </c:ext>
            </c:extLst>
          </c:dPt>
          <c:dPt>
            <c:idx val="9"/>
            <c:bubble3D val="0"/>
            <c:spPr>
              <a:solidFill>
                <a:schemeClr val="accent4">
                  <a:lumMod val="6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3-12C5-4DFF-A4F0-F85AECF31D94}"/>
              </c:ext>
            </c:extLst>
          </c:dPt>
          <c:dPt>
            <c:idx val="10"/>
            <c:bubble3D val="0"/>
            <c:spPr>
              <a:solidFill>
                <a:schemeClr val="accent5">
                  <a:lumMod val="6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5-12C5-4DFF-A4F0-F85AECF31D94}"/>
              </c:ext>
            </c:extLst>
          </c:dPt>
          <c:dPt>
            <c:idx val="11"/>
            <c:bubble3D val="0"/>
            <c:spPr>
              <a:solidFill>
                <a:schemeClr val="accent6">
                  <a:lumMod val="6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7-12C5-4DFF-A4F0-F85AECF31D94}"/>
              </c:ext>
            </c:extLst>
          </c:dPt>
          <c:dPt>
            <c:idx val="12"/>
            <c:bubble3D val="0"/>
            <c:spPr>
              <a:solidFill>
                <a:schemeClr val="accent1">
                  <a:lumMod val="80000"/>
                  <a:lumOff val="2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9-12C5-4DFF-A4F0-F85AECF31D94}"/>
              </c:ext>
            </c:extLst>
          </c:dPt>
          <c:dPt>
            <c:idx val="13"/>
            <c:bubble3D val="0"/>
            <c:spPr>
              <a:solidFill>
                <a:schemeClr val="accent2">
                  <a:lumMod val="80000"/>
                  <a:lumOff val="2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B-12C5-4DFF-A4F0-F85AECF31D94}"/>
              </c:ext>
            </c:extLst>
          </c:dPt>
          <c:dLbls>
            <c:dLbl>
              <c:idx val="0"/>
              <c:layout>
                <c:manualLayout>
                  <c:x val="1.94444444444444E-2"/>
                  <c:y val="6.0185185185185203E-2"/>
                </c:manualLayout>
              </c:layout>
              <c:spPr>
                <a:noFill/>
                <a:ln>
                  <a:noFill/>
                </a:ln>
                <a:effectLst/>
              </c:spPr>
              <c:txPr>
                <a:bodyPr rot="0" spcFirstLastPara="1" vertOverflow="ellipsis" vert="horz" wrap="square" anchor="ctr" anchorCtr="1"/>
                <a:lstStyle/>
                <a:p>
                  <a:pPr>
                    <a:defRPr sz="900" b="1" i="0" u="none" strike="noStrike" kern="1200" spc="0" baseline="0">
                      <a:solidFill>
                        <a:schemeClr val="accent1"/>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2C5-4DFF-A4F0-F85AECF31D94}"/>
                </c:ext>
              </c:extLst>
            </c:dLbl>
            <c:dLbl>
              <c:idx val="1"/>
              <c:delete val="1"/>
              <c:extLst>
                <c:ext xmlns:c15="http://schemas.microsoft.com/office/drawing/2012/chart" uri="{CE6537A1-D6FC-4f65-9D91-7224C49458BB}"/>
                <c:ext xmlns:c16="http://schemas.microsoft.com/office/drawing/2014/chart" uri="{C3380CC4-5D6E-409C-BE32-E72D297353CC}">
                  <c16:uniqueId val="{00000003-12C5-4DFF-A4F0-F85AECF31D94}"/>
                </c:ext>
              </c:extLst>
            </c:dLbl>
            <c:dLbl>
              <c:idx val="2"/>
              <c:layout>
                <c:manualLayout>
                  <c:x val="2.7777777777777801E-3"/>
                  <c:y val="0"/>
                </c:manualLayout>
              </c:layout>
              <c:spPr>
                <a:noFill/>
                <a:ln>
                  <a:noFill/>
                </a:ln>
                <a:effectLst/>
              </c:spPr>
              <c:txPr>
                <a:bodyPr rot="0" spcFirstLastPara="1" vertOverflow="ellipsis" vert="horz" wrap="square" anchor="ctr" anchorCtr="1"/>
                <a:lstStyle/>
                <a:p>
                  <a:pPr>
                    <a:defRPr sz="900" b="1" i="0" u="none" strike="noStrike" kern="1200" spc="0" baseline="0">
                      <a:solidFill>
                        <a:schemeClr val="accent3"/>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5-12C5-4DFF-A4F0-F85AECF31D94}"/>
                </c:ext>
              </c:extLst>
            </c:dLbl>
            <c:dLbl>
              <c:idx val="3"/>
              <c:delete val="1"/>
              <c:extLst>
                <c:ext xmlns:c15="http://schemas.microsoft.com/office/drawing/2012/chart" uri="{CE6537A1-D6FC-4f65-9D91-7224C49458BB}"/>
                <c:ext xmlns:c16="http://schemas.microsoft.com/office/drawing/2014/chart" uri="{C3380CC4-5D6E-409C-BE32-E72D297353CC}">
                  <c16:uniqueId val="{00000007-12C5-4DFF-A4F0-F85AECF31D94}"/>
                </c:ext>
              </c:extLst>
            </c:dLbl>
            <c:dLbl>
              <c:idx val="4"/>
              <c:layout>
                <c:manualLayout>
                  <c:x val="2.5000000000000001E-2"/>
                  <c:y val="9.2592592592592605E-3"/>
                </c:manualLayout>
              </c:layout>
              <c:spPr>
                <a:noFill/>
                <a:ln>
                  <a:noFill/>
                </a:ln>
                <a:effectLst/>
              </c:spPr>
              <c:txPr>
                <a:bodyPr rot="0" spcFirstLastPara="1" vertOverflow="ellipsis" vert="horz" wrap="square" anchor="ctr" anchorCtr="1"/>
                <a:lstStyle/>
                <a:p>
                  <a:pPr>
                    <a:defRPr sz="900" b="1" i="0" u="none" strike="noStrike" kern="1200" spc="0" baseline="0">
                      <a:solidFill>
                        <a:schemeClr val="accent5"/>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9-12C5-4DFF-A4F0-F85AECF31D94}"/>
                </c:ext>
              </c:extLst>
            </c:dLbl>
            <c:dLbl>
              <c:idx val="5"/>
              <c:delete val="1"/>
              <c:extLst>
                <c:ext xmlns:c15="http://schemas.microsoft.com/office/drawing/2012/chart" uri="{CE6537A1-D6FC-4f65-9D91-7224C49458BB}"/>
                <c:ext xmlns:c16="http://schemas.microsoft.com/office/drawing/2014/chart" uri="{C3380CC4-5D6E-409C-BE32-E72D297353CC}">
                  <c16:uniqueId val="{0000000B-12C5-4DFF-A4F0-F85AECF31D94}"/>
                </c:ext>
              </c:extLst>
            </c:dLbl>
            <c:dLbl>
              <c:idx val="6"/>
              <c:layout>
                <c:manualLayout>
                  <c:x val="-1.94444444444444E-2"/>
                  <c:y val="0"/>
                </c:manualLayout>
              </c:layout>
              <c:spPr>
                <a:noFill/>
                <a:ln>
                  <a:noFill/>
                </a:ln>
                <a:effectLst/>
              </c:spPr>
              <c:txPr>
                <a:bodyPr rot="0" spcFirstLastPara="1" vertOverflow="ellipsis" vert="horz" wrap="square" anchor="ctr" anchorCtr="1"/>
                <a:lstStyle/>
                <a:p>
                  <a:pPr>
                    <a:defRPr sz="900" b="1" i="0" u="none" strike="noStrike" kern="1200" spc="0" baseline="0">
                      <a:solidFill>
                        <a:schemeClr val="accent1">
                          <a:lumMod val="60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D-12C5-4DFF-A4F0-F85AECF31D94}"/>
                </c:ext>
              </c:extLst>
            </c:dLbl>
            <c:dLbl>
              <c:idx val="7"/>
              <c:delete val="1"/>
              <c:extLst>
                <c:ext xmlns:c15="http://schemas.microsoft.com/office/drawing/2012/chart" uri="{CE6537A1-D6FC-4f65-9D91-7224C49458BB}"/>
                <c:ext xmlns:c16="http://schemas.microsoft.com/office/drawing/2014/chart" uri="{C3380CC4-5D6E-409C-BE32-E72D297353CC}">
                  <c16:uniqueId val="{0000000F-12C5-4DFF-A4F0-F85AECF31D94}"/>
                </c:ext>
              </c:extLst>
            </c:dLbl>
            <c:dLbl>
              <c:idx val="8"/>
              <c:layout>
                <c:manualLayout>
                  <c:x val="-0.1"/>
                  <c:y val="0.13888888888888901"/>
                </c:manualLayout>
              </c:layout>
              <c:spPr>
                <a:noFill/>
                <a:ln>
                  <a:noFill/>
                </a:ln>
                <a:effectLst/>
              </c:spPr>
              <c:txPr>
                <a:bodyPr rot="0" spcFirstLastPara="1" vertOverflow="ellipsis" vert="horz" wrap="square" anchor="ctr" anchorCtr="1"/>
                <a:lstStyle/>
                <a:p>
                  <a:pPr>
                    <a:defRPr sz="900" b="1" i="0" u="none" strike="noStrike" kern="1200" spc="0" baseline="0">
                      <a:solidFill>
                        <a:schemeClr val="accent3">
                          <a:lumMod val="60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11-12C5-4DFF-A4F0-F85AECF31D94}"/>
                </c:ext>
              </c:extLst>
            </c:dLbl>
            <c:dLbl>
              <c:idx val="9"/>
              <c:delete val="1"/>
              <c:extLst>
                <c:ext xmlns:c15="http://schemas.microsoft.com/office/drawing/2012/chart" uri="{CE6537A1-D6FC-4f65-9D91-7224C49458BB}"/>
                <c:ext xmlns:c16="http://schemas.microsoft.com/office/drawing/2014/chart" uri="{C3380CC4-5D6E-409C-BE32-E72D297353CC}">
                  <c16:uniqueId val="{00000013-12C5-4DFF-A4F0-F85AECF31D94}"/>
                </c:ext>
              </c:extLst>
            </c:dLbl>
            <c:dLbl>
              <c:idx val="10"/>
              <c:layout>
                <c:manualLayout>
                  <c:x val="-0.11944444444444401"/>
                  <c:y val="3.2407407407407399E-2"/>
                </c:manualLayout>
              </c:layout>
              <c:spPr>
                <a:noFill/>
                <a:ln>
                  <a:noFill/>
                </a:ln>
                <a:effectLst/>
              </c:spPr>
              <c:txPr>
                <a:bodyPr rot="0" spcFirstLastPara="1" vertOverflow="ellipsis" vert="horz" wrap="square" anchor="ctr" anchorCtr="1"/>
                <a:lstStyle/>
                <a:p>
                  <a:pPr>
                    <a:defRPr sz="900" b="1" i="0" u="none" strike="noStrike" kern="1200" spc="0" baseline="0">
                      <a:solidFill>
                        <a:schemeClr val="accent5">
                          <a:lumMod val="60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15-12C5-4DFF-A4F0-F85AECF31D94}"/>
                </c:ext>
              </c:extLst>
            </c:dLbl>
            <c:dLbl>
              <c:idx val="11"/>
              <c:delete val="1"/>
              <c:extLst>
                <c:ext xmlns:c15="http://schemas.microsoft.com/office/drawing/2012/chart" uri="{CE6537A1-D6FC-4f65-9D91-7224C49458BB}"/>
                <c:ext xmlns:c16="http://schemas.microsoft.com/office/drawing/2014/chart" uri="{C3380CC4-5D6E-409C-BE32-E72D297353CC}">
                  <c16:uniqueId val="{00000017-12C5-4DFF-A4F0-F85AECF31D94}"/>
                </c:ext>
              </c:extLst>
            </c:dLbl>
            <c:dLbl>
              <c:idx val="12"/>
              <c:layout>
                <c:manualLayout>
                  <c:x val="-3.6111111111111163E-2"/>
                  <c:y val="4.6296296296296294E-3"/>
                </c:manualLayout>
              </c:layout>
              <c:spPr>
                <a:noFill/>
                <a:ln>
                  <a:noFill/>
                </a:ln>
                <a:effectLst/>
              </c:spPr>
              <c:txPr>
                <a:bodyPr rot="0" spcFirstLastPara="1" vertOverflow="ellipsis" vert="horz" wrap="square" anchor="ctr" anchorCtr="1"/>
                <a:lstStyle/>
                <a:p>
                  <a:pPr>
                    <a:defRPr sz="900" b="1" i="0" u="none" strike="noStrike" kern="1200" spc="0" baseline="0">
                      <a:solidFill>
                        <a:schemeClr val="accent1">
                          <a:lumMod val="80000"/>
                          <a:lumOff val="20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19-12C5-4DFF-A4F0-F85AECF31D94}"/>
                </c:ext>
              </c:extLst>
            </c:dLbl>
            <c:dLbl>
              <c:idx val="13"/>
              <c:layout>
                <c:manualLayout>
                  <c:x val="0.105555555555556"/>
                  <c:y val="0"/>
                </c:manualLayout>
              </c:layout>
              <c:spPr>
                <a:noFill/>
                <a:ln>
                  <a:noFill/>
                </a:ln>
                <a:effectLst/>
              </c:spPr>
              <c:txPr>
                <a:bodyPr rot="0" spcFirstLastPara="1" vertOverflow="ellipsis" vert="horz" wrap="square" anchor="ctr" anchorCtr="1"/>
                <a:lstStyle/>
                <a:p>
                  <a:pPr>
                    <a:defRPr sz="900" b="1" i="0" u="none" strike="noStrike" kern="1200" spc="0" baseline="0">
                      <a:solidFill>
                        <a:schemeClr val="accent2">
                          <a:lumMod val="80000"/>
                          <a:lumOff val="20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1B-12C5-4DFF-A4F0-F85AECF31D94}"/>
                </c:ext>
              </c:extLst>
            </c:dLbl>
            <c:spPr>
              <a:noFill/>
              <a:ln>
                <a:noFill/>
              </a:ln>
              <a:effectLst/>
            </c:spPr>
            <c:dLblPos val="outEnd"/>
            <c:showLegendKey val="0"/>
            <c:showVal val="1"/>
            <c:showCatName val="1"/>
            <c:showSerName val="0"/>
            <c:showPercent val="0"/>
            <c:showBubbleSize val="0"/>
            <c:separator>
</c:separator>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Sheet3!$F$22:$F$35</c:f>
              <c:strCache>
                <c:ptCount val="14"/>
                <c:pt idx="0">
                  <c:v>Australian Fixed Income</c:v>
                </c:pt>
                <c:pt idx="2">
                  <c:v>International Equities, Hedged</c:v>
                </c:pt>
                <c:pt idx="4">
                  <c:v>International Equities, Unhedged</c:v>
                </c:pt>
                <c:pt idx="6">
                  <c:v>Australian Equities </c:v>
                </c:pt>
                <c:pt idx="8">
                  <c:v>Australian Cash</c:v>
                </c:pt>
                <c:pt idx="10">
                  <c:v>Cash Account</c:v>
                </c:pt>
                <c:pt idx="12">
                  <c:v>Telstra</c:v>
                </c:pt>
                <c:pt idx="13">
                  <c:v>Rio Tinto</c:v>
                </c:pt>
              </c:strCache>
            </c:strRef>
          </c:cat>
          <c:val>
            <c:numRef>
              <c:f>Sheet3!$G$22:$G$35</c:f>
              <c:numCache>
                <c:formatCode>General</c:formatCode>
                <c:ptCount val="14"/>
                <c:pt idx="0" formatCode="0.00%">
                  <c:v>0.14430000000000001</c:v>
                </c:pt>
                <c:pt idx="2" formatCode="0.00%">
                  <c:v>0.1016</c:v>
                </c:pt>
                <c:pt idx="4" formatCode="0.00%">
                  <c:v>0.1013</c:v>
                </c:pt>
                <c:pt idx="6" formatCode="0.00%">
                  <c:v>0.56010000000000004</c:v>
                </c:pt>
                <c:pt idx="8" formatCode="0.00%">
                  <c:v>2.6100000000000002E-2</c:v>
                </c:pt>
                <c:pt idx="10" formatCode="0.00%">
                  <c:v>2.06E-2</c:v>
                </c:pt>
                <c:pt idx="12" formatCode="0.00%">
                  <c:v>3.0300000000000001E-2</c:v>
                </c:pt>
                <c:pt idx="13" formatCode="0.00%">
                  <c:v>1.55E-2</c:v>
                </c:pt>
              </c:numCache>
            </c:numRef>
          </c:val>
          <c:extLst>
            <c:ext xmlns:c16="http://schemas.microsoft.com/office/drawing/2014/chart" uri="{C3380CC4-5D6E-409C-BE32-E72D297353CC}">
              <c16:uniqueId val="{0000001C-12C5-4DFF-A4F0-F85AECF31D94}"/>
            </c:ext>
          </c:extLst>
        </c:ser>
        <c:dLbls>
          <c:showLegendKey val="0"/>
          <c:showVal val="0"/>
          <c:showCatName val="1"/>
          <c:showSerName val="0"/>
          <c:showPercent val="0"/>
          <c:showBubbleSize val="0"/>
          <c:showLeaderLines val="1"/>
        </c:dLbls>
        <c:firstSliceAng val="0"/>
      </c:pieChart>
      <c:spPr>
        <a:noFill/>
        <a:ln>
          <a:noFill/>
        </a:ln>
        <a:effectLst/>
      </c:spPr>
    </c:plotArea>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sz="90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047100392644154"/>
          <c:y val="0.10996474955193708"/>
          <c:w val="0.79985240975312866"/>
          <c:h val="0.75418053325858536"/>
        </c:manualLayout>
      </c:layout>
      <c:ofPieChart>
        <c:ofPieType val="pie"/>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2DCC-49BC-90A9-BBDE1247935A}"/>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2DCC-49BC-90A9-BBDE1247935A}"/>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2DCC-49BC-90A9-BBDE1247935A}"/>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2DCC-49BC-90A9-BBDE1247935A}"/>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2DCC-49BC-90A9-BBDE1247935A}"/>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2DCC-49BC-90A9-BBDE1247935A}"/>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2DCC-49BC-90A9-BBDE1247935A}"/>
              </c:ext>
            </c:extLst>
          </c:dPt>
          <c:dPt>
            <c:idx val="7"/>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0F-2DCC-49BC-90A9-BBDE1247935A}"/>
              </c:ext>
            </c:extLst>
          </c:dPt>
          <c:dPt>
            <c:idx val="8"/>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11-2DCC-49BC-90A9-BBDE1247935A}"/>
              </c:ext>
            </c:extLst>
          </c:dPt>
          <c:dPt>
            <c:idx val="9"/>
            <c:bubble3D val="0"/>
            <c:spPr>
              <a:solidFill>
                <a:schemeClr val="accent4">
                  <a:lumMod val="60000"/>
                </a:schemeClr>
              </a:solidFill>
              <a:ln w="19050">
                <a:solidFill>
                  <a:schemeClr val="lt1"/>
                </a:solidFill>
              </a:ln>
              <a:effectLst/>
            </c:spPr>
            <c:extLst>
              <c:ext xmlns:c16="http://schemas.microsoft.com/office/drawing/2014/chart" uri="{C3380CC4-5D6E-409C-BE32-E72D297353CC}">
                <c16:uniqueId val="{00000013-2DCC-49BC-90A9-BBDE1247935A}"/>
              </c:ext>
            </c:extLst>
          </c:dPt>
          <c:dPt>
            <c:idx val="10"/>
            <c:bubble3D val="0"/>
            <c:spPr>
              <a:solidFill>
                <a:schemeClr val="accent5">
                  <a:lumMod val="60000"/>
                </a:schemeClr>
              </a:solidFill>
              <a:ln w="19050">
                <a:solidFill>
                  <a:schemeClr val="lt1"/>
                </a:solidFill>
              </a:ln>
              <a:effectLst/>
            </c:spPr>
            <c:extLst>
              <c:ext xmlns:c16="http://schemas.microsoft.com/office/drawing/2014/chart" uri="{C3380CC4-5D6E-409C-BE32-E72D297353CC}">
                <c16:uniqueId val="{00000015-2DCC-49BC-90A9-BBDE1247935A}"/>
              </c:ext>
            </c:extLst>
          </c:dPt>
          <c:dLbls>
            <c:dLbl>
              <c:idx val="0"/>
              <c:layout>
                <c:manualLayout>
                  <c:x val="0.11943668877139151"/>
                  <c:y val="2.2807974245937706E-2"/>
                </c:manualLayout>
              </c:layout>
              <c:tx>
                <c:rich>
                  <a:bodyPr/>
                  <a:lstStyle/>
                  <a:p>
                    <a:r>
                      <a:rPr lang="en-US" baseline="0"/>
                      <a:t>Australian Equities </a:t>
                    </a:r>
                    <a:fld id="{253AE0E6-69F7-4DF0-8923-F60FEBC7B138}" type="VALUE">
                      <a:rPr lang="en-US" baseline="0"/>
                      <a:pPr/>
                      <a:t>[VALUE]</a:t>
                    </a:fld>
                    <a:endParaRPr lang="en-US" baseline="0"/>
                  </a:p>
                </c:rich>
              </c:tx>
              <c:dLblPos val="bestFit"/>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2DCC-49BC-90A9-BBDE1247935A}"/>
                </c:ext>
              </c:extLst>
            </c:dLbl>
            <c:dLbl>
              <c:idx val="1"/>
              <c:layout>
                <c:manualLayout>
                  <c:x val="0"/>
                  <c:y val="0.11493990435661562"/>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65000"/>
                            <a:lumOff val="35000"/>
                          </a:schemeClr>
                        </a:solidFill>
                        <a:latin typeface="+mn-lt"/>
                        <a:ea typeface="+mn-ea"/>
                        <a:cs typeface="+mn-cs"/>
                      </a:defRPr>
                    </a:pPr>
                    <a:fld id="{4A3748E9-B5F9-425B-B40E-5712BBA93B10}" type="CATEGORYNAME">
                      <a:rPr lang="en-US"/>
                      <a:pPr>
                        <a:defRPr/>
                      </a:pPr>
                      <a:t>[CATEGORY NAME]</a:t>
                    </a:fld>
                    <a:r>
                      <a:rPr lang="en-US" baseline="0"/>
                      <a:t> </a:t>
                    </a:r>
                  </a:p>
                  <a:p>
                    <a:pPr>
                      <a:defRPr/>
                    </a:pPr>
                    <a:fld id="{79C0EBF0-67BE-4496-8EE0-CEA4353573A3}" type="VALUE">
                      <a:rPr lang="en-US" baseline="0"/>
                      <a:pPr>
                        <a:defRPr/>
                      </a:pPr>
                      <a:t>[VALUE]</a:t>
                    </a:fld>
                    <a:endParaRPr lang="en-AU"/>
                  </a:p>
                </c:rich>
              </c:tx>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65000"/>
                          <a:lumOff val="35000"/>
                        </a:schemeClr>
                      </a:solidFill>
                      <a:latin typeface="+mn-lt"/>
                      <a:ea typeface="+mn-ea"/>
                      <a:cs typeface="+mn-cs"/>
                    </a:defRPr>
                  </a:pPr>
                  <a:endParaRPr lang="en-US"/>
                </a:p>
              </c:txPr>
              <c:dLblPos val="bestFit"/>
              <c:showLegendKey val="0"/>
              <c:showVal val="1"/>
              <c:showCatName val="1"/>
              <c:showSerName val="0"/>
              <c:showPercent val="0"/>
              <c:showBubbleSize val="0"/>
              <c:extLst>
                <c:ext xmlns:c15="http://schemas.microsoft.com/office/drawing/2012/chart" uri="{CE6537A1-D6FC-4f65-9D91-7224C49458BB}">
                  <c15:layout>
                    <c:manualLayout>
                      <c:w val="0.19012345679012346"/>
                      <c:h val="0.16708984192509918"/>
                    </c:manualLayout>
                  </c15:layout>
                  <c15:dlblFieldTable/>
                  <c15:showDataLabelsRange val="0"/>
                </c:ext>
                <c:ext xmlns:c16="http://schemas.microsoft.com/office/drawing/2014/chart" uri="{C3380CC4-5D6E-409C-BE32-E72D297353CC}">
                  <c16:uniqueId val="{00000003-2DCC-49BC-90A9-BBDE1247935A}"/>
                </c:ext>
              </c:extLst>
            </c:dLbl>
            <c:dLbl>
              <c:idx val="2"/>
              <c:layout>
                <c:manualLayout>
                  <c:x val="-3.6280150971466738E-2"/>
                  <c:y val="0.13440834458799447"/>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65000"/>
                            <a:lumOff val="35000"/>
                          </a:schemeClr>
                        </a:solidFill>
                        <a:latin typeface="+mn-lt"/>
                        <a:ea typeface="+mn-ea"/>
                        <a:cs typeface="+mn-cs"/>
                      </a:defRPr>
                    </a:pPr>
                    <a:fld id="{6BCEE6C1-C10A-4322-A36F-BF6D358628C3}" type="CATEGORYNAME">
                      <a:rPr lang="en-US"/>
                      <a:pPr>
                        <a:defRPr/>
                      </a:pPr>
                      <a:t>[CATEGORY NAME]</a:t>
                    </a:fld>
                    <a:r>
                      <a:rPr lang="en-US" baseline="0"/>
                      <a:t> </a:t>
                    </a:r>
                    <a:fld id="{AD7C8CAB-05B7-48FB-A681-3BBFC8A4D0FE}" type="VALUE">
                      <a:rPr lang="en-US" baseline="0"/>
                      <a:pPr>
                        <a:defRPr/>
                      </a:pPr>
                      <a:t>[VALUE]</a:t>
                    </a:fld>
                    <a:endParaRPr lang="en-US" baseline="0"/>
                  </a:p>
                </c:rich>
              </c:tx>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65000"/>
                          <a:lumOff val="35000"/>
                        </a:schemeClr>
                      </a:solidFill>
                      <a:latin typeface="+mn-lt"/>
                      <a:ea typeface="+mn-ea"/>
                      <a:cs typeface="+mn-cs"/>
                    </a:defRPr>
                  </a:pPr>
                  <a:endParaRPr lang="en-US"/>
                </a:p>
              </c:txPr>
              <c:dLblPos val="bestFit"/>
              <c:showLegendKey val="0"/>
              <c:showVal val="1"/>
              <c:showCatName val="1"/>
              <c:showSerName val="0"/>
              <c:showPercent val="0"/>
              <c:showBubbleSize val="0"/>
              <c:extLst>
                <c:ext xmlns:c15="http://schemas.microsoft.com/office/drawing/2012/chart" uri="{CE6537A1-D6FC-4f65-9D91-7224C49458BB}">
                  <c15:layout>
                    <c:manualLayout>
                      <c:w val="0.1235641438539989"/>
                      <c:h val="0.2316720604099245"/>
                    </c:manualLayout>
                  </c15:layout>
                  <c15:dlblFieldTable/>
                  <c15:showDataLabelsRange val="0"/>
                </c:ext>
                <c:ext xmlns:c16="http://schemas.microsoft.com/office/drawing/2014/chart" uri="{C3380CC4-5D6E-409C-BE32-E72D297353CC}">
                  <c16:uniqueId val="{00000005-2DCC-49BC-90A9-BBDE1247935A}"/>
                </c:ext>
              </c:extLst>
            </c:dLbl>
            <c:dLbl>
              <c:idx val="3"/>
              <c:layout>
                <c:manualLayout>
                  <c:x val="-5.1015845241567026E-3"/>
                  <c:y val="0.10271148145316787"/>
                </c:manualLayout>
              </c:layout>
              <c:tx>
                <c:rich>
                  <a:bodyPr/>
                  <a:lstStyle/>
                  <a:p>
                    <a:fld id="{B80941ED-B980-44E6-B886-403095033B6A}" type="CATEGORYNAME">
                      <a:rPr lang="en-US"/>
                      <a:pPr/>
                      <a:t>[CATEGORY NAME]</a:t>
                    </a:fld>
                    <a:r>
                      <a:rPr lang="en-US" baseline="0"/>
                      <a:t> </a:t>
                    </a:r>
                  </a:p>
                  <a:p>
                    <a:fld id="{1A2CE1CE-C946-487D-88E0-AFCF6487DF28}" type="VALUE">
                      <a:rPr lang="en-US" baseline="0"/>
                      <a:pPr/>
                      <a:t>[VALUE]</a:t>
                    </a:fld>
                    <a:endParaRPr lang="en-AU"/>
                  </a:p>
                </c:rich>
              </c:tx>
              <c:dLblPos val="bestFit"/>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2DCC-49BC-90A9-BBDE1247935A}"/>
                </c:ext>
              </c:extLst>
            </c:dLbl>
            <c:dLbl>
              <c:idx val="4"/>
              <c:tx>
                <c:rich>
                  <a:bodyPr/>
                  <a:lstStyle/>
                  <a:p>
                    <a:fld id="{005B936F-3072-425F-B0FA-88152A1EB458}" type="CATEGORYNAME">
                      <a:rPr lang="en-US"/>
                      <a:pPr/>
                      <a:t>[CATEGORY NAME]</a:t>
                    </a:fld>
                    <a:r>
                      <a:rPr lang="en-US" baseline="0"/>
                      <a:t> </a:t>
                    </a:r>
                    <a:fld id="{692A7B2C-5733-451D-AAAB-B666A8EDAD4E}" type="VALUE">
                      <a:rPr lang="en-US" baseline="0"/>
                      <a:pPr/>
                      <a:t>[VALUE]</a:t>
                    </a:fld>
                    <a:endParaRPr lang="en-US" baseline="0"/>
                  </a:p>
                </c:rich>
              </c:tx>
              <c:dLblPos val="bestFit"/>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2DCC-49BC-90A9-BBDE1247935A}"/>
                </c:ext>
              </c:extLst>
            </c:dLbl>
            <c:dLbl>
              <c:idx val="5"/>
              <c:tx>
                <c:rich>
                  <a:bodyPr/>
                  <a:lstStyle/>
                  <a:p>
                    <a:fld id="{C6B2081D-838B-403F-BDD2-F7561B2D5B07}" type="CATEGORYNAME">
                      <a:rPr lang="en-US"/>
                      <a:pPr/>
                      <a:t>[CATEGORY NAME]</a:t>
                    </a:fld>
                    <a:r>
                      <a:rPr lang="en-US" baseline="0"/>
                      <a:t> </a:t>
                    </a:r>
                    <a:fld id="{6197F5F4-3121-41E6-8415-EF2320A6F110}" type="VALUE">
                      <a:rPr lang="en-US" baseline="0"/>
                      <a:pPr/>
                      <a:t>[VALUE]</a:t>
                    </a:fld>
                    <a:endParaRPr lang="en-US" baseline="0"/>
                  </a:p>
                </c:rich>
              </c:tx>
              <c:dLblPos val="bestFit"/>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B-2DCC-49BC-90A9-BBDE1247935A}"/>
                </c:ext>
              </c:extLst>
            </c:dLbl>
            <c:dLbl>
              <c:idx val="6"/>
              <c:layout>
                <c:manualLayout>
                  <c:x val="7.0071386004285696E-2"/>
                  <c:y val="6.1709859083148584E-2"/>
                </c:manualLayout>
              </c:layout>
              <c:tx>
                <c:rich>
                  <a:bodyPr/>
                  <a:lstStyle/>
                  <a:p>
                    <a:fld id="{E5219FA4-2172-49DE-A804-97DEFC26E0FF}" type="CATEGORYNAME">
                      <a:rPr lang="en-US"/>
                      <a:pPr/>
                      <a:t>[CATEGORY NAME]</a:t>
                    </a:fld>
                    <a:r>
                      <a:rPr lang="en-US" baseline="0"/>
                      <a:t> </a:t>
                    </a:r>
                    <a:fld id="{20ABD4F4-A1CE-42CB-8E67-A2365CB372BC}" type="VALUE">
                      <a:rPr lang="en-US" baseline="0"/>
                      <a:pPr/>
                      <a:t>[VALUE]</a:t>
                    </a:fld>
                    <a:endParaRPr lang="en-US" baseline="0"/>
                  </a:p>
                </c:rich>
              </c:tx>
              <c:dLblPos val="bestFit"/>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D-2DCC-49BC-90A9-BBDE1247935A}"/>
                </c:ext>
              </c:extLst>
            </c:dLbl>
            <c:dLbl>
              <c:idx val="7"/>
              <c:layout>
                <c:manualLayout>
                  <c:x val="-9.011289047806223E-3"/>
                  <c:y val="-2.7068946478777532E-3"/>
                </c:manualLayout>
              </c:layout>
              <c:tx>
                <c:rich>
                  <a:bodyPr/>
                  <a:lstStyle/>
                  <a:p>
                    <a:fld id="{BD51A508-51B5-43DD-B343-22EC4D4F38F2}" type="CATEGORYNAME">
                      <a:rPr lang="en-US"/>
                      <a:pPr/>
                      <a:t>[CATEGORY NAME]</a:t>
                    </a:fld>
                    <a:r>
                      <a:rPr lang="en-US" baseline="0"/>
                      <a:t> </a:t>
                    </a:r>
                    <a:fld id="{24E56FC1-63F1-416A-85C0-EEF3BDC30BBC}" type="VALUE">
                      <a:rPr lang="en-US" baseline="0"/>
                      <a:pPr/>
                      <a:t>[VALUE]</a:t>
                    </a:fld>
                    <a:endParaRPr lang="en-US" baseline="0"/>
                  </a:p>
                </c:rich>
              </c:tx>
              <c:dLblPos val="bestFit"/>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F-2DCC-49BC-90A9-BBDE1247935A}"/>
                </c:ext>
              </c:extLst>
            </c:dLbl>
            <c:dLbl>
              <c:idx val="8"/>
              <c:layout>
                <c:manualLayout>
                  <c:x val="-1.2281013182530928E-2"/>
                  <c:y val="-2.9327693261643265E-2"/>
                </c:manualLayout>
              </c:layout>
              <c:tx>
                <c:rich>
                  <a:bodyPr/>
                  <a:lstStyle/>
                  <a:p>
                    <a:fld id="{3847DDEE-E8BA-4B64-8B88-E9A896822EAC}" type="CATEGORYNAME">
                      <a:rPr lang="en-US"/>
                      <a:pPr/>
                      <a:t>[CATEGORY NAME]</a:t>
                    </a:fld>
                    <a:r>
                      <a:rPr lang="en-US" baseline="0"/>
                      <a:t> </a:t>
                    </a:r>
                    <a:fld id="{C9E9AF8D-5527-4995-A537-174538FD4805}" type="VALUE">
                      <a:rPr lang="en-US" baseline="0"/>
                      <a:pPr/>
                      <a:t>[VALUE]</a:t>
                    </a:fld>
                    <a:endParaRPr lang="en-US" baseline="0"/>
                  </a:p>
                </c:rich>
              </c:tx>
              <c:dLblPos val="bestFit"/>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1-2DCC-49BC-90A9-BBDE1247935A}"/>
                </c:ext>
              </c:extLst>
            </c:dLbl>
            <c:dLbl>
              <c:idx val="9"/>
              <c:layout>
                <c:manualLayout>
                  <c:x val="-1.8250134192163178E-3"/>
                  <c:y val="-9.351680554493795E-2"/>
                </c:manualLayout>
              </c:layout>
              <c:tx>
                <c:rich>
                  <a:bodyPr/>
                  <a:lstStyle/>
                  <a:p>
                    <a:fld id="{44E1B811-4632-40A8-A260-52DEFE8CF773}" type="CATEGORYNAME">
                      <a:rPr lang="en-US"/>
                      <a:pPr/>
                      <a:t>[CATEGORY NAME]</a:t>
                    </a:fld>
                    <a:r>
                      <a:rPr lang="en-US" baseline="0"/>
                      <a:t> </a:t>
                    </a:r>
                  </a:p>
                  <a:p>
                    <a:fld id="{023D688C-EF06-418B-B4DE-CA4D40FB99F8}" type="VALUE">
                      <a:rPr lang="en-US" baseline="0"/>
                      <a:pPr/>
                      <a:t>[VALUE]</a:t>
                    </a:fld>
                    <a:endParaRPr lang="en-AU"/>
                  </a:p>
                </c:rich>
              </c:tx>
              <c:dLblPos val="bestFit"/>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3-2DCC-49BC-90A9-BBDE1247935A}"/>
                </c:ext>
              </c:extLst>
            </c:dLbl>
            <c:dLbl>
              <c:idx val="10"/>
              <c:layout>
                <c:manualLayout>
                  <c:x val="7.3659874641273703E-3"/>
                  <c:y val="-2.8176575015501703E-2"/>
                </c:manualLayout>
              </c:layout>
              <c:tx>
                <c:rich>
                  <a:bodyPr/>
                  <a:lstStyle/>
                  <a:p>
                    <a:r>
                      <a:rPr lang="en-US"/>
                      <a:t>AAE Portfolio</a:t>
                    </a:r>
                  </a:p>
                  <a:p>
                    <a:r>
                      <a:rPr lang="en-US" baseline="0"/>
                      <a:t> </a:t>
                    </a:r>
                    <a:fld id="{2458A39D-A344-4D4A-A764-24C559960DC8}" type="VALUE">
                      <a:rPr lang="en-US" baseline="0"/>
                      <a:pPr/>
                      <a:t>[VALUE]</a:t>
                    </a:fld>
                    <a:endParaRPr lang="en-US" baseline="0"/>
                  </a:p>
                </c:rich>
              </c:tx>
              <c:dLblPos val="bestFit"/>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5-2DCC-49BC-90A9-BBDE1247935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65000"/>
                        <a:lumOff val="35000"/>
                      </a:schemeClr>
                    </a:solidFill>
                    <a:latin typeface="+mn-lt"/>
                    <a:ea typeface="+mn-ea"/>
                    <a:cs typeface="+mn-cs"/>
                  </a:defRPr>
                </a:pPr>
                <a:endParaRPr lang="en-US"/>
              </a:p>
            </c:txPr>
            <c:dLblPos val="bestFit"/>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'[R^0C Performance Attribution - End of Semester Report.xlsx]Sheet1'!$B$3:$B$12</c:f>
              <c:strCache>
                <c:ptCount val="10"/>
                <c:pt idx="0">
                  <c:v>Australian Equities </c:v>
                </c:pt>
                <c:pt idx="1">
                  <c:v>International Equities, Unhedged</c:v>
                </c:pt>
                <c:pt idx="2">
                  <c:v>International Equities, Hedged</c:v>
                </c:pt>
                <c:pt idx="3">
                  <c:v>Australian Fixed Income</c:v>
                </c:pt>
                <c:pt idx="4">
                  <c:v>Cash Account</c:v>
                </c:pt>
                <c:pt idx="5">
                  <c:v>Australian Cash</c:v>
                </c:pt>
                <c:pt idx="6">
                  <c:v>Telstra</c:v>
                </c:pt>
                <c:pt idx="7">
                  <c:v>Rio Tinto</c:v>
                </c:pt>
                <c:pt idx="8">
                  <c:v>Bingo Industries</c:v>
                </c:pt>
                <c:pt idx="9">
                  <c:v>iShares Core S&amp;P/ASX 200 ETF</c:v>
                </c:pt>
              </c:strCache>
            </c:strRef>
          </c:cat>
          <c:val>
            <c:numRef>
              <c:f>'[R^0C Performance Attribution - End of Semester Report.xlsx]Sheet1'!$C$3:$C$12</c:f>
              <c:numCache>
                <c:formatCode>0.00%</c:formatCode>
                <c:ptCount val="10"/>
                <c:pt idx="0">
                  <c:v>9.8079973573316312E-2</c:v>
                </c:pt>
                <c:pt idx="1">
                  <c:v>0.10187191664013605</c:v>
                </c:pt>
                <c:pt idx="2">
                  <c:v>9.9192427348940723E-2</c:v>
                </c:pt>
                <c:pt idx="3">
                  <c:v>0.14663176937818151</c:v>
                </c:pt>
                <c:pt idx="4">
                  <c:v>4.2920067123768182E-2</c:v>
                </c:pt>
                <c:pt idx="5">
                  <c:v>2.6394777867407695E-2</c:v>
                </c:pt>
                <c:pt idx="6">
                  <c:v>4.3316654068079143E-2</c:v>
                </c:pt>
                <c:pt idx="7">
                  <c:v>1.4520806227543072E-2</c:v>
                </c:pt>
                <c:pt idx="8">
                  <c:v>4.049645211550823E-2</c:v>
                </c:pt>
                <c:pt idx="9">
                  <c:v>0.38657515565711914</c:v>
                </c:pt>
              </c:numCache>
            </c:numRef>
          </c:val>
          <c:extLst>
            <c:ext xmlns:c16="http://schemas.microsoft.com/office/drawing/2014/chart" uri="{C3380CC4-5D6E-409C-BE32-E72D297353CC}">
              <c16:uniqueId val="{00000016-2DCC-49BC-90A9-BBDE1247935A}"/>
            </c:ext>
          </c:extLst>
        </c:ser>
        <c:dLbls>
          <c:dLblPos val="bestFit"/>
          <c:showLegendKey val="0"/>
          <c:showVal val="1"/>
          <c:showCatName val="1"/>
          <c:showSerName val="0"/>
          <c:showPercent val="0"/>
          <c:showBubbleSize val="0"/>
          <c:showLeaderLines val="1"/>
        </c:dLbls>
        <c:gapWidth val="100"/>
        <c:secondPieSize val="75"/>
        <c:serLines>
          <c:spPr>
            <a:ln w="9525" cap="flat" cmpd="sng" algn="ctr">
              <a:solidFill>
                <a:schemeClr val="tx1">
                  <a:lumMod val="35000"/>
                  <a:lumOff val="65000"/>
                </a:schemeClr>
              </a:solidFill>
              <a:round/>
            </a:ln>
            <a:effectLst/>
          </c:spPr>
        </c:serLines>
      </c:of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44043562064606201"/>
          <c:y val="6.4097467660943597E-2"/>
          <c:w val="0.52373124757961398"/>
          <c:h val="0.802562506368935"/>
        </c:manualLayout>
      </c:layout>
      <c:barChart>
        <c:barDir val="bar"/>
        <c:grouping val="clustered"/>
        <c:varyColors val="0"/>
        <c:ser>
          <c:idx val="0"/>
          <c:order val="0"/>
          <c:spPr>
            <a:solidFill>
              <a:srgbClr val="5B9BD5"/>
            </a:solidFill>
            <a:ln w="9525" cap="flat" cmpd="sng" algn="ctr">
              <a:noFill/>
              <a:round/>
            </a:ln>
            <a:effectLst>
              <a:outerShdw blurRad="40000" dist="20000" dir="5400000" rotWithShape="0">
                <a:srgbClr val="000000">
                  <a:alpha val="38000"/>
                </a:srgbClr>
              </a:outerShdw>
            </a:effectLst>
          </c:spPr>
          <c:invertIfNegative val="0"/>
          <c:dPt>
            <c:idx val="3"/>
            <c:invertIfNegative val="0"/>
            <c:bubble3D val="0"/>
            <c:spPr>
              <a:solidFill>
                <a:srgbClr val="FF5757"/>
              </a:solidFill>
              <a:ln w="9525" cap="flat" cmpd="sng" algn="ctr">
                <a:noFill/>
                <a:round/>
              </a:ln>
              <a:effectLst>
                <a:outerShdw blurRad="40000" dist="20000" dir="5400000" rotWithShape="0">
                  <a:srgbClr val="000000">
                    <a:alpha val="38000"/>
                  </a:srgbClr>
                </a:outerShdw>
              </a:effectLst>
            </c:spPr>
            <c:extLst>
              <c:ext xmlns:c16="http://schemas.microsoft.com/office/drawing/2014/chart" uri="{C3380CC4-5D6E-409C-BE32-E72D297353CC}">
                <c16:uniqueId val="{00000002-31C7-42D9-86E7-F6BE49AF62A4}"/>
              </c:ext>
            </c:extLst>
          </c:dPt>
          <c:dPt>
            <c:idx val="4"/>
            <c:invertIfNegative val="0"/>
            <c:bubble3D val="0"/>
            <c:spPr>
              <a:solidFill>
                <a:srgbClr val="FF5757"/>
              </a:solidFill>
              <a:ln w="9525" cap="flat" cmpd="sng" algn="ctr">
                <a:noFill/>
                <a:round/>
              </a:ln>
              <a:effectLst>
                <a:outerShdw blurRad="40000" dist="20000" dir="5400000" rotWithShape="0">
                  <a:srgbClr val="000000">
                    <a:alpha val="38000"/>
                  </a:srgbClr>
                </a:outerShdw>
              </a:effectLst>
            </c:spPr>
            <c:extLst>
              <c:ext xmlns:c16="http://schemas.microsoft.com/office/drawing/2014/chart" uri="{C3380CC4-5D6E-409C-BE32-E72D297353CC}">
                <c16:uniqueId val="{00000003-31C7-42D9-86E7-F6BE49AF62A4}"/>
              </c:ext>
            </c:extLst>
          </c:dPt>
          <c:dLbls>
            <c:spPr>
              <a:noFill/>
              <a:ln>
                <a:noFill/>
              </a:ln>
              <a:effectLst/>
            </c:spPr>
            <c:txPr>
              <a:bodyPr rot="0" spcFirstLastPara="1" vertOverflow="clip" horzOverflow="clip" vert="horz" wrap="square" lIns="0" tIns="19050" rIns="360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a:noFill/>
                  <a:ln>
                    <a:noFill/>
                  </a:ln>
                </c15:spPr>
                <c15:showLeaderLines val="1"/>
                <c15:leaderLines>
                  <c:spPr>
                    <a:ln w="9525">
                      <a:solidFill>
                        <a:schemeClr val="tx1">
                          <a:lumMod val="35000"/>
                          <a:lumOff val="65000"/>
                        </a:schemeClr>
                      </a:solidFill>
                    </a:ln>
                    <a:effectLst/>
                  </c:spPr>
                </c15:leaderLines>
              </c:ext>
            </c:extLst>
          </c:dLbls>
          <c:cat>
            <c:strRef>
              <c:f>'[R^0C Performance Attribution FINAL .xlsx]Reference Portfolio'!$A$105:$A$113</c:f>
              <c:strCache>
                <c:ptCount val="7"/>
                <c:pt idx="0">
                  <c:v>Australian Equities - AA Portfolio</c:v>
                </c:pt>
                <c:pt idx="1">
                  <c:v>World Equities, Unhedged - Vanguard ETF</c:v>
                </c:pt>
                <c:pt idx="2">
                  <c:v>World Equities, Hedged - Vanguard ETF</c:v>
                </c:pt>
                <c:pt idx="3">
                  <c:v>Australian Bonds - Vanguard ETF</c:v>
                </c:pt>
                <c:pt idx="4">
                  <c:v>Australian Cash - BetaShares ETF</c:v>
                </c:pt>
                <c:pt idx="5">
                  <c:v>BT Cash Management Trust</c:v>
                </c:pt>
                <c:pt idx="6">
                  <c:v>AAE</c:v>
                </c:pt>
              </c:strCache>
            </c:strRef>
          </c:cat>
          <c:val>
            <c:numRef>
              <c:f>'[R^0C Performance Attribution FINAL .xlsx]Reference Portfolio'!$F$105:$F$113</c:f>
              <c:numCache>
                <c:formatCode>0.00%</c:formatCode>
                <c:ptCount val="7"/>
                <c:pt idx="0">
                  <c:v>1.1238658240326399E-4</c:v>
                </c:pt>
                <c:pt idx="1">
                  <c:v>2.0740991773094899E-4</c:v>
                </c:pt>
                <c:pt idx="2">
                  <c:v>1.09094755406526E-4</c:v>
                </c:pt>
                <c:pt idx="3">
                  <c:v>-2.4731081317751002E-4</c:v>
                </c:pt>
                <c:pt idx="4">
                  <c:v>-1.4735169786534699E-4</c:v>
                </c:pt>
                <c:pt idx="5">
                  <c:v>0</c:v>
                </c:pt>
                <c:pt idx="6">
                  <c:v>2.9529582850554802E-4</c:v>
                </c:pt>
              </c:numCache>
            </c:numRef>
          </c:val>
          <c:extLst>
            <c:ext xmlns:c16="http://schemas.microsoft.com/office/drawing/2014/chart" uri="{C3380CC4-5D6E-409C-BE32-E72D297353CC}">
              <c16:uniqueId val="{00000000-31C7-42D9-86E7-F6BE49AF62A4}"/>
            </c:ext>
          </c:extLst>
        </c:ser>
        <c:dLbls>
          <c:showLegendKey val="0"/>
          <c:showVal val="1"/>
          <c:showCatName val="0"/>
          <c:showSerName val="0"/>
          <c:showPercent val="0"/>
          <c:showBubbleSize val="0"/>
        </c:dLbls>
        <c:gapWidth val="100"/>
        <c:axId val="511014472"/>
        <c:axId val="474231832"/>
      </c:barChart>
      <c:catAx>
        <c:axId val="511014472"/>
        <c:scaling>
          <c:orientation val="minMax"/>
        </c:scaling>
        <c:delete val="0"/>
        <c:axPos val="l"/>
        <c:numFmt formatCode="General" sourceLinked="1"/>
        <c:majorTickMark val="none"/>
        <c:minorTickMark val="none"/>
        <c:tickLblPos val="low"/>
        <c:spPr>
          <a:noFill/>
          <a:ln w="9525" cap="flat" cmpd="sng" algn="ctr">
            <a:no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474231832"/>
        <c:crosses val="autoZero"/>
        <c:auto val="1"/>
        <c:lblAlgn val="r"/>
        <c:lblOffset val="700"/>
        <c:noMultiLvlLbl val="0"/>
      </c:catAx>
      <c:valAx>
        <c:axId val="474231832"/>
        <c:scaling>
          <c:orientation val="minMax"/>
        </c:scaling>
        <c:delete val="0"/>
        <c:axPos val="b"/>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mn-lt"/>
                <a:ea typeface="+mn-ea"/>
                <a:cs typeface="+mn-cs"/>
              </a:defRPr>
            </a:pPr>
            <a:endParaRPr lang="en-US"/>
          </a:p>
        </c:txPr>
        <c:crossAx val="51101447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35759423036530602"/>
          <c:y val="5.19374777812181E-2"/>
          <c:w val="0.60624062923166699"/>
          <c:h val="0.83980797511605598"/>
        </c:manualLayout>
      </c:layout>
      <c:barChart>
        <c:barDir val="bar"/>
        <c:grouping val="clustered"/>
        <c:varyColors val="0"/>
        <c:ser>
          <c:idx val="0"/>
          <c:order val="0"/>
          <c:spPr>
            <a:solidFill>
              <a:srgbClr val="FF5757"/>
            </a:solidFill>
            <a:ln w="9525" cap="flat" cmpd="sng" algn="ctr">
              <a:noFill/>
              <a:round/>
            </a:ln>
            <a:effectLst>
              <a:outerShdw blurRad="40000" dist="20000" dir="5400000" rotWithShape="0">
                <a:srgbClr val="000000">
                  <a:alpha val="38000"/>
                </a:srgbClr>
              </a:outerShdw>
            </a:effectLst>
          </c:spPr>
          <c:invertIfNegative val="0"/>
          <c:dPt>
            <c:idx val="2"/>
            <c:invertIfNegative val="0"/>
            <c:bubble3D val="0"/>
            <c:spPr>
              <a:solidFill>
                <a:srgbClr val="5B9BD5"/>
              </a:solidFill>
              <a:ln w="9525" cap="flat" cmpd="sng" algn="ctr">
                <a:noFill/>
                <a:round/>
              </a:ln>
              <a:effectLst>
                <a:outerShdw blurRad="40000" dist="20000" dir="5400000" rotWithShape="0">
                  <a:srgbClr val="000000">
                    <a:alpha val="38000"/>
                  </a:srgbClr>
                </a:outerShdw>
              </a:effectLst>
            </c:spPr>
            <c:extLst>
              <c:ext xmlns:c16="http://schemas.microsoft.com/office/drawing/2014/chart" uri="{C3380CC4-5D6E-409C-BE32-E72D297353CC}">
                <c16:uniqueId val="{00000001-4880-4B5B-9643-E0A44E359ECF}"/>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'[R^0C Performance Attribution FINAL .xlsx]Reference Portfolio'!$A$116:$A$118</c:f>
              <c:strCache>
                <c:ptCount val="3"/>
                <c:pt idx="0">
                  <c:v>Australian Equities - ASX200 ETF</c:v>
                </c:pt>
                <c:pt idx="1">
                  <c:v>RIO</c:v>
                </c:pt>
                <c:pt idx="2">
                  <c:v>TLS</c:v>
                </c:pt>
              </c:strCache>
            </c:strRef>
          </c:cat>
          <c:val>
            <c:numRef>
              <c:f>'[R^0C Performance Attribution FINAL .xlsx]Reference Portfolio'!$F$116:$F$118</c:f>
              <c:numCache>
                <c:formatCode>0.00%</c:formatCode>
                <c:ptCount val="3"/>
                <c:pt idx="0">
                  <c:v>0</c:v>
                </c:pt>
                <c:pt idx="1">
                  <c:v>-5.8462556631851499E-3</c:v>
                </c:pt>
                <c:pt idx="2">
                  <c:v>7.0231825249043303E-3</c:v>
                </c:pt>
              </c:numCache>
            </c:numRef>
          </c:val>
          <c:extLst>
            <c:ext xmlns:c16="http://schemas.microsoft.com/office/drawing/2014/chart" uri="{C3380CC4-5D6E-409C-BE32-E72D297353CC}">
              <c16:uniqueId val="{00000000-4880-4B5B-9643-E0A44E359ECF}"/>
            </c:ext>
          </c:extLst>
        </c:ser>
        <c:dLbls>
          <c:showLegendKey val="0"/>
          <c:showVal val="0"/>
          <c:showCatName val="0"/>
          <c:showSerName val="0"/>
          <c:showPercent val="0"/>
          <c:showBubbleSize val="0"/>
        </c:dLbls>
        <c:gapWidth val="100"/>
        <c:axId val="474411928"/>
        <c:axId val="474407240"/>
      </c:barChart>
      <c:catAx>
        <c:axId val="474411928"/>
        <c:scaling>
          <c:orientation val="minMax"/>
        </c:scaling>
        <c:delete val="0"/>
        <c:axPos val="l"/>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474407240"/>
        <c:crosses val="autoZero"/>
        <c:auto val="1"/>
        <c:lblAlgn val="ctr"/>
        <c:lblOffset val="700"/>
        <c:noMultiLvlLbl val="0"/>
      </c:catAx>
      <c:valAx>
        <c:axId val="474407240"/>
        <c:scaling>
          <c:orientation val="minMax"/>
        </c:scaling>
        <c:delete val="0"/>
        <c:axPos val="b"/>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mn-lt"/>
                <a:ea typeface="+mn-ea"/>
                <a:cs typeface="+mn-cs"/>
              </a:defRPr>
            </a:pPr>
            <a:endParaRPr lang="en-US"/>
          </a:p>
        </c:txPr>
        <c:crossAx val="47441192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3">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50000"/>
            <a:lumOff val="50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ln w="19050">
        <a:solidFill>
          <a:schemeClr val="lt1"/>
        </a:solidFill>
      </a:ln>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40" b="0" kern="1200" spc="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9">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19">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Theme1">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NU">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1EE1D543FB9164198D765219CBDAB4C" ma:contentTypeVersion="6" ma:contentTypeDescription="Create a new document." ma:contentTypeScope="" ma:versionID="06ed09b2344cd01cb3e077192dd0d7c3">
  <xsd:schema xmlns:xsd="http://www.w3.org/2001/XMLSchema" xmlns:xs="http://www.w3.org/2001/XMLSchema" xmlns:p="http://schemas.microsoft.com/office/2006/metadata/properties" xmlns:ns2="45a56532-63ca-4d20-ab2d-f09fd61190d2" xmlns:ns3="759089d7-f8e0-4699-b9aa-0338cd91c886" targetNamespace="http://schemas.microsoft.com/office/2006/metadata/properties" ma:root="true" ma:fieldsID="a4dfff58ebf18447afe8f2512704f4b9" ns2:_="" ns3:_="">
    <xsd:import namespace="45a56532-63ca-4d20-ab2d-f09fd61190d2"/>
    <xsd:import namespace="759089d7-f8e0-4699-b9aa-0338cd91c88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a56532-63ca-4d20-ab2d-f09fd61190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9089d7-f8e0-4699-b9aa-0338cd91c88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759089d7-f8e0-4699-b9aa-0338cd91c886">
      <UserInfo>
        <DisplayName>Geoff Warren</DisplayName>
        <AccountId>26</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10C5A8-FCBE-4801-AE00-F352AE34CBA6}">
  <ds:schemaRefs>
    <ds:schemaRef ds:uri="http://schemas.microsoft.com/sharepoint/v3/contenttype/forms"/>
  </ds:schemaRefs>
</ds:datastoreItem>
</file>

<file path=customXml/itemProps2.xml><?xml version="1.0" encoding="utf-8"?>
<ds:datastoreItem xmlns:ds="http://schemas.openxmlformats.org/officeDocument/2006/customXml" ds:itemID="{1FB8BA2B-F642-4649-A124-32E4BFA3BBA8}"/>
</file>

<file path=customXml/itemProps3.xml><?xml version="1.0" encoding="utf-8"?>
<ds:datastoreItem xmlns:ds="http://schemas.openxmlformats.org/officeDocument/2006/customXml" ds:itemID="{87A9ED81-BD57-47DF-9CF5-061E3F6DE8D3}">
  <ds:schemaRefs>
    <ds:schemaRef ds:uri="http://schemas.microsoft.com/office/2006/metadata/properties"/>
    <ds:schemaRef ds:uri="http://schemas.microsoft.com/office/infopath/2007/PartnerControls"/>
    <ds:schemaRef ds:uri="759089d7-f8e0-4699-b9aa-0338cd91c886"/>
  </ds:schemaRefs>
</ds:datastoreItem>
</file>

<file path=customXml/itemProps4.xml><?xml version="1.0" encoding="utf-8"?>
<ds:datastoreItem xmlns:ds="http://schemas.openxmlformats.org/officeDocument/2006/customXml" ds:itemID="{2960DCD2-532D-4007-8CB3-BDE99E780C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11</Pages>
  <Words>2880</Words>
  <Characters>16420</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Report</vt:lpstr>
    </vt:vector>
  </TitlesOfParts>
  <Company>The Australian National University</Company>
  <LinksUpToDate>false</LinksUpToDate>
  <CharactersWithSpaces>19262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dc:title>
  <dc:subject/>
  <dc:creator>Microsoft Office User</dc:creator>
  <cp:keywords/>
  <dc:description/>
  <cp:lastModifiedBy>Saurav Patel</cp:lastModifiedBy>
  <cp:revision>48</cp:revision>
  <cp:lastPrinted>2014-02-03T05:43:00Z</cp:lastPrinted>
  <dcterms:created xsi:type="dcterms:W3CDTF">2018-09-25T10:37:00Z</dcterms:created>
  <dcterms:modified xsi:type="dcterms:W3CDTF">2018-11-19T01:33:00Z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0x01010041EE1D543FB9164198D765219CBDAB4C</vt:lpwstr>
  </property>
</Properties>
</file>