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6D56B" w14:textId="77777777" w:rsidR="00277953" w:rsidRPr="002C3CF3" w:rsidRDefault="00277953" w:rsidP="00A250F3">
      <w:pPr>
        <w:pStyle w:val="Title"/>
        <w:spacing w:line="240" w:lineRule="auto"/>
        <w:rPr>
          <w:rFonts w:cs="Times New Roman"/>
          <w:sz w:val="20"/>
          <w:szCs w:val="20"/>
        </w:rPr>
      </w:pPr>
    </w:p>
    <w:p w14:paraId="2C464609" w14:textId="77777777" w:rsidR="00380F71" w:rsidRPr="002C3CF3" w:rsidRDefault="00380F71" w:rsidP="00A250F3">
      <w:pPr>
        <w:pStyle w:val="Title"/>
        <w:spacing w:line="240" w:lineRule="auto"/>
        <w:rPr>
          <w:rFonts w:cs="Times New Roman"/>
          <w:sz w:val="40"/>
          <w:szCs w:val="40"/>
        </w:rPr>
      </w:pPr>
    </w:p>
    <w:p w14:paraId="1EF98AC8" w14:textId="75A26D54" w:rsidR="00DD448F" w:rsidRPr="002C3CF3" w:rsidRDefault="00841936" w:rsidP="00157EFA">
      <w:pPr>
        <w:pStyle w:val="Title"/>
        <w:spacing w:line="240" w:lineRule="auto"/>
        <w:rPr>
          <w:rFonts w:cs="Times New Roman"/>
          <w:sz w:val="40"/>
          <w:szCs w:val="40"/>
        </w:rPr>
      </w:pPr>
      <w:r w:rsidRPr="002C3CF3">
        <w:rPr>
          <w:rFonts w:cs="Times New Roman"/>
          <w:sz w:val="40"/>
          <w:szCs w:val="40"/>
        </w:rPr>
        <w:t xml:space="preserve">Mid-Semester </w:t>
      </w:r>
      <w:r w:rsidR="004C7DE7" w:rsidRPr="002C3CF3">
        <w:rPr>
          <w:rFonts w:cs="Times New Roman"/>
          <w:sz w:val="40"/>
          <w:szCs w:val="40"/>
        </w:rPr>
        <w:t>Report</w:t>
      </w:r>
      <w:r w:rsidR="00BE40D3">
        <w:rPr>
          <w:rFonts w:cs="Times New Roman"/>
          <w:sz w:val="40"/>
          <w:szCs w:val="40"/>
        </w:rPr>
        <w:t xml:space="preserve"> –</w:t>
      </w:r>
      <w:r w:rsidRPr="002C3CF3">
        <w:rPr>
          <w:rFonts w:cs="Times New Roman"/>
          <w:sz w:val="40"/>
          <w:szCs w:val="40"/>
        </w:rPr>
        <w:t xml:space="preserve"> </w:t>
      </w:r>
      <w:r w:rsidR="00380F71" w:rsidRPr="002C3CF3">
        <w:rPr>
          <w:rFonts w:cs="Times New Roman"/>
          <w:sz w:val="40"/>
          <w:szCs w:val="40"/>
        </w:rPr>
        <w:t xml:space="preserve">Semester </w:t>
      </w:r>
      <w:r w:rsidR="00157EFA">
        <w:rPr>
          <w:rFonts w:cs="Times New Roman"/>
          <w:sz w:val="40"/>
          <w:szCs w:val="40"/>
        </w:rPr>
        <w:t>2</w:t>
      </w:r>
      <w:r w:rsidR="00380F71" w:rsidRPr="002C3CF3">
        <w:rPr>
          <w:rFonts w:cs="Times New Roman"/>
          <w:sz w:val="40"/>
          <w:szCs w:val="40"/>
        </w:rPr>
        <w:t>, 201</w:t>
      </w:r>
      <w:r w:rsidR="007A16CD" w:rsidRPr="002C3CF3">
        <w:rPr>
          <w:rFonts w:cs="Times New Roman"/>
          <w:sz w:val="40"/>
          <w:szCs w:val="40"/>
        </w:rPr>
        <w:t>9</w:t>
      </w:r>
    </w:p>
    <w:p w14:paraId="664DE761" w14:textId="77777777" w:rsidR="00A703D8" w:rsidRPr="002C3CF3" w:rsidRDefault="00A703D8" w:rsidP="00A250F3">
      <w:pPr>
        <w:rPr>
          <w:sz w:val="40"/>
          <w:szCs w:val="40"/>
        </w:rPr>
      </w:pPr>
    </w:p>
    <w:p w14:paraId="55B27471" w14:textId="77777777" w:rsidR="00DD448F" w:rsidRPr="002C3CF3" w:rsidRDefault="00DD448F" w:rsidP="00A250F3">
      <w:pPr>
        <w:pStyle w:val="Subtitle"/>
        <w:spacing w:line="240" w:lineRule="auto"/>
        <w:rPr>
          <w:rFonts w:cs="Times New Roman"/>
          <w:sz w:val="40"/>
          <w:szCs w:val="40"/>
        </w:rPr>
      </w:pPr>
      <w:r w:rsidRPr="002C3CF3">
        <w:rPr>
          <w:rFonts w:cs="Times New Roman"/>
          <w:sz w:val="40"/>
          <w:szCs w:val="40"/>
        </w:rPr>
        <w:t>ANU Student Managed Fund</w:t>
      </w:r>
    </w:p>
    <w:p w14:paraId="3A29E4B9" w14:textId="77777777" w:rsidR="00DD448F" w:rsidRPr="002C3CF3" w:rsidRDefault="00DD448F" w:rsidP="00A250F3">
      <w:pPr>
        <w:rPr>
          <w:sz w:val="20"/>
          <w:szCs w:val="20"/>
        </w:rPr>
      </w:pPr>
    </w:p>
    <w:p w14:paraId="74386698" w14:textId="77777777" w:rsidR="00DD448F" w:rsidRPr="002C3CF3" w:rsidRDefault="00DD448F" w:rsidP="00A250F3">
      <w:pPr>
        <w:spacing w:before="480"/>
        <w:jc w:val="center"/>
        <w:rPr>
          <w:sz w:val="22"/>
          <w:szCs w:val="22"/>
        </w:rPr>
      </w:pPr>
    </w:p>
    <w:p w14:paraId="32C4C9CF" w14:textId="76F750EB" w:rsidR="00DD448F" w:rsidRPr="002C3CF3" w:rsidRDefault="00DD448F" w:rsidP="00A250F3">
      <w:pPr>
        <w:jc w:val="center"/>
        <w:rPr>
          <w:sz w:val="22"/>
          <w:szCs w:val="22"/>
        </w:rPr>
      </w:pPr>
    </w:p>
    <w:p w14:paraId="427ED5F4" w14:textId="3984EEE9" w:rsidR="00DD448F" w:rsidRDefault="2036C3A6" w:rsidP="2036C3A6">
      <w:pPr>
        <w:jc w:val="center"/>
        <w:rPr>
          <w:sz w:val="22"/>
          <w:szCs w:val="22"/>
        </w:rPr>
      </w:pPr>
      <w:r w:rsidRPr="2036C3A6">
        <w:rPr>
          <w:sz w:val="22"/>
          <w:szCs w:val="22"/>
        </w:rPr>
        <w:t>Creation Date: 30/08/2019 | Version Date: 1</w:t>
      </w:r>
      <w:r w:rsidR="00575F9D">
        <w:rPr>
          <w:sz w:val="22"/>
          <w:szCs w:val="22"/>
        </w:rPr>
        <w:t>8/09/2019 (Final, Approved</w:t>
      </w:r>
      <w:r w:rsidRPr="2036C3A6">
        <w:rPr>
          <w:sz w:val="22"/>
          <w:szCs w:val="22"/>
        </w:rPr>
        <w:t>)</w:t>
      </w:r>
    </w:p>
    <w:p w14:paraId="3E30D4E9" w14:textId="77777777" w:rsidR="003C7DCD" w:rsidRPr="002C3CF3" w:rsidRDefault="003C7DCD" w:rsidP="00A250F3">
      <w:pPr>
        <w:jc w:val="center"/>
        <w:rPr>
          <w:sz w:val="22"/>
          <w:szCs w:val="22"/>
        </w:rPr>
      </w:pPr>
    </w:p>
    <w:sdt>
      <w:sdtPr>
        <w:rPr>
          <w:rFonts w:eastAsiaTheme="minorHAnsi"/>
          <w:b w:val="0"/>
          <w:noProof/>
          <w:color w:val="auto"/>
          <w:spacing w:val="0"/>
          <w:sz w:val="22"/>
          <w:szCs w:val="22"/>
          <w:lang w:eastAsia="zh-CN"/>
        </w:rPr>
        <w:id w:val="-1095473894"/>
        <w:docPartObj>
          <w:docPartGallery w:val="Table of Contents"/>
          <w:docPartUnique/>
        </w:docPartObj>
      </w:sdtPr>
      <w:sdtEndPr>
        <w:rPr>
          <w:rFonts w:eastAsia="SimSun"/>
          <w:bCs/>
          <w:sz w:val="2"/>
          <w:szCs w:val="2"/>
        </w:rPr>
      </w:sdtEndPr>
      <w:sdtContent>
        <w:p w14:paraId="16E2BD9F" w14:textId="366E7C22" w:rsidR="001C7CD7" w:rsidRPr="002C3CF3" w:rsidRDefault="001C7CD7" w:rsidP="00A250F3">
          <w:pPr>
            <w:pStyle w:val="TOCHeading"/>
            <w:spacing w:line="240" w:lineRule="auto"/>
            <w:rPr>
              <w:rFonts w:eastAsiaTheme="minorHAnsi"/>
              <w:b w:val="0"/>
              <w:color w:val="auto"/>
              <w:spacing w:val="0"/>
              <w:sz w:val="20"/>
              <w:szCs w:val="20"/>
            </w:rPr>
          </w:pPr>
        </w:p>
        <w:p w14:paraId="450299AD" w14:textId="2A12CC98" w:rsidR="001040F0" w:rsidRPr="002C3CF3" w:rsidRDefault="003C7DCD" w:rsidP="00F432EA">
          <w:r w:rsidRPr="002C3CF3">
            <w:rPr>
              <w:noProof/>
              <w:lang w:eastAsia="en-AU"/>
            </w:rPr>
            <w:drawing>
              <wp:anchor distT="0" distB="0" distL="114300" distR="114300" simplePos="0" relativeHeight="251693056" behindDoc="1" locked="0" layoutInCell="1" allowOverlap="1" wp14:anchorId="599526B9" wp14:editId="70492891">
                <wp:simplePos x="0" y="0"/>
                <wp:positionH relativeFrom="page">
                  <wp:align>left</wp:align>
                </wp:positionH>
                <wp:positionV relativeFrom="paragraph">
                  <wp:posOffset>1496695</wp:posOffset>
                </wp:positionV>
                <wp:extent cx="7555230" cy="3752850"/>
                <wp:effectExtent l="0" t="0" r="7620" b="0"/>
                <wp:wrapTight wrapText="bothSides">
                  <wp:wrapPolygon edited="0">
                    <wp:start x="0" y="0"/>
                    <wp:lineTo x="0" y="21490"/>
                    <wp:lineTo x="21567" y="21490"/>
                    <wp:lineTo x="21567" y="0"/>
                    <wp:lineTo x="0" y="0"/>
                  </wp:wrapPolygon>
                </wp:wrapTight>
                <wp:docPr id="827695018" name="picture" descr="Screen Shot 2017-09-01 at 3.37.44 p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5230" cy="3752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C7CD7" w:rsidRPr="002C3CF3">
            <w:rPr>
              <w:b/>
              <w:sz w:val="20"/>
              <w:szCs w:val="20"/>
            </w:rPr>
            <w:br w:type="page"/>
          </w:r>
        </w:p>
        <w:p w14:paraId="0FCE577E" w14:textId="77777777" w:rsidR="007D766D" w:rsidRPr="002C3CF3" w:rsidRDefault="00973FCE" w:rsidP="00A250F3">
          <w:pPr>
            <w:pStyle w:val="TOCHeading"/>
            <w:spacing w:after="240" w:line="240" w:lineRule="auto"/>
            <w:ind w:right="62"/>
            <w:rPr>
              <w:sz w:val="20"/>
              <w:szCs w:val="20"/>
            </w:rPr>
          </w:pPr>
          <w:r w:rsidRPr="002C3CF3">
            <w:rPr>
              <w:sz w:val="24"/>
              <w:szCs w:val="24"/>
            </w:rPr>
            <w:lastRenderedPageBreak/>
            <w:t>Contents</w:t>
          </w:r>
        </w:p>
        <w:p w14:paraId="69926C60" w14:textId="27236EFC" w:rsidR="00051540" w:rsidRPr="00541583" w:rsidRDefault="007933C9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r w:rsidRPr="002C3CF3">
            <w:rPr>
              <w:noProof w:val="0"/>
              <w:sz w:val="20"/>
              <w:szCs w:val="20"/>
            </w:rPr>
            <w:fldChar w:fldCharType="begin"/>
          </w:r>
          <w:r w:rsidR="00973FCE" w:rsidRPr="002C3CF3">
            <w:rPr>
              <w:sz w:val="20"/>
              <w:szCs w:val="20"/>
            </w:rPr>
            <w:instrText xml:space="preserve"> TOC \o "1-3" \h \z \u </w:instrText>
          </w:r>
          <w:r w:rsidRPr="002C3CF3">
            <w:rPr>
              <w:noProof w:val="0"/>
              <w:sz w:val="20"/>
              <w:szCs w:val="20"/>
            </w:rPr>
            <w:fldChar w:fldCharType="separate"/>
          </w:r>
          <w:hyperlink w:anchor="_Toc19110713" w:history="1">
            <w:r w:rsidR="00051540" w:rsidRPr="00541583">
              <w:rPr>
                <w:rStyle w:val="Hyperlink"/>
                <w:sz w:val="22"/>
                <w:szCs w:val="22"/>
              </w:rPr>
              <w:t>Glossary</w:t>
            </w:r>
            <w:r w:rsidR="00051540" w:rsidRPr="00541583">
              <w:rPr>
                <w:webHidden/>
                <w:sz w:val="22"/>
                <w:szCs w:val="22"/>
              </w:rPr>
              <w:tab/>
            </w:r>
            <w:r w:rsidR="00051540" w:rsidRPr="00541583">
              <w:rPr>
                <w:webHidden/>
                <w:sz w:val="22"/>
                <w:szCs w:val="22"/>
              </w:rPr>
              <w:fldChar w:fldCharType="begin"/>
            </w:r>
            <w:r w:rsidR="00051540" w:rsidRPr="00541583">
              <w:rPr>
                <w:webHidden/>
                <w:sz w:val="22"/>
                <w:szCs w:val="22"/>
              </w:rPr>
              <w:instrText xml:space="preserve"> PAGEREF _Toc19110713 \h </w:instrText>
            </w:r>
            <w:r w:rsidR="00051540" w:rsidRPr="00541583">
              <w:rPr>
                <w:webHidden/>
                <w:sz w:val="22"/>
                <w:szCs w:val="22"/>
              </w:rPr>
            </w:r>
            <w:r w:rsidR="00051540" w:rsidRPr="00541583">
              <w:rPr>
                <w:webHidden/>
                <w:sz w:val="22"/>
                <w:szCs w:val="22"/>
              </w:rPr>
              <w:fldChar w:fldCharType="separate"/>
            </w:r>
            <w:r w:rsidR="00093717">
              <w:rPr>
                <w:webHidden/>
                <w:sz w:val="22"/>
                <w:szCs w:val="22"/>
              </w:rPr>
              <w:t>2</w:t>
            </w:r>
            <w:r w:rsidR="00051540" w:rsidRPr="00541583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1547C77" w14:textId="38247A9F" w:rsidR="00051540" w:rsidRPr="00541583" w:rsidRDefault="00E9031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hyperlink w:anchor="_Toc19110714" w:history="1">
            <w:r w:rsidR="00051540" w:rsidRPr="00541583">
              <w:rPr>
                <w:rStyle w:val="Hyperlink"/>
                <w:sz w:val="22"/>
                <w:szCs w:val="22"/>
              </w:rPr>
              <w:t>About this Report</w:t>
            </w:r>
            <w:r w:rsidR="00051540" w:rsidRPr="00541583">
              <w:rPr>
                <w:webHidden/>
                <w:sz w:val="22"/>
                <w:szCs w:val="22"/>
              </w:rPr>
              <w:tab/>
            </w:r>
            <w:r w:rsidR="00051540" w:rsidRPr="00541583">
              <w:rPr>
                <w:webHidden/>
                <w:sz w:val="22"/>
                <w:szCs w:val="22"/>
              </w:rPr>
              <w:fldChar w:fldCharType="begin"/>
            </w:r>
            <w:r w:rsidR="00051540" w:rsidRPr="00541583">
              <w:rPr>
                <w:webHidden/>
                <w:sz w:val="22"/>
                <w:szCs w:val="22"/>
              </w:rPr>
              <w:instrText xml:space="preserve"> PAGEREF _Toc19110714 \h </w:instrText>
            </w:r>
            <w:r w:rsidR="00051540" w:rsidRPr="00541583">
              <w:rPr>
                <w:webHidden/>
                <w:sz w:val="22"/>
                <w:szCs w:val="22"/>
              </w:rPr>
            </w:r>
            <w:r w:rsidR="00051540" w:rsidRPr="00541583">
              <w:rPr>
                <w:webHidden/>
                <w:sz w:val="22"/>
                <w:szCs w:val="22"/>
              </w:rPr>
              <w:fldChar w:fldCharType="separate"/>
            </w:r>
            <w:r w:rsidR="00093717">
              <w:rPr>
                <w:webHidden/>
                <w:sz w:val="22"/>
                <w:szCs w:val="22"/>
              </w:rPr>
              <w:t>3</w:t>
            </w:r>
            <w:r w:rsidR="00051540" w:rsidRPr="00541583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1137A6B1" w14:textId="727B815F" w:rsidR="00051540" w:rsidRPr="00541583" w:rsidRDefault="00E9031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hyperlink w:anchor="_Toc19110715" w:history="1">
            <w:r w:rsidR="00051540" w:rsidRPr="00541583">
              <w:rPr>
                <w:rStyle w:val="Hyperlink"/>
                <w:sz w:val="22"/>
                <w:szCs w:val="22"/>
              </w:rPr>
              <w:t>Chief Investment Officer Report</w:t>
            </w:r>
            <w:r w:rsidR="00051540" w:rsidRPr="00541583">
              <w:rPr>
                <w:webHidden/>
                <w:sz w:val="22"/>
                <w:szCs w:val="22"/>
              </w:rPr>
              <w:tab/>
            </w:r>
            <w:r w:rsidR="00051540" w:rsidRPr="00541583">
              <w:rPr>
                <w:webHidden/>
                <w:sz w:val="22"/>
                <w:szCs w:val="22"/>
              </w:rPr>
              <w:fldChar w:fldCharType="begin"/>
            </w:r>
            <w:r w:rsidR="00051540" w:rsidRPr="00541583">
              <w:rPr>
                <w:webHidden/>
                <w:sz w:val="22"/>
                <w:szCs w:val="22"/>
              </w:rPr>
              <w:instrText xml:space="preserve"> PAGEREF _Toc19110715 \h </w:instrText>
            </w:r>
            <w:r w:rsidR="00051540" w:rsidRPr="00541583">
              <w:rPr>
                <w:webHidden/>
                <w:sz w:val="22"/>
                <w:szCs w:val="22"/>
              </w:rPr>
            </w:r>
            <w:r w:rsidR="00051540" w:rsidRPr="00541583">
              <w:rPr>
                <w:webHidden/>
                <w:sz w:val="22"/>
                <w:szCs w:val="22"/>
              </w:rPr>
              <w:fldChar w:fldCharType="separate"/>
            </w:r>
            <w:r w:rsidR="00093717">
              <w:rPr>
                <w:webHidden/>
                <w:sz w:val="22"/>
                <w:szCs w:val="22"/>
              </w:rPr>
              <w:t>3</w:t>
            </w:r>
            <w:r w:rsidR="00051540" w:rsidRPr="00541583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1F029664" w14:textId="4F02150A" w:rsidR="00051540" w:rsidRPr="00541583" w:rsidRDefault="00E9031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hyperlink w:anchor="_Toc19110716" w:history="1">
            <w:r w:rsidR="00051540" w:rsidRPr="00541583">
              <w:rPr>
                <w:rStyle w:val="Hyperlink"/>
                <w:sz w:val="22"/>
                <w:szCs w:val="22"/>
              </w:rPr>
              <w:t>Team Updates</w:t>
            </w:r>
            <w:r w:rsidR="00051540" w:rsidRPr="00541583">
              <w:rPr>
                <w:webHidden/>
                <w:sz w:val="22"/>
                <w:szCs w:val="22"/>
              </w:rPr>
              <w:tab/>
            </w:r>
            <w:r w:rsidR="00051540" w:rsidRPr="00541583">
              <w:rPr>
                <w:webHidden/>
                <w:sz w:val="22"/>
                <w:szCs w:val="22"/>
              </w:rPr>
              <w:fldChar w:fldCharType="begin"/>
            </w:r>
            <w:r w:rsidR="00051540" w:rsidRPr="00541583">
              <w:rPr>
                <w:webHidden/>
                <w:sz w:val="22"/>
                <w:szCs w:val="22"/>
              </w:rPr>
              <w:instrText xml:space="preserve"> PAGEREF _Toc19110716 \h </w:instrText>
            </w:r>
            <w:r w:rsidR="00051540" w:rsidRPr="00541583">
              <w:rPr>
                <w:webHidden/>
                <w:sz w:val="22"/>
                <w:szCs w:val="22"/>
              </w:rPr>
            </w:r>
            <w:r w:rsidR="00051540" w:rsidRPr="00541583">
              <w:rPr>
                <w:webHidden/>
                <w:sz w:val="22"/>
                <w:szCs w:val="22"/>
              </w:rPr>
              <w:fldChar w:fldCharType="separate"/>
            </w:r>
            <w:r w:rsidR="00093717">
              <w:rPr>
                <w:webHidden/>
                <w:sz w:val="22"/>
                <w:szCs w:val="22"/>
              </w:rPr>
              <w:t>4</w:t>
            </w:r>
            <w:r w:rsidR="00051540" w:rsidRPr="00541583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415035BF" w14:textId="4BCEBB3A" w:rsidR="00051540" w:rsidRPr="00541583" w:rsidRDefault="00E9031D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19110717" w:history="1">
            <w:r w:rsidR="00051540" w:rsidRPr="00541583">
              <w:rPr>
                <w:rStyle w:val="Hyperlink"/>
                <w:noProof/>
                <w:sz w:val="22"/>
                <w:szCs w:val="22"/>
              </w:rPr>
              <w:t>AA Team</w:t>
            </w:r>
            <w:r w:rsidR="00051540" w:rsidRPr="00541583">
              <w:rPr>
                <w:noProof/>
                <w:webHidden/>
                <w:sz w:val="22"/>
                <w:szCs w:val="22"/>
              </w:rPr>
              <w:tab/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begin"/>
            </w:r>
            <w:r w:rsidR="00051540" w:rsidRPr="00541583">
              <w:rPr>
                <w:noProof/>
                <w:webHidden/>
                <w:sz w:val="22"/>
                <w:szCs w:val="22"/>
              </w:rPr>
              <w:instrText xml:space="preserve"> PAGEREF _Toc19110717 \h </w:instrText>
            </w:r>
            <w:r w:rsidR="00051540" w:rsidRPr="00541583">
              <w:rPr>
                <w:noProof/>
                <w:webHidden/>
                <w:sz w:val="22"/>
                <w:szCs w:val="22"/>
              </w:rPr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93717">
              <w:rPr>
                <w:noProof/>
                <w:webHidden/>
                <w:sz w:val="22"/>
                <w:szCs w:val="22"/>
              </w:rPr>
              <w:t>4</w:t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D2ABBCD" w14:textId="4E74561A" w:rsidR="00051540" w:rsidRPr="00541583" w:rsidRDefault="00E9031D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19110718" w:history="1">
            <w:r w:rsidR="00051540" w:rsidRPr="00541583">
              <w:rPr>
                <w:rStyle w:val="Hyperlink"/>
                <w:noProof/>
                <w:sz w:val="22"/>
                <w:szCs w:val="22"/>
              </w:rPr>
              <w:t>AAE Team</w:t>
            </w:r>
            <w:r w:rsidR="00051540" w:rsidRPr="00541583">
              <w:rPr>
                <w:noProof/>
                <w:webHidden/>
                <w:sz w:val="22"/>
                <w:szCs w:val="22"/>
              </w:rPr>
              <w:tab/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begin"/>
            </w:r>
            <w:r w:rsidR="00051540" w:rsidRPr="00541583">
              <w:rPr>
                <w:noProof/>
                <w:webHidden/>
                <w:sz w:val="22"/>
                <w:szCs w:val="22"/>
              </w:rPr>
              <w:instrText xml:space="preserve"> PAGEREF _Toc19110718 \h </w:instrText>
            </w:r>
            <w:r w:rsidR="00051540" w:rsidRPr="00541583">
              <w:rPr>
                <w:noProof/>
                <w:webHidden/>
                <w:sz w:val="22"/>
                <w:szCs w:val="22"/>
              </w:rPr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93717">
              <w:rPr>
                <w:noProof/>
                <w:webHidden/>
                <w:sz w:val="22"/>
                <w:szCs w:val="22"/>
              </w:rPr>
              <w:t>4</w:t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B737207" w14:textId="13260DA7" w:rsidR="00051540" w:rsidRPr="00541583" w:rsidRDefault="00E9031D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19110719" w:history="1">
            <w:r w:rsidR="00051540" w:rsidRPr="00541583">
              <w:rPr>
                <w:rStyle w:val="Hyperlink"/>
                <w:noProof/>
                <w:sz w:val="22"/>
                <w:szCs w:val="22"/>
              </w:rPr>
              <w:t>R&amp;C Team</w:t>
            </w:r>
            <w:r w:rsidR="00051540" w:rsidRPr="00541583">
              <w:rPr>
                <w:noProof/>
                <w:webHidden/>
                <w:sz w:val="22"/>
                <w:szCs w:val="22"/>
              </w:rPr>
              <w:tab/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begin"/>
            </w:r>
            <w:r w:rsidR="00051540" w:rsidRPr="00541583">
              <w:rPr>
                <w:noProof/>
                <w:webHidden/>
                <w:sz w:val="22"/>
                <w:szCs w:val="22"/>
              </w:rPr>
              <w:instrText xml:space="preserve"> PAGEREF _Toc19110719 \h </w:instrText>
            </w:r>
            <w:r w:rsidR="00051540" w:rsidRPr="00541583">
              <w:rPr>
                <w:noProof/>
                <w:webHidden/>
                <w:sz w:val="22"/>
                <w:szCs w:val="22"/>
              </w:rPr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93717">
              <w:rPr>
                <w:noProof/>
                <w:webHidden/>
                <w:sz w:val="22"/>
                <w:szCs w:val="22"/>
              </w:rPr>
              <w:t>4</w:t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6EA461F" w14:textId="6507422C" w:rsidR="00051540" w:rsidRPr="00541583" w:rsidRDefault="00E9031D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19110720" w:history="1">
            <w:r w:rsidR="00051540" w:rsidRPr="00541583">
              <w:rPr>
                <w:rStyle w:val="Hyperlink"/>
                <w:noProof/>
                <w:sz w:val="22"/>
                <w:szCs w:val="22"/>
              </w:rPr>
              <w:t>Relationship Team</w:t>
            </w:r>
            <w:r w:rsidR="00051540" w:rsidRPr="00541583">
              <w:rPr>
                <w:noProof/>
                <w:webHidden/>
                <w:sz w:val="22"/>
                <w:szCs w:val="22"/>
              </w:rPr>
              <w:tab/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begin"/>
            </w:r>
            <w:r w:rsidR="00051540" w:rsidRPr="00541583">
              <w:rPr>
                <w:noProof/>
                <w:webHidden/>
                <w:sz w:val="22"/>
                <w:szCs w:val="22"/>
              </w:rPr>
              <w:instrText xml:space="preserve"> PAGEREF _Toc19110720 \h </w:instrText>
            </w:r>
            <w:r w:rsidR="00051540" w:rsidRPr="00541583">
              <w:rPr>
                <w:noProof/>
                <w:webHidden/>
                <w:sz w:val="22"/>
                <w:szCs w:val="22"/>
              </w:rPr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93717">
              <w:rPr>
                <w:noProof/>
                <w:webHidden/>
                <w:sz w:val="22"/>
                <w:szCs w:val="22"/>
              </w:rPr>
              <w:t>4</w:t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490C2FD" w14:textId="429A165D" w:rsidR="00051540" w:rsidRPr="00541583" w:rsidRDefault="00E9031D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19110721" w:history="1">
            <w:r w:rsidR="00051540" w:rsidRPr="00541583">
              <w:rPr>
                <w:rStyle w:val="Hyperlink"/>
                <w:noProof/>
                <w:sz w:val="22"/>
                <w:szCs w:val="22"/>
              </w:rPr>
              <w:t>SMF Team - Photo and Roles</w:t>
            </w:r>
            <w:r w:rsidR="00051540" w:rsidRPr="00541583">
              <w:rPr>
                <w:noProof/>
                <w:webHidden/>
                <w:sz w:val="22"/>
                <w:szCs w:val="22"/>
              </w:rPr>
              <w:tab/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begin"/>
            </w:r>
            <w:r w:rsidR="00051540" w:rsidRPr="00541583">
              <w:rPr>
                <w:noProof/>
                <w:webHidden/>
                <w:sz w:val="22"/>
                <w:szCs w:val="22"/>
              </w:rPr>
              <w:instrText xml:space="preserve"> PAGEREF _Toc19110721 \h </w:instrText>
            </w:r>
            <w:r w:rsidR="00051540" w:rsidRPr="00541583">
              <w:rPr>
                <w:noProof/>
                <w:webHidden/>
                <w:sz w:val="22"/>
                <w:szCs w:val="22"/>
              </w:rPr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93717">
              <w:rPr>
                <w:noProof/>
                <w:webHidden/>
                <w:sz w:val="22"/>
                <w:szCs w:val="22"/>
              </w:rPr>
              <w:t>5</w:t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09558CD" w14:textId="6667A5DA" w:rsidR="00051540" w:rsidRPr="00541583" w:rsidRDefault="00E9031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hyperlink w:anchor="_Toc19110722" w:history="1">
            <w:r w:rsidR="00051540" w:rsidRPr="00541583">
              <w:rPr>
                <w:rStyle w:val="Hyperlink"/>
                <w:sz w:val="22"/>
                <w:szCs w:val="22"/>
              </w:rPr>
              <w:t>Active Stock Positions</w:t>
            </w:r>
            <w:r w:rsidR="00051540" w:rsidRPr="00541583">
              <w:rPr>
                <w:webHidden/>
                <w:sz w:val="22"/>
                <w:szCs w:val="22"/>
              </w:rPr>
              <w:tab/>
            </w:r>
            <w:r w:rsidR="00051540" w:rsidRPr="00541583">
              <w:rPr>
                <w:webHidden/>
                <w:sz w:val="22"/>
                <w:szCs w:val="22"/>
              </w:rPr>
              <w:fldChar w:fldCharType="begin"/>
            </w:r>
            <w:r w:rsidR="00051540" w:rsidRPr="00541583">
              <w:rPr>
                <w:webHidden/>
                <w:sz w:val="22"/>
                <w:szCs w:val="22"/>
              </w:rPr>
              <w:instrText xml:space="preserve"> PAGEREF _Toc19110722 \h </w:instrText>
            </w:r>
            <w:r w:rsidR="00051540" w:rsidRPr="00541583">
              <w:rPr>
                <w:webHidden/>
                <w:sz w:val="22"/>
                <w:szCs w:val="22"/>
              </w:rPr>
            </w:r>
            <w:r w:rsidR="00051540" w:rsidRPr="00541583">
              <w:rPr>
                <w:webHidden/>
                <w:sz w:val="22"/>
                <w:szCs w:val="22"/>
              </w:rPr>
              <w:fldChar w:fldCharType="separate"/>
            </w:r>
            <w:r w:rsidR="00093717">
              <w:rPr>
                <w:webHidden/>
                <w:sz w:val="22"/>
                <w:szCs w:val="22"/>
              </w:rPr>
              <w:t>6</w:t>
            </w:r>
            <w:r w:rsidR="00051540" w:rsidRPr="00541583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1C7C71BD" w14:textId="48CB2C4A" w:rsidR="00051540" w:rsidRPr="00541583" w:rsidRDefault="00E9031D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19110723" w:history="1">
            <w:r w:rsidR="00051540" w:rsidRPr="00541583">
              <w:rPr>
                <w:rStyle w:val="Hyperlink"/>
                <w:noProof/>
                <w:sz w:val="22"/>
                <w:szCs w:val="22"/>
              </w:rPr>
              <w:t>Stock Spotlight: Coca-Cola Amatil (CCL)</w:t>
            </w:r>
            <w:r w:rsidR="00051540" w:rsidRPr="00541583">
              <w:rPr>
                <w:noProof/>
                <w:webHidden/>
                <w:sz w:val="22"/>
                <w:szCs w:val="22"/>
              </w:rPr>
              <w:tab/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begin"/>
            </w:r>
            <w:r w:rsidR="00051540" w:rsidRPr="00541583">
              <w:rPr>
                <w:noProof/>
                <w:webHidden/>
                <w:sz w:val="22"/>
                <w:szCs w:val="22"/>
              </w:rPr>
              <w:instrText xml:space="preserve"> PAGEREF _Toc19110723 \h </w:instrText>
            </w:r>
            <w:r w:rsidR="00051540" w:rsidRPr="00541583">
              <w:rPr>
                <w:noProof/>
                <w:webHidden/>
                <w:sz w:val="22"/>
                <w:szCs w:val="22"/>
              </w:rPr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93717">
              <w:rPr>
                <w:noProof/>
                <w:webHidden/>
                <w:sz w:val="22"/>
                <w:szCs w:val="22"/>
              </w:rPr>
              <w:t>6</w:t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241B27" w14:textId="793A80DF" w:rsidR="00051540" w:rsidRPr="00541583" w:rsidRDefault="00E9031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hyperlink w:anchor="_Toc19110724" w:history="1">
            <w:r w:rsidR="00051540" w:rsidRPr="00541583">
              <w:rPr>
                <w:rStyle w:val="Hyperlink"/>
                <w:sz w:val="22"/>
                <w:szCs w:val="22"/>
                <w:bdr w:val="none" w:sz="0" w:space="0" w:color="auto" w:frame="1"/>
              </w:rPr>
              <w:t>Portfolio Overview</w:t>
            </w:r>
            <w:r w:rsidR="00051540" w:rsidRPr="00541583">
              <w:rPr>
                <w:webHidden/>
                <w:sz w:val="22"/>
                <w:szCs w:val="22"/>
              </w:rPr>
              <w:tab/>
            </w:r>
            <w:r w:rsidR="00051540" w:rsidRPr="00541583">
              <w:rPr>
                <w:webHidden/>
                <w:sz w:val="22"/>
                <w:szCs w:val="22"/>
              </w:rPr>
              <w:fldChar w:fldCharType="begin"/>
            </w:r>
            <w:r w:rsidR="00051540" w:rsidRPr="00541583">
              <w:rPr>
                <w:webHidden/>
                <w:sz w:val="22"/>
                <w:szCs w:val="22"/>
              </w:rPr>
              <w:instrText xml:space="preserve"> PAGEREF _Toc19110724 \h </w:instrText>
            </w:r>
            <w:r w:rsidR="00051540" w:rsidRPr="00541583">
              <w:rPr>
                <w:webHidden/>
                <w:sz w:val="22"/>
                <w:szCs w:val="22"/>
              </w:rPr>
            </w:r>
            <w:r w:rsidR="00051540" w:rsidRPr="00541583">
              <w:rPr>
                <w:webHidden/>
                <w:sz w:val="22"/>
                <w:szCs w:val="22"/>
              </w:rPr>
              <w:fldChar w:fldCharType="separate"/>
            </w:r>
            <w:r w:rsidR="00093717">
              <w:rPr>
                <w:webHidden/>
                <w:sz w:val="22"/>
                <w:szCs w:val="22"/>
              </w:rPr>
              <w:t>7</w:t>
            </w:r>
            <w:r w:rsidR="00051540" w:rsidRPr="00541583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1D32898D" w14:textId="3BD86A75" w:rsidR="00051540" w:rsidRPr="00541583" w:rsidRDefault="00E9031D">
          <w:pPr>
            <w:pStyle w:val="TOC3"/>
            <w:tabs>
              <w:tab w:val="right" w:pos="959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19110725" w:history="1">
            <w:r w:rsidR="00051540" w:rsidRPr="00541583">
              <w:rPr>
                <w:rStyle w:val="Hyperlink"/>
                <w:noProof/>
                <w:sz w:val="22"/>
                <w:szCs w:val="22"/>
                <w:lang w:val="en-US"/>
              </w:rPr>
              <w:t>Portfolio Structure</w:t>
            </w:r>
            <w:r w:rsidR="00051540" w:rsidRPr="00541583">
              <w:rPr>
                <w:noProof/>
                <w:webHidden/>
                <w:sz w:val="22"/>
                <w:szCs w:val="22"/>
              </w:rPr>
              <w:tab/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begin"/>
            </w:r>
            <w:r w:rsidR="00051540" w:rsidRPr="00541583">
              <w:rPr>
                <w:noProof/>
                <w:webHidden/>
                <w:sz w:val="22"/>
                <w:szCs w:val="22"/>
              </w:rPr>
              <w:instrText xml:space="preserve"> PAGEREF _Toc19110725 \h </w:instrText>
            </w:r>
            <w:r w:rsidR="00051540" w:rsidRPr="00541583">
              <w:rPr>
                <w:noProof/>
                <w:webHidden/>
                <w:sz w:val="22"/>
                <w:szCs w:val="22"/>
              </w:rPr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93717">
              <w:rPr>
                <w:noProof/>
                <w:webHidden/>
                <w:sz w:val="22"/>
                <w:szCs w:val="22"/>
              </w:rPr>
              <w:t>7</w:t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6D3ACBB" w14:textId="51587014" w:rsidR="00051540" w:rsidRPr="00541583" w:rsidRDefault="00E9031D">
          <w:pPr>
            <w:pStyle w:val="TOC3"/>
            <w:tabs>
              <w:tab w:val="right" w:pos="959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AU"/>
            </w:rPr>
          </w:pPr>
          <w:hyperlink w:anchor="_Toc19110726" w:history="1">
            <w:r w:rsidR="00051540" w:rsidRPr="00541583">
              <w:rPr>
                <w:rStyle w:val="Hyperlink"/>
                <w:noProof/>
                <w:sz w:val="22"/>
                <w:szCs w:val="22"/>
                <w:lang w:val="en-US"/>
              </w:rPr>
              <w:t>Portfolio Performance</w:t>
            </w:r>
            <w:r w:rsidR="00051540" w:rsidRPr="00541583">
              <w:rPr>
                <w:noProof/>
                <w:webHidden/>
                <w:sz w:val="22"/>
                <w:szCs w:val="22"/>
              </w:rPr>
              <w:tab/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begin"/>
            </w:r>
            <w:r w:rsidR="00051540" w:rsidRPr="00541583">
              <w:rPr>
                <w:noProof/>
                <w:webHidden/>
                <w:sz w:val="22"/>
                <w:szCs w:val="22"/>
              </w:rPr>
              <w:instrText xml:space="preserve"> PAGEREF _Toc19110726 \h </w:instrText>
            </w:r>
            <w:r w:rsidR="00051540" w:rsidRPr="00541583">
              <w:rPr>
                <w:noProof/>
                <w:webHidden/>
                <w:sz w:val="22"/>
                <w:szCs w:val="22"/>
              </w:rPr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separate"/>
            </w:r>
            <w:r w:rsidR="00093717">
              <w:rPr>
                <w:noProof/>
                <w:webHidden/>
                <w:sz w:val="22"/>
                <w:szCs w:val="22"/>
              </w:rPr>
              <w:t>9</w:t>
            </w:r>
            <w:r w:rsidR="00051540" w:rsidRPr="00541583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19658D9" w14:textId="054AC9EA" w:rsidR="00051540" w:rsidRPr="00541583" w:rsidRDefault="00E9031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hyperlink w:anchor="_Toc19110727" w:history="1">
            <w:r w:rsidR="00051540" w:rsidRPr="00541583">
              <w:rPr>
                <w:rStyle w:val="Hyperlink"/>
                <w:sz w:val="22"/>
                <w:szCs w:val="22"/>
              </w:rPr>
              <w:t>Attribution Analysis</w:t>
            </w:r>
            <w:r w:rsidR="00051540" w:rsidRPr="00541583">
              <w:rPr>
                <w:webHidden/>
                <w:sz w:val="22"/>
                <w:szCs w:val="22"/>
              </w:rPr>
              <w:tab/>
            </w:r>
            <w:r w:rsidR="00051540" w:rsidRPr="00541583">
              <w:rPr>
                <w:webHidden/>
                <w:sz w:val="22"/>
                <w:szCs w:val="22"/>
              </w:rPr>
              <w:fldChar w:fldCharType="begin"/>
            </w:r>
            <w:r w:rsidR="00051540" w:rsidRPr="00541583">
              <w:rPr>
                <w:webHidden/>
                <w:sz w:val="22"/>
                <w:szCs w:val="22"/>
              </w:rPr>
              <w:instrText xml:space="preserve"> PAGEREF _Toc19110727 \h </w:instrText>
            </w:r>
            <w:r w:rsidR="00051540" w:rsidRPr="00541583">
              <w:rPr>
                <w:webHidden/>
                <w:sz w:val="22"/>
                <w:szCs w:val="22"/>
              </w:rPr>
            </w:r>
            <w:r w:rsidR="00051540" w:rsidRPr="00541583">
              <w:rPr>
                <w:webHidden/>
                <w:sz w:val="22"/>
                <w:szCs w:val="22"/>
              </w:rPr>
              <w:fldChar w:fldCharType="separate"/>
            </w:r>
            <w:r w:rsidR="00093717">
              <w:rPr>
                <w:webHidden/>
                <w:sz w:val="22"/>
                <w:szCs w:val="22"/>
              </w:rPr>
              <w:t>9</w:t>
            </w:r>
            <w:r w:rsidR="00051540" w:rsidRPr="00541583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FDB71A6" w14:textId="654187A7" w:rsidR="00051540" w:rsidRDefault="00E9031D">
          <w:pPr>
            <w:pStyle w:val="TOC1"/>
            <w:rPr>
              <w:rFonts w:asciiTheme="minorHAnsi" w:eastAsiaTheme="minorEastAsia" w:hAnsiTheme="minorHAnsi" w:cstheme="minorBidi"/>
              <w:sz w:val="22"/>
              <w:szCs w:val="22"/>
              <w:lang w:eastAsia="en-AU"/>
            </w:rPr>
          </w:pPr>
          <w:hyperlink w:anchor="_Toc19110728" w:history="1">
            <w:r w:rsidR="00051540" w:rsidRPr="00541583">
              <w:rPr>
                <w:rStyle w:val="Hyperlink"/>
                <w:sz w:val="22"/>
                <w:szCs w:val="22"/>
              </w:rPr>
              <w:t>Socially Responsible Investment (SRI) Report</w:t>
            </w:r>
            <w:r w:rsidR="00051540" w:rsidRPr="00541583">
              <w:rPr>
                <w:webHidden/>
                <w:sz w:val="22"/>
                <w:szCs w:val="22"/>
              </w:rPr>
              <w:tab/>
            </w:r>
            <w:r w:rsidR="00051540" w:rsidRPr="00541583">
              <w:rPr>
                <w:webHidden/>
                <w:sz w:val="22"/>
                <w:szCs w:val="22"/>
              </w:rPr>
              <w:fldChar w:fldCharType="begin"/>
            </w:r>
            <w:r w:rsidR="00051540" w:rsidRPr="00541583">
              <w:rPr>
                <w:webHidden/>
                <w:sz w:val="22"/>
                <w:szCs w:val="22"/>
              </w:rPr>
              <w:instrText xml:space="preserve"> PAGEREF _Toc19110728 \h </w:instrText>
            </w:r>
            <w:r w:rsidR="00051540" w:rsidRPr="00541583">
              <w:rPr>
                <w:webHidden/>
                <w:sz w:val="22"/>
                <w:szCs w:val="22"/>
              </w:rPr>
            </w:r>
            <w:r w:rsidR="00051540" w:rsidRPr="00541583">
              <w:rPr>
                <w:webHidden/>
                <w:sz w:val="22"/>
                <w:szCs w:val="22"/>
              </w:rPr>
              <w:fldChar w:fldCharType="separate"/>
            </w:r>
            <w:r w:rsidR="00093717">
              <w:rPr>
                <w:webHidden/>
                <w:sz w:val="22"/>
                <w:szCs w:val="22"/>
              </w:rPr>
              <w:t>11</w:t>
            </w:r>
            <w:r w:rsidR="00051540" w:rsidRPr="00541583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1A32A9B" w14:textId="01CB268C" w:rsidR="001040F0" w:rsidRPr="00E33953" w:rsidRDefault="007933C9" w:rsidP="00A250F3">
          <w:pPr>
            <w:pStyle w:val="TOC1"/>
            <w:spacing w:line="240" w:lineRule="auto"/>
            <w:rPr>
              <w:rFonts w:eastAsiaTheme="minorEastAsia"/>
              <w:sz w:val="2"/>
              <w:szCs w:val="2"/>
              <w:lang w:eastAsia="en-AU"/>
            </w:rPr>
          </w:pPr>
          <w:r w:rsidRPr="002C3CF3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13F0E7C3" w14:textId="1B9699B9" w:rsidR="009E2493" w:rsidRPr="002C3CF3" w:rsidRDefault="00BF3830" w:rsidP="00A250F3">
      <w:pPr>
        <w:pStyle w:val="Heading1"/>
        <w:spacing w:before="360" w:line="240" w:lineRule="auto"/>
        <w:rPr>
          <w:sz w:val="24"/>
          <w:szCs w:val="24"/>
          <w:lang w:eastAsia="zh-CN"/>
        </w:rPr>
      </w:pPr>
      <w:bookmarkStart w:id="0" w:name="_Toc19110713"/>
      <w:bookmarkStart w:id="1" w:name="_Toc385405354"/>
      <w:r w:rsidRPr="002C3CF3">
        <w:rPr>
          <w:sz w:val="24"/>
          <w:szCs w:val="24"/>
          <w:lang w:eastAsia="zh-CN"/>
        </w:rPr>
        <w:t>Glossary</w:t>
      </w:r>
      <w:bookmarkEnd w:id="0"/>
      <w:r w:rsidR="009E2493" w:rsidRPr="002C3CF3">
        <w:t xml:space="preserve"> </w:t>
      </w:r>
    </w:p>
    <w:p w14:paraId="7AC3CDFE" w14:textId="77777777" w:rsidR="009B1539" w:rsidRPr="00051540" w:rsidRDefault="009B1539" w:rsidP="00541583">
      <w:pPr>
        <w:spacing w:before="20"/>
        <w:rPr>
          <w:sz w:val="22"/>
          <w:szCs w:val="22"/>
        </w:rPr>
      </w:pPr>
      <w:r w:rsidRPr="00051540">
        <w:rPr>
          <w:b/>
          <w:sz w:val="22"/>
          <w:szCs w:val="22"/>
        </w:rPr>
        <w:t xml:space="preserve">AA </w:t>
      </w:r>
      <w:r w:rsidRPr="00051540">
        <w:rPr>
          <w:sz w:val="22"/>
          <w:szCs w:val="22"/>
        </w:rPr>
        <w:t>– Asset Allocation</w:t>
      </w:r>
    </w:p>
    <w:p w14:paraId="44C28B80" w14:textId="77777777" w:rsidR="009B1539" w:rsidRPr="00051540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 xml:space="preserve">AAE </w:t>
      </w:r>
      <w:r w:rsidRPr="00051540">
        <w:rPr>
          <w:sz w:val="22"/>
          <w:szCs w:val="22"/>
        </w:rPr>
        <w:t>– Active Australian Equities</w:t>
      </w:r>
    </w:p>
    <w:p w14:paraId="766E7BA6" w14:textId="77777777" w:rsidR="009B1539" w:rsidRPr="00051540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 xml:space="preserve">ANU </w:t>
      </w:r>
      <w:r w:rsidRPr="00051540">
        <w:rPr>
          <w:sz w:val="22"/>
          <w:szCs w:val="22"/>
        </w:rPr>
        <w:t>– The Australian National University</w:t>
      </w:r>
    </w:p>
    <w:p w14:paraId="078A7A75" w14:textId="77777777" w:rsidR="009B1539" w:rsidRPr="00051540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 xml:space="preserve">BIN </w:t>
      </w:r>
      <w:r w:rsidRPr="00051540">
        <w:rPr>
          <w:sz w:val="22"/>
          <w:szCs w:val="22"/>
        </w:rPr>
        <w:t>– Bingo Industries</w:t>
      </w:r>
    </w:p>
    <w:p w14:paraId="0B24C555" w14:textId="20BABB30" w:rsidR="0072602F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 xml:space="preserve">CBE </w:t>
      </w:r>
      <w:r w:rsidRPr="00051540">
        <w:rPr>
          <w:sz w:val="22"/>
          <w:szCs w:val="22"/>
        </w:rPr>
        <w:t xml:space="preserve">– </w:t>
      </w:r>
      <w:r w:rsidR="00201E0D">
        <w:rPr>
          <w:sz w:val="22"/>
          <w:szCs w:val="22"/>
        </w:rPr>
        <w:t xml:space="preserve">ANU </w:t>
      </w:r>
      <w:r w:rsidRPr="00051540">
        <w:rPr>
          <w:sz w:val="22"/>
          <w:szCs w:val="22"/>
        </w:rPr>
        <w:t>College of Business and Economics</w:t>
      </w:r>
    </w:p>
    <w:p w14:paraId="66888463" w14:textId="6534601F" w:rsidR="009B1539" w:rsidRPr="0072602F" w:rsidRDefault="0072602F" w:rsidP="00541583">
      <w:pPr>
        <w:spacing w:before="20" w:line="247" w:lineRule="auto"/>
        <w:rPr>
          <w:color w:val="000000" w:themeColor="text1"/>
          <w:sz w:val="22"/>
          <w:szCs w:val="22"/>
        </w:rPr>
      </w:pPr>
      <w:r w:rsidRPr="0072602F">
        <w:rPr>
          <w:b/>
          <w:bCs/>
          <w:color w:val="000000" w:themeColor="text1"/>
          <w:sz w:val="22"/>
          <w:szCs w:val="22"/>
        </w:rPr>
        <w:t xml:space="preserve">CCL </w:t>
      </w:r>
      <w:r w:rsidRPr="0072602F">
        <w:rPr>
          <w:color w:val="000000" w:themeColor="text1"/>
          <w:sz w:val="22"/>
          <w:szCs w:val="22"/>
        </w:rPr>
        <w:t>–</w:t>
      </w:r>
      <w:r w:rsidR="009B1539" w:rsidRPr="0072602F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Coca-Cola Amatil</w:t>
      </w:r>
    </w:p>
    <w:p w14:paraId="1E4BB869" w14:textId="4F1737F7" w:rsidR="009B1539" w:rsidRPr="00051540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 xml:space="preserve">CIO </w:t>
      </w:r>
      <w:r w:rsidR="0072602F" w:rsidRPr="00051540">
        <w:rPr>
          <w:sz w:val="22"/>
          <w:szCs w:val="22"/>
        </w:rPr>
        <w:t>–</w:t>
      </w:r>
      <w:r w:rsidRPr="00051540">
        <w:rPr>
          <w:b/>
          <w:sz w:val="22"/>
          <w:szCs w:val="22"/>
        </w:rPr>
        <w:t xml:space="preserve"> </w:t>
      </w:r>
      <w:r w:rsidRPr="00051540">
        <w:rPr>
          <w:sz w:val="22"/>
          <w:szCs w:val="22"/>
        </w:rPr>
        <w:t>Chief Investment Officer</w:t>
      </w:r>
    </w:p>
    <w:p w14:paraId="59EE63F1" w14:textId="48CAE455" w:rsidR="009B1539" w:rsidRPr="00051540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 xml:space="preserve">CPI </w:t>
      </w:r>
      <w:r w:rsidR="0072602F" w:rsidRPr="00051540">
        <w:rPr>
          <w:sz w:val="22"/>
          <w:szCs w:val="22"/>
        </w:rPr>
        <w:t>–</w:t>
      </w:r>
      <w:r w:rsidRPr="00051540">
        <w:rPr>
          <w:b/>
          <w:sz w:val="22"/>
          <w:szCs w:val="22"/>
        </w:rPr>
        <w:t xml:space="preserve"> </w:t>
      </w:r>
      <w:r w:rsidRPr="00051540">
        <w:rPr>
          <w:sz w:val="22"/>
          <w:szCs w:val="22"/>
        </w:rPr>
        <w:t>Consumer Price Index</w:t>
      </w:r>
    </w:p>
    <w:p w14:paraId="297CFF8D" w14:textId="77777777" w:rsidR="009B1539" w:rsidRPr="00051540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 xml:space="preserve">CRO </w:t>
      </w:r>
      <w:r w:rsidRPr="00051540">
        <w:rPr>
          <w:sz w:val="22"/>
          <w:szCs w:val="22"/>
        </w:rPr>
        <w:t>– Chief Risk Officer</w:t>
      </w:r>
    </w:p>
    <w:p w14:paraId="3B648663" w14:textId="77777777" w:rsidR="009B1539" w:rsidRPr="00051540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 xml:space="preserve">DCF </w:t>
      </w:r>
      <w:r w:rsidRPr="00051540">
        <w:rPr>
          <w:sz w:val="22"/>
          <w:szCs w:val="22"/>
        </w:rPr>
        <w:t>– Discounted Cash Flow</w:t>
      </w:r>
    </w:p>
    <w:p w14:paraId="1A84465B" w14:textId="77777777" w:rsidR="009B1539" w:rsidRPr="00051540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>ESG</w:t>
      </w:r>
      <w:r w:rsidRPr="00051540">
        <w:rPr>
          <w:sz w:val="22"/>
          <w:szCs w:val="22"/>
        </w:rPr>
        <w:t xml:space="preserve"> – Environmental, Social and Governance</w:t>
      </w:r>
    </w:p>
    <w:p w14:paraId="5F8BC1FC" w14:textId="77777777" w:rsidR="009B1539" w:rsidRPr="00051540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>ETF</w:t>
      </w:r>
      <w:r w:rsidRPr="00051540">
        <w:rPr>
          <w:sz w:val="22"/>
          <w:szCs w:val="22"/>
        </w:rPr>
        <w:t xml:space="preserve"> – Exchanged-Traded Fund</w:t>
      </w:r>
    </w:p>
    <w:p w14:paraId="0F9DD1D7" w14:textId="77777777" w:rsidR="009B1539" w:rsidRPr="00051540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 xml:space="preserve">IAC </w:t>
      </w:r>
      <w:r w:rsidRPr="00051540">
        <w:rPr>
          <w:sz w:val="22"/>
          <w:szCs w:val="22"/>
        </w:rPr>
        <w:t>– Investment Advisory Committee</w:t>
      </w:r>
    </w:p>
    <w:p w14:paraId="3487F129" w14:textId="0113CBCC" w:rsidR="009B1539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>ING</w:t>
      </w:r>
      <w:r w:rsidRPr="00051540">
        <w:rPr>
          <w:sz w:val="22"/>
          <w:szCs w:val="22"/>
        </w:rPr>
        <w:t xml:space="preserve"> – Inghams Group</w:t>
      </w:r>
    </w:p>
    <w:p w14:paraId="765B27D5" w14:textId="3C056F28" w:rsidR="00E33953" w:rsidRPr="00051540" w:rsidRDefault="00E33953" w:rsidP="00541583">
      <w:pPr>
        <w:spacing w:before="20" w:line="247" w:lineRule="auto"/>
        <w:rPr>
          <w:sz w:val="22"/>
          <w:szCs w:val="22"/>
        </w:rPr>
      </w:pPr>
      <w:r w:rsidRPr="00E33953">
        <w:rPr>
          <w:b/>
          <w:sz w:val="22"/>
          <w:szCs w:val="22"/>
        </w:rPr>
        <w:t>IP</w:t>
      </w:r>
      <w:r>
        <w:rPr>
          <w:sz w:val="22"/>
          <w:szCs w:val="22"/>
        </w:rPr>
        <w:t xml:space="preserve"> – Investment Process</w:t>
      </w:r>
    </w:p>
    <w:p w14:paraId="5E3B7361" w14:textId="77777777" w:rsidR="009B1539" w:rsidRPr="00051540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>LTIP</w:t>
      </w:r>
      <w:r w:rsidRPr="00051540">
        <w:rPr>
          <w:sz w:val="22"/>
          <w:szCs w:val="22"/>
        </w:rPr>
        <w:t xml:space="preserve"> – Long Term Investment Pool</w:t>
      </w:r>
    </w:p>
    <w:p w14:paraId="29C64700" w14:textId="77777777" w:rsidR="009B1539" w:rsidRPr="00051540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 xml:space="preserve">SMF – </w:t>
      </w:r>
      <w:r w:rsidRPr="00051540">
        <w:rPr>
          <w:sz w:val="22"/>
          <w:szCs w:val="22"/>
        </w:rPr>
        <w:t>Student Managed Fund</w:t>
      </w:r>
    </w:p>
    <w:p w14:paraId="369EA105" w14:textId="77777777" w:rsidR="009B1539" w:rsidRPr="00051540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 xml:space="preserve">SRI – </w:t>
      </w:r>
      <w:r w:rsidRPr="00051540">
        <w:rPr>
          <w:sz w:val="22"/>
          <w:szCs w:val="22"/>
        </w:rPr>
        <w:t>Socially Responsible Investment</w:t>
      </w:r>
    </w:p>
    <w:p w14:paraId="7E94045F" w14:textId="77777777" w:rsidR="009B1539" w:rsidRPr="00051540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>R&amp;C</w:t>
      </w:r>
      <w:r w:rsidRPr="00051540">
        <w:rPr>
          <w:sz w:val="22"/>
          <w:szCs w:val="22"/>
        </w:rPr>
        <w:t xml:space="preserve"> – Risk and Compliance</w:t>
      </w:r>
    </w:p>
    <w:p w14:paraId="0F789C43" w14:textId="77777777" w:rsidR="009B1539" w:rsidRPr="00051540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>RIO</w:t>
      </w:r>
      <w:r w:rsidRPr="00051540">
        <w:rPr>
          <w:sz w:val="22"/>
          <w:szCs w:val="22"/>
        </w:rPr>
        <w:t xml:space="preserve"> – Rio Tinto Limited</w:t>
      </w:r>
    </w:p>
    <w:p w14:paraId="210F719C" w14:textId="77777777" w:rsidR="009B1539" w:rsidRPr="00051540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>ROE</w:t>
      </w:r>
      <w:r w:rsidRPr="00051540">
        <w:rPr>
          <w:sz w:val="22"/>
          <w:szCs w:val="22"/>
        </w:rPr>
        <w:t xml:space="preserve"> – Return on Equity</w:t>
      </w:r>
    </w:p>
    <w:p w14:paraId="68863B25" w14:textId="77777777" w:rsidR="009B1539" w:rsidRPr="00051540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>RSFAS</w:t>
      </w:r>
      <w:r w:rsidRPr="00051540">
        <w:rPr>
          <w:sz w:val="22"/>
          <w:szCs w:val="22"/>
        </w:rPr>
        <w:t xml:space="preserve"> – Research School of Finance, Actuarial Studies and Statistics </w:t>
      </w:r>
    </w:p>
    <w:p w14:paraId="0097F39B" w14:textId="77777777" w:rsidR="009B1539" w:rsidRPr="00051540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>TLS</w:t>
      </w:r>
      <w:r w:rsidRPr="00051540">
        <w:rPr>
          <w:sz w:val="22"/>
          <w:szCs w:val="22"/>
        </w:rPr>
        <w:t xml:space="preserve"> – Telstra Corporation Limited</w:t>
      </w:r>
    </w:p>
    <w:p w14:paraId="4D102D27" w14:textId="5E10FC73" w:rsidR="006842B5" w:rsidRPr="00051540" w:rsidRDefault="009B1539" w:rsidP="00541583">
      <w:pPr>
        <w:spacing w:before="20" w:line="247" w:lineRule="auto"/>
        <w:rPr>
          <w:sz w:val="22"/>
          <w:szCs w:val="22"/>
        </w:rPr>
      </w:pPr>
      <w:r w:rsidRPr="00051540">
        <w:rPr>
          <w:b/>
          <w:sz w:val="22"/>
          <w:szCs w:val="22"/>
        </w:rPr>
        <w:t>WBC</w:t>
      </w:r>
      <w:r w:rsidRPr="00051540">
        <w:rPr>
          <w:sz w:val="22"/>
          <w:szCs w:val="22"/>
        </w:rPr>
        <w:t xml:space="preserve"> – Westpac Banking Corporation</w:t>
      </w:r>
      <w:r w:rsidR="004E4F67" w:rsidRPr="00051540">
        <w:rPr>
          <w:sz w:val="22"/>
          <w:szCs w:val="22"/>
        </w:rPr>
        <w:t xml:space="preserve"> </w:t>
      </w:r>
    </w:p>
    <w:p w14:paraId="768DEFFB" w14:textId="7A926B67" w:rsidR="00C66578" w:rsidRPr="002C3CF3" w:rsidRDefault="00D00196" w:rsidP="00603E4B">
      <w:pPr>
        <w:pStyle w:val="Heading1"/>
        <w:spacing w:before="360" w:after="240" w:line="240" w:lineRule="auto"/>
        <w:rPr>
          <w:sz w:val="24"/>
          <w:szCs w:val="24"/>
          <w:lang w:eastAsia="zh-CN"/>
        </w:rPr>
      </w:pPr>
      <w:bookmarkStart w:id="2" w:name="_Toc19110714"/>
      <w:r w:rsidRPr="002C3CF3">
        <w:rPr>
          <w:sz w:val="24"/>
          <w:szCs w:val="24"/>
          <w:lang w:eastAsia="zh-CN"/>
        </w:rPr>
        <w:lastRenderedPageBreak/>
        <w:t xml:space="preserve">About </w:t>
      </w:r>
      <w:r w:rsidR="00380F71" w:rsidRPr="002C3CF3">
        <w:rPr>
          <w:sz w:val="24"/>
          <w:szCs w:val="24"/>
          <w:lang w:eastAsia="zh-CN"/>
        </w:rPr>
        <w:t>this Report</w:t>
      </w:r>
      <w:bookmarkEnd w:id="2"/>
    </w:p>
    <w:p w14:paraId="3EB4BC52" w14:textId="47BFD35F" w:rsidR="00DB7030" w:rsidRDefault="00BE3FF4" w:rsidP="00BE40D3">
      <w:pPr>
        <w:spacing w:before="180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We are delighted to provide an update</w:t>
      </w:r>
      <w:r w:rsidRPr="002C3CF3">
        <w:rPr>
          <w:sz w:val="20"/>
          <w:szCs w:val="20"/>
          <w:lang w:eastAsia="zh-CN"/>
        </w:rPr>
        <w:t xml:space="preserve"> </w:t>
      </w:r>
      <w:r w:rsidR="00F27A02" w:rsidRPr="002C3CF3">
        <w:rPr>
          <w:sz w:val="20"/>
          <w:szCs w:val="20"/>
          <w:lang w:eastAsia="zh-CN"/>
        </w:rPr>
        <w:t xml:space="preserve">on </w:t>
      </w:r>
      <w:r>
        <w:rPr>
          <w:sz w:val="20"/>
          <w:szCs w:val="20"/>
          <w:lang w:eastAsia="zh-CN"/>
        </w:rPr>
        <w:t>the</w:t>
      </w:r>
      <w:r w:rsidR="009D257E">
        <w:rPr>
          <w:sz w:val="20"/>
          <w:szCs w:val="20"/>
          <w:lang w:eastAsia="zh-CN"/>
        </w:rPr>
        <w:t xml:space="preserve"> </w:t>
      </w:r>
      <w:r w:rsidR="00D66577">
        <w:rPr>
          <w:sz w:val="20"/>
          <w:szCs w:val="20"/>
          <w:lang w:eastAsia="zh-CN"/>
        </w:rPr>
        <w:t>performance</w:t>
      </w:r>
      <w:r w:rsidR="004C4ADF">
        <w:rPr>
          <w:sz w:val="20"/>
          <w:szCs w:val="20"/>
          <w:lang w:eastAsia="zh-CN"/>
        </w:rPr>
        <w:t xml:space="preserve"> and ac</w:t>
      </w:r>
      <w:r w:rsidR="009D257E">
        <w:rPr>
          <w:sz w:val="20"/>
          <w:szCs w:val="20"/>
          <w:lang w:eastAsia="zh-CN"/>
        </w:rPr>
        <w:t>complishment</w:t>
      </w:r>
      <w:r w:rsidR="00541583">
        <w:rPr>
          <w:sz w:val="20"/>
          <w:szCs w:val="20"/>
          <w:lang w:eastAsia="zh-CN"/>
        </w:rPr>
        <w:t>s</w:t>
      </w:r>
      <w:r w:rsidR="004C4ADF"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of t</w:t>
      </w:r>
      <w:r w:rsidRPr="002C3CF3">
        <w:rPr>
          <w:sz w:val="20"/>
          <w:szCs w:val="20"/>
          <w:lang w:eastAsia="zh-CN"/>
        </w:rPr>
        <w:t>he ANU Student Managed Fund</w:t>
      </w:r>
      <w:r>
        <w:rPr>
          <w:sz w:val="20"/>
          <w:szCs w:val="20"/>
          <w:lang w:eastAsia="zh-CN"/>
        </w:rPr>
        <w:t xml:space="preserve"> (SMF) </w:t>
      </w:r>
      <w:r w:rsidR="009D257E">
        <w:rPr>
          <w:sz w:val="20"/>
          <w:szCs w:val="20"/>
          <w:lang w:eastAsia="zh-CN"/>
        </w:rPr>
        <w:t>over</w:t>
      </w:r>
      <w:r w:rsidR="001D53CF" w:rsidRPr="002C3CF3">
        <w:rPr>
          <w:sz w:val="20"/>
          <w:szCs w:val="20"/>
          <w:lang w:eastAsia="zh-CN"/>
        </w:rPr>
        <w:t xml:space="preserve"> the first half of Semester </w:t>
      </w:r>
      <w:r w:rsidR="00173554">
        <w:rPr>
          <w:sz w:val="20"/>
          <w:szCs w:val="20"/>
          <w:lang w:eastAsia="zh-CN"/>
        </w:rPr>
        <w:t>2</w:t>
      </w:r>
      <w:r w:rsidR="001D53CF" w:rsidRPr="002C3CF3">
        <w:rPr>
          <w:sz w:val="20"/>
          <w:szCs w:val="20"/>
          <w:lang w:eastAsia="zh-CN"/>
        </w:rPr>
        <w:t>, 2019. Th</w:t>
      </w:r>
      <w:r w:rsidR="008857FE">
        <w:rPr>
          <w:sz w:val="20"/>
          <w:szCs w:val="20"/>
          <w:lang w:eastAsia="zh-CN"/>
        </w:rPr>
        <w:t>is</w:t>
      </w:r>
      <w:r w:rsidR="001D53CF" w:rsidRPr="002C3CF3">
        <w:rPr>
          <w:sz w:val="20"/>
          <w:szCs w:val="20"/>
          <w:lang w:eastAsia="zh-CN"/>
        </w:rPr>
        <w:t xml:space="preserve"> report </w:t>
      </w:r>
      <w:r w:rsidR="00DC38EF">
        <w:rPr>
          <w:sz w:val="20"/>
          <w:szCs w:val="20"/>
          <w:lang w:eastAsia="zh-CN"/>
        </w:rPr>
        <w:t>includes</w:t>
      </w:r>
      <w:r w:rsidR="001D53CF" w:rsidRPr="002C3CF3">
        <w:rPr>
          <w:sz w:val="20"/>
          <w:szCs w:val="20"/>
          <w:lang w:eastAsia="zh-CN"/>
        </w:rPr>
        <w:t xml:space="preserve"> a </w:t>
      </w:r>
      <w:r w:rsidR="00D04A06">
        <w:rPr>
          <w:sz w:val="20"/>
          <w:szCs w:val="20"/>
          <w:lang w:eastAsia="zh-CN"/>
        </w:rPr>
        <w:t>Chief Investment Officer (</w:t>
      </w:r>
      <w:r w:rsidR="001D53CF" w:rsidRPr="002C3CF3">
        <w:rPr>
          <w:sz w:val="20"/>
          <w:szCs w:val="20"/>
          <w:lang w:eastAsia="zh-CN"/>
        </w:rPr>
        <w:t>CIO</w:t>
      </w:r>
      <w:r w:rsidR="00D04A06">
        <w:rPr>
          <w:sz w:val="20"/>
          <w:szCs w:val="20"/>
          <w:lang w:eastAsia="zh-CN"/>
        </w:rPr>
        <w:t>)</w:t>
      </w:r>
      <w:r w:rsidR="001D53CF" w:rsidRPr="002C3CF3">
        <w:rPr>
          <w:sz w:val="20"/>
          <w:szCs w:val="20"/>
          <w:lang w:eastAsia="zh-CN"/>
        </w:rPr>
        <w:t xml:space="preserve"> </w:t>
      </w:r>
      <w:r w:rsidR="00D87169">
        <w:rPr>
          <w:sz w:val="20"/>
          <w:szCs w:val="20"/>
          <w:lang w:eastAsia="zh-CN"/>
        </w:rPr>
        <w:t>report</w:t>
      </w:r>
      <w:r w:rsidR="00BC32FA">
        <w:rPr>
          <w:sz w:val="20"/>
          <w:szCs w:val="20"/>
          <w:lang w:eastAsia="zh-CN"/>
        </w:rPr>
        <w:t>;</w:t>
      </w:r>
      <w:r w:rsidR="001D53CF" w:rsidRPr="002C3CF3">
        <w:rPr>
          <w:sz w:val="20"/>
          <w:szCs w:val="20"/>
          <w:lang w:eastAsia="zh-CN"/>
        </w:rPr>
        <w:t xml:space="preserve"> an </w:t>
      </w:r>
      <w:r w:rsidR="008857FE">
        <w:rPr>
          <w:sz w:val="20"/>
          <w:szCs w:val="20"/>
          <w:lang w:eastAsia="zh-CN"/>
        </w:rPr>
        <w:t>update on</w:t>
      </w:r>
      <w:r w:rsidR="001D53CF" w:rsidRPr="002C3CF3">
        <w:rPr>
          <w:sz w:val="20"/>
          <w:szCs w:val="20"/>
          <w:lang w:eastAsia="zh-CN"/>
        </w:rPr>
        <w:t xml:space="preserve"> </w:t>
      </w:r>
      <w:r w:rsidR="008857FE">
        <w:rPr>
          <w:sz w:val="20"/>
          <w:szCs w:val="20"/>
          <w:lang w:eastAsia="zh-CN"/>
        </w:rPr>
        <w:t>each</w:t>
      </w:r>
      <w:r w:rsidR="001D53CF" w:rsidRPr="002C3CF3">
        <w:rPr>
          <w:sz w:val="20"/>
          <w:szCs w:val="20"/>
          <w:lang w:eastAsia="zh-CN"/>
        </w:rPr>
        <w:t xml:space="preserve"> </w:t>
      </w:r>
      <w:r w:rsidR="00DB7030">
        <w:rPr>
          <w:sz w:val="20"/>
          <w:szCs w:val="20"/>
          <w:lang w:eastAsia="zh-CN"/>
        </w:rPr>
        <w:t xml:space="preserve">SMF </w:t>
      </w:r>
      <w:r w:rsidR="00541583">
        <w:rPr>
          <w:sz w:val="20"/>
          <w:szCs w:val="20"/>
          <w:lang w:eastAsia="zh-CN"/>
        </w:rPr>
        <w:t>sub-</w:t>
      </w:r>
      <w:r w:rsidR="00DB7030">
        <w:rPr>
          <w:sz w:val="20"/>
          <w:szCs w:val="20"/>
          <w:lang w:eastAsia="zh-CN"/>
        </w:rPr>
        <w:t>t</w:t>
      </w:r>
      <w:r w:rsidR="008857FE">
        <w:rPr>
          <w:sz w:val="20"/>
          <w:szCs w:val="20"/>
          <w:lang w:eastAsia="zh-CN"/>
        </w:rPr>
        <w:t>eam</w:t>
      </w:r>
      <w:r w:rsidR="00BC32FA">
        <w:rPr>
          <w:sz w:val="20"/>
          <w:szCs w:val="20"/>
          <w:lang w:eastAsia="zh-CN"/>
        </w:rPr>
        <w:t>,</w:t>
      </w:r>
      <w:r w:rsidR="005B38A3">
        <w:rPr>
          <w:sz w:val="20"/>
          <w:szCs w:val="20"/>
          <w:lang w:eastAsia="zh-CN"/>
        </w:rPr>
        <w:t xml:space="preserve"> including</w:t>
      </w:r>
      <w:r w:rsidR="001D53CF" w:rsidRPr="002C3CF3">
        <w:rPr>
          <w:sz w:val="20"/>
          <w:szCs w:val="20"/>
          <w:lang w:eastAsia="zh-CN"/>
        </w:rPr>
        <w:t xml:space="preserve"> </w:t>
      </w:r>
      <w:r w:rsidR="00541583">
        <w:rPr>
          <w:sz w:val="20"/>
          <w:szCs w:val="20"/>
          <w:lang w:eastAsia="zh-CN"/>
        </w:rPr>
        <w:t>introduction of</w:t>
      </w:r>
      <w:r w:rsidR="008857FE">
        <w:rPr>
          <w:sz w:val="20"/>
          <w:szCs w:val="20"/>
          <w:lang w:eastAsia="zh-CN"/>
        </w:rPr>
        <w:t xml:space="preserve"> new </w:t>
      </w:r>
      <w:r w:rsidR="00541583">
        <w:rPr>
          <w:sz w:val="20"/>
          <w:szCs w:val="20"/>
          <w:lang w:eastAsia="zh-CN"/>
        </w:rPr>
        <w:t xml:space="preserve">team </w:t>
      </w:r>
      <w:r w:rsidR="00BC32FA">
        <w:rPr>
          <w:sz w:val="20"/>
          <w:szCs w:val="20"/>
          <w:lang w:eastAsia="zh-CN"/>
        </w:rPr>
        <w:t>members;</w:t>
      </w:r>
      <w:r w:rsidR="008857FE">
        <w:rPr>
          <w:sz w:val="20"/>
          <w:szCs w:val="20"/>
          <w:lang w:eastAsia="zh-CN"/>
        </w:rPr>
        <w:t xml:space="preserve"> </w:t>
      </w:r>
      <w:r w:rsidR="00BC32FA">
        <w:rPr>
          <w:sz w:val="20"/>
          <w:szCs w:val="20"/>
          <w:lang w:eastAsia="zh-CN"/>
        </w:rPr>
        <w:t xml:space="preserve">and insights into </w:t>
      </w:r>
      <w:r w:rsidR="008857FE">
        <w:rPr>
          <w:sz w:val="20"/>
          <w:szCs w:val="20"/>
          <w:lang w:eastAsia="zh-CN"/>
        </w:rPr>
        <w:t>the stock selection process</w:t>
      </w:r>
      <w:r w:rsidR="00541583">
        <w:rPr>
          <w:sz w:val="20"/>
          <w:szCs w:val="20"/>
          <w:lang w:eastAsia="zh-CN"/>
        </w:rPr>
        <w:t xml:space="preserve"> </w:t>
      </w:r>
      <w:r w:rsidR="00BC32FA">
        <w:rPr>
          <w:sz w:val="20"/>
          <w:szCs w:val="20"/>
          <w:lang w:eastAsia="zh-CN"/>
        </w:rPr>
        <w:t xml:space="preserve">that is </w:t>
      </w:r>
      <w:r w:rsidR="00541583">
        <w:rPr>
          <w:sz w:val="20"/>
          <w:szCs w:val="20"/>
          <w:lang w:eastAsia="zh-CN"/>
        </w:rPr>
        <w:t>currently underway</w:t>
      </w:r>
      <w:r w:rsidR="00BC32FA">
        <w:rPr>
          <w:sz w:val="20"/>
          <w:szCs w:val="20"/>
          <w:lang w:eastAsia="zh-CN"/>
        </w:rPr>
        <w:t xml:space="preserve">, including a spotlight on Coca-Cola Amatil as one stock considered </w:t>
      </w:r>
      <w:r w:rsidR="00325D5C">
        <w:rPr>
          <w:sz w:val="20"/>
          <w:szCs w:val="20"/>
          <w:lang w:eastAsia="zh-CN"/>
        </w:rPr>
        <w:t xml:space="preserve">where it was </w:t>
      </w:r>
      <w:r w:rsidR="00BC32FA">
        <w:rPr>
          <w:sz w:val="20"/>
          <w:szCs w:val="20"/>
          <w:lang w:eastAsia="zh-CN"/>
        </w:rPr>
        <w:t>decid</w:t>
      </w:r>
      <w:r w:rsidR="00325D5C">
        <w:rPr>
          <w:sz w:val="20"/>
          <w:szCs w:val="20"/>
          <w:lang w:eastAsia="zh-CN"/>
        </w:rPr>
        <w:t>ed</w:t>
      </w:r>
      <w:r w:rsidR="00BC32FA">
        <w:rPr>
          <w:sz w:val="20"/>
          <w:szCs w:val="20"/>
          <w:lang w:eastAsia="zh-CN"/>
        </w:rPr>
        <w:t xml:space="preserve"> </w:t>
      </w:r>
      <w:r w:rsidR="00325D5C">
        <w:rPr>
          <w:sz w:val="20"/>
          <w:szCs w:val="20"/>
          <w:lang w:eastAsia="zh-CN"/>
        </w:rPr>
        <w:t xml:space="preserve">not </w:t>
      </w:r>
      <w:r w:rsidR="00BC32FA">
        <w:rPr>
          <w:sz w:val="20"/>
          <w:szCs w:val="20"/>
          <w:lang w:eastAsia="zh-CN"/>
        </w:rPr>
        <w:t>to proceed</w:t>
      </w:r>
      <w:r>
        <w:rPr>
          <w:sz w:val="20"/>
          <w:szCs w:val="20"/>
          <w:lang w:eastAsia="zh-CN"/>
        </w:rPr>
        <w:t xml:space="preserve">. </w:t>
      </w:r>
      <w:r w:rsidR="008857FE">
        <w:rPr>
          <w:sz w:val="20"/>
          <w:szCs w:val="20"/>
          <w:lang w:eastAsia="zh-CN"/>
        </w:rPr>
        <w:t>The</w:t>
      </w:r>
      <w:r w:rsidR="001D53CF" w:rsidRPr="002C3CF3">
        <w:rPr>
          <w:sz w:val="20"/>
          <w:szCs w:val="20"/>
          <w:lang w:eastAsia="zh-CN"/>
        </w:rPr>
        <w:t xml:space="preserve"> </w:t>
      </w:r>
      <w:r w:rsidR="008857FE">
        <w:rPr>
          <w:sz w:val="20"/>
          <w:szCs w:val="20"/>
          <w:lang w:eastAsia="zh-CN"/>
        </w:rPr>
        <w:t xml:space="preserve">portfolio </w:t>
      </w:r>
      <w:r w:rsidR="00541583">
        <w:rPr>
          <w:sz w:val="20"/>
          <w:szCs w:val="20"/>
          <w:lang w:eastAsia="zh-CN"/>
        </w:rPr>
        <w:t xml:space="preserve">report </w:t>
      </w:r>
      <w:r>
        <w:rPr>
          <w:sz w:val="20"/>
          <w:szCs w:val="20"/>
          <w:lang w:eastAsia="zh-CN"/>
        </w:rPr>
        <w:t>covers portfolio</w:t>
      </w:r>
      <w:r w:rsidR="001D53CF" w:rsidRPr="00057D11">
        <w:rPr>
          <w:sz w:val="20"/>
          <w:szCs w:val="20"/>
          <w:lang w:eastAsia="zh-CN"/>
        </w:rPr>
        <w:t xml:space="preserve"> </w:t>
      </w:r>
      <w:r w:rsidR="008857FE" w:rsidRPr="00057D11">
        <w:rPr>
          <w:sz w:val="20"/>
          <w:szCs w:val="20"/>
          <w:lang w:eastAsia="zh-CN"/>
        </w:rPr>
        <w:t xml:space="preserve">structure and </w:t>
      </w:r>
      <w:r w:rsidR="001D53CF" w:rsidRPr="00057D11">
        <w:rPr>
          <w:sz w:val="20"/>
          <w:szCs w:val="20"/>
          <w:lang w:eastAsia="zh-CN"/>
        </w:rPr>
        <w:t>performance</w:t>
      </w:r>
      <w:r>
        <w:rPr>
          <w:sz w:val="20"/>
          <w:szCs w:val="20"/>
          <w:lang w:eastAsia="zh-CN"/>
        </w:rPr>
        <w:t xml:space="preserve">, including </w:t>
      </w:r>
      <w:r w:rsidR="00D04A06">
        <w:rPr>
          <w:sz w:val="20"/>
          <w:szCs w:val="20"/>
          <w:lang w:eastAsia="zh-CN"/>
        </w:rPr>
        <w:t>an</w:t>
      </w:r>
      <w:r w:rsidR="001D53CF" w:rsidRPr="002C3CF3">
        <w:rPr>
          <w:sz w:val="20"/>
          <w:szCs w:val="20"/>
          <w:lang w:eastAsia="zh-CN"/>
        </w:rPr>
        <w:t xml:space="preserve"> attribution analysis of </w:t>
      </w:r>
      <w:r w:rsidR="002B4512">
        <w:rPr>
          <w:sz w:val="20"/>
          <w:szCs w:val="20"/>
          <w:lang w:eastAsia="zh-CN"/>
        </w:rPr>
        <w:t>F</w:t>
      </w:r>
      <w:r w:rsidR="00D04A06">
        <w:rPr>
          <w:sz w:val="20"/>
          <w:szCs w:val="20"/>
          <w:lang w:eastAsia="zh-CN"/>
        </w:rPr>
        <w:t>und</w:t>
      </w:r>
      <w:r w:rsidR="00D04A06" w:rsidRPr="002C3CF3">
        <w:rPr>
          <w:sz w:val="20"/>
          <w:szCs w:val="20"/>
          <w:lang w:eastAsia="zh-CN"/>
        </w:rPr>
        <w:t xml:space="preserve"> </w:t>
      </w:r>
      <w:r w:rsidR="00DB7030">
        <w:rPr>
          <w:sz w:val="20"/>
          <w:szCs w:val="20"/>
          <w:lang w:eastAsia="zh-CN"/>
        </w:rPr>
        <w:t xml:space="preserve">returns versus </w:t>
      </w:r>
      <w:r w:rsidR="001D53CF" w:rsidRPr="002C3CF3">
        <w:rPr>
          <w:sz w:val="20"/>
          <w:szCs w:val="20"/>
          <w:lang w:eastAsia="zh-CN"/>
        </w:rPr>
        <w:t>the benchmark</w:t>
      </w:r>
      <w:r w:rsidR="00DB7030">
        <w:rPr>
          <w:sz w:val="20"/>
          <w:szCs w:val="20"/>
          <w:lang w:eastAsia="zh-CN"/>
        </w:rPr>
        <w:t xml:space="preserve">. </w:t>
      </w:r>
      <w:r w:rsidR="008857FE">
        <w:rPr>
          <w:sz w:val="20"/>
          <w:szCs w:val="20"/>
          <w:lang w:eastAsia="zh-CN"/>
        </w:rPr>
        <w:t>A</w:t>
      </w:r>
      <w:r w:rsidR="005B38A3">
        <w:rPr>
          <w:sz w:val="20"/>
          <w:szCs w:val="20"/>
          <w:lang w:eastAsia="zh-CN"/>
        </w:rPr>
        <w:t xml:space="preserve"> Socially Responsible Investing (SRI)</w:t>
      </w:r>
      <w:r w:rsidR="008857FE">
        <w:rPr>
          <w:sz w:val="20"/>
          <w:szCs w:val="20"/>
          <w:lang w:eastAsia="zh-CN"/>
        </w:rPr>
        <w:t xml:space="preserve"> analysis </w:t>
      </w:r>
      <w:r w:rsidR="005B38A3">
        <w:rPr>
          <w:sz w:val="20"/>
          <w:szCs w:val="20"/>
          <w:lang w:eastAsia="zh-CN"/>
        </w:rPr>
        <w:t>and</w:t>
      </w:r>
      <w:r w:rsidR="009D257E">
        <w:rPr>
          <w:sz w:val="20"/>
          <w:szCs w:val="20"/>
          <w:lang w:eastAsia="zh-CN"/>
        </w:rPr>
        <w:t xml:space="preserve"> statement</w:t>
      </w:r>
      <w:r w:rsidR="00CB1632">
        <w:rPr>
          <w:sz w:val="20"/>
          <w:szCs w:val="20"/>
          <w:lang w:eastAsia="zh-CN"/>
        </w:rPr>
        <w:t xml:space="preserve"> compliance</w:t>
      </w:r>
      <w:r w:rsidR="008857FE">
        <w:rPr>
          <w:sz w:val="20"/>
          <w:szCs w:val="20"/>
          <w:lang w:eastAsia="zh-CN"/>
        </w:rPr>
        <w:t xml:space="preserve"> is also provided</w:t>
      </w:r>
      <w:r w:rsidR="00CB1632">
        <w:rPr>
          <w:sz w:val="20"/>
          <w:szCs w:val="20"/>
          <w:lang w:eastAsia="zh-CN"/>
        </w:rPr>
        <w:t>.</w:t>
      </w:r>
    </w:p>
    <w:p w14:paraId="0EC3B0BD" w14:textId="2B94EBE3" w:rsidR="00F27A02" w:rsidRPr="002C3CF3" w:rsidRDefault="001D53CF" w:rsidP="00BE40D3">
      <w:pPr>
        <w:spacing w:before="180"/>
        <w:jc w:val="both"/>
        <w:rPr>
          <w:sz w:val="20"/>
          <w:szCs w:val="20"/>
          <w:lang w:eastAsia="zh-CN"/>
        </w:rPr>
      </w:pPr>
      <w:r w:rsidRPr="002C3CF3">
        <w:rPr>
          <w:sz w:val="20"/>
          <w:szCs w:val="20"/>
          <w:lang w:eastAsia="zh-CN"/>
        </w:rPr>
        <w:t xml:space="preserve">The </w:t>
      </w:r>
      <w:r w:rsidR="004E54B4" w:rsidRPr="002C3CF3">
        <w:rPr>
          <w:sz w:val="20"/>
          <w:szCs w:val="20"/>
          <w:lang w:eastAsia="zh-CN"/>
        </w:rPr>
        <w:t>SMF team produces a</w:t>
      </w:r>
      <w:r w:rsidR="00CA7FB2">
        <w:rPr>
          <w:sz w:val="20"/>
          <w:szCs w:val="20"/>
          <w:lang w:eastAsia="zh-CN"/>
        </w:rPr>
        <w:t xml:space="preserve"> </w:t>
      </w:r>
      <w:r w:rsidR="00B91B7E">
        <w:rPr>
          <w:sz w:val="20"/>
          <w:szCs w:val="20"/>
          <w:lang w:eastAsia="zh-CN"/>
        </w:rPr>
        <w:t xml:space="preserve">brief </w:t>
      </w:r>
      <w:r w:rsidR="004E54B4" w:rsidRPr="002C3CF3">
        <w:rPr>
          <w:sz w:val="20"/>
          <w:szCs w:val="20"/>
          <w:lang w:eastAsia="zh-CN"/>
        </w:rPr>
        <w:t xml:space="preserve">report at mid-semester, </w:t>
      </w:r>
      <w:r w:rsidR="00D04A06">
        <w:rPr>
          <w:sz w:val="20"/>
          <w:szCs w:val="20"/>
          <w:lang w:eastAsia="zh-CN"/>
        </w:rPr>
        <w:t>with</w:t>
      </w:r>
      <w:r w:rsidR="00D04A06" w:rsidRPr="002C3CF3">
        <w:rPr>
          <w:sz w:val="20"/>
          <w:szCs w:val="20"/>
          <w:lang w:eastAsia="zh-CN"/>
        </w:rPr>
        <w:t xml:space="preserve"> </w:t>
      </w:r>
      <w:r w:rsidR="004E54B4" w:rsidRPr="002C3CF3">
        <w:rPr>
          <w:sz w:val="20"/>
          <w:szCs w:val="20"/>
          <w:lang w:eastAsia="zh-CN"/>
        </w:rPr>
        <w:t xml:space="preserve">a more in-depth report </w:t>
      </w:r>
      <w:r w:rsidR="00D04A06">
        <w:rPr>
          <w:sz w:val="20"/>
          <w:szCs w:val="20"/>
          <w:lang w:eastAsia="zh-CN"/>
        </w:rPr>
        <w:t xml:space="preserve">provided </w:t>
      </w:r>
      <w:r w:rsidR="004E54B4" w:rsidRPr="002C3CF3">
        <w:rPr>
          <w:sz w:val="20"/>
          <w:szCs w:val="20"/>
          <w:lang w:eastAsia="zh-CN"/>
        </w:rPr>
        <w:t>at</w:t>
      </w:r>
      <w:r w:rsidR="003C1684" w:rsidRPr="002C3CF3">
        <w:rPr>
          <w:sz w:val="20"/>
          <w:szCs w:val="20"/>
          <w:lang w:eastAsia="zh-CN"/>
        </w:rPr>
        <w:t xml:space="preserve"> </w:t>
      </w:r>
      <w:r w:rsidR="004E54B4" w:rsidRPr="002C3CF3">
        <w:rPr>
          <w:sz w:val="20"/>
          <w:szCs w:val="20"/>
          <w:lang w:eastAsia="zh-CN"/>
        </w:rPr>
        <w:t xml:space="preserve">end-semester </w:t>
      </w:r>
      <w:r w:rsidR="005B38A3">
        <w:rPr>
          <w:sz w:val="20"/>
          <w:szCs w:val="20"/>
          <w:lang w:eastAsia="zh-CN"/>
        </w:rPr>
        <w:t>that</w:t>
      </w:r>
      <w:r w:rsidR="005B38A3" w:rsidRPr="002C3CF3">
        <w:rPr>
          <w:sz w:val="20"/>
          <w:szCs w:val="20"/>
          <w:lang w:eastAsia="zh-CN"/>
        </w:rPr>
        <w:t xml:space="preserve"> </w:t>
      </w:r>
      <w:r w:rsidR="004E54B4" w:rsidRPr="002C3CF3">
        <w:rPr>
          <w:sz w:val="20"/>
          <w:szCs w:val="20"/>
          <w:lang w:eastAsia="zh-CN"/>
        </w:rPr>
        <w:t>include</w:t>
      </w:r>
      <w:r w:rsidR="003C1684" w:rsidRPr="002C3CF3">
        <w:rPr>
          <w:sz w:val="20"/>
          <w:szCs w:val="20"/>
          <w:lang w:eastAsia="zh-CN"/>
        </w:rPr>
        <w:t>s</w:t>
      </w:r>
      <w:r w:rsidR="004E54B4" w:rsidRPr="002C3CF3">
        <w:rPr>
          <w:sz w:val="20"/>
          <w:szCs w:val="20"/>
          <w:lang w:eastAsia="zh-CN"/>
        </w:rPr>
        <w:t xml:space="preserve"> commentary by all team leaders and the Course Convenors. </w:t>
      </w:r>
    </w:p>
    <w:p w14:paraId="14BE341F" w14:textId="0B2A1BD1" w:rsidR="004E54B4" w:rsidRPr="002C3CF3" w:rsidRDefault="00241597" w:rsidP="00BE40D3">
      <w:pPr>
        <w:spacing w:before="180"/>
        <w:jc w:val="both"/>
        <w:rPr>
          <w:i/>
          <w:sz w:val="20"/>
          <w:szCs w:val="20"/>
          <w:lang w:val="en-US"/>
        </w:rPr>
      </w:pPr>
      <w:r w:rsidRPr="002C3CF3">
        <w:rPr>
          <w:sz w:val="20"/>
          <w:szCs w:val="20"/>
          <w:lang w:eastAsia="zh-CN"/>
        </w:rPr>
        <w:t>We would welcome</w:t>
      </w:r>
      <w:r w:rsidR="00FD66A3">
        <w:rPr>
          <w:sz w:val="20"/>
          <w:szCs w:val="20"/>
          <w:lang w:eastAsia="zh-CN"/>
        </w:rPr>
        <w:t xml:space="preserve"> any</w:t>
      </w:r>
      <w:r w:rsidRPr="002C3CF3">
        <w:rPr>
          <w:sz w:val="20"/>
          <w:szCs w:val="20"/>
          <w:lang w:eastAsia="zh-CN"/>
        </w:rPr>
        <w:t xml:space="preserve"> feedback and t</w:t>
      </w:r>
      <w:r w:rsidR="002C3C8B" w:rsidRPr="002C3CF3">
        <w:rPr>
          <w:sz w:val="20"/>
          <w:szCs w:val="20"/>
          <w:lang w:eastAsia="zh-CN"/>
        </w:rPr>
        <w:t>he opportunity to address further enqu</w:t>
      </w:r>
      <w:r w:rsidR="00762F49" w:rsidRPr="002C3CF3">
        <w:rPr>
          <w:sz w:val="20"/>
          <w:szCs w:val="20"/>
          <w:lang w:eastAsia="zh-CN"/>
        </w:rPr>
        <w:t>i</w:t>
      </w:r>
      <w:r w:rsidR="002C3C8B" w:rsidRPr="002C3CF3">
        <w:rPr>
          <w:sz w:val="20"/>
          <w:szCs w:val="20"/>
          <w:lang w:eastAsia="zh-CN"/>
        </w:rPr>
        <w:t>r</w:t>
      </w:r>
      <w:r w:rsidR="00C22C5C" w:rsidRPr="002C3CF3">
        <w:rPr>
          <w:sz w:val="20"/>
          <w:szCs w:val="20"/>
          <w:lang w:eastAsia="zh-CN"/>
        </w:rPr>
        <w:t>i</w:t>
      </w:r>
      <w:r w:rsidR="002C3C8B" w:rsidRPr="002C3CF3">
        <w:rPr>
          <w:sz w:val="20"/>
          <w:szCs w:val="20"/>
          <w:lang w:eastAsia="zh-CN"/>
        </w:rPr>
        <w:t>es</w:t>
      </w:r>
      <w:r w:rsidR="00E8386E" w:rsidRPr="002C3CF3">
        <w:rPr>
          <w:sz w:val="20"/>
          <w:szCs w:val="20"/>
          <w:lang w:eastAsia="zh-CN"/>
        </w:rPr>
        <w:t>,</w:t>
      </w:r>
      <w:r w:rsidR="001F7E59" w:rsidRPr="002C3CF3">
        <w:rPr>
          <w:sz w:val="20"/>
          <w:szCs w:val="20"/>
          <w:lang w:eastAsia="zh-CN"/>
        </w:rPr>
        <w:t xml:space="preserve"> which </w:t>
      </w:r>
      <w:r w:rsidR="002F156B" w:rsidRPr="002C3CF3">
        <w:rPr>
          <w:sz w:val="20"/>
          <w:szCs w:val="20"/>
          <w:lang w:eastAsia="zh-CN"/>
        </w:rPr>
        <w:t>can be directed to the SMF email add</w:t>
      </w:r>
      <w:r w:rsidR="0064707E" w:rsidRPr="002C3CF3">
        <w:rPr>
          <w:sz w:val="20"/>
          <w:szCs w:val="20"/>
          <w:lang w:eastAsia="zh-CN"/>
        </w:rPr>
        <w:t>ress (</w:t>
      </w:r>
      <w:hyperlink r:id="rId12" w:history="1">
        <w:r w:rsidR="0064707E" w:rsidRPr="002C3CF3">
          <w:rPr>
            <w:rStyle w:val="Hyperlink"/>
            <w:sz w:val="20"/>
            <w:szCs w:val="20"/>
          </w:rPr>
          <w:t>smf.rsfas@anu.edu.au</w:t>
        </w:r>
      </w:hyperlink>
      <w:r w:rsidR="0064707E" w:rsidRPr="002C3CF3">
        <w:rPr>
          <w:sz w:val="20"/>
          <w:szCs w:val="20"/>
        </w:rPr>
        <w:t>).</w:t>
      </w:r>
    </w:p>
    <w:p w14:paraId="16A127B7" w14:textId="24818870" w:rsidR="004E54B4" w:rsidRPr="002C3CF3" w:rsidRDefault="004E54B4" w:rsidP="00BE40D3">
      <w:pPr>
        <w:spacing w:before="180"/>
        <w:rPr>
          <w:i/>
          <w:sz w:val="20"/>
          <w:szCs w:val="20"/>
          <w:lang w:val="en-US"/>
        </w:rPr>
      </w:pPr>
      <w:r w:rsidRPr="002C3CF3">
        <w:rPr>
          <w:i/>
          <w:sz w:val="20"/>
          <w:szCs w:val="20"/>
          <w:lang w:val="en-US"/>
        </w:rPr>
        <w:t>Sophie Lebang</w:t>
      </w:r>
      <w:r w:rsidR="006416DA">
        <w:rPr>
          <w:i/>
          <w:sz w:val="20"/>
          <w:szCs w:val="20"/>
          <w:lang w:val="en-US"/>
        </w:rPr>
        <w:t>,</w:t>
      </w:r>
      <w:r w:rsidRPr="002C3CF3">
        <w:rPr>
          <w:i/>
          <w:sz w:val="20"/>
          <w:szCs w:val="20"/>
          <w:lang w:val="en-US"/>
        </w:rPr>
        <w:t xml:space="preserve"> </w:t>
      </w:r>
      <w:r w:rsidR="002A1FC1">
        <w:rPr>
          <w:i/>
          <w:sz w:val="20"/>
          <w:szCs w:val="20"/>
          <w:lang w:val="en-US"/>
        </w:rPr>
        <w:t>Yanfei (</w:t>
      </w:r>
      <w:r w:rsidR="00173554">
        <w:rPr>
          <w:i/>
          <w:sz w:val="20"/>
          <w:szCs w:val="20"/>
          <w:lang w:val="en-US"/>
        </w:rPr>
        <w:t>Victoria</w:t>
      </w:r>
      <w:r w:rsidR="002A1FC1">
        <w:rPr>
          <w:i/>
          <w:sz w:val="20"/>
          <w:szCs w:val="20"/>
          <w:lang w:val="en-US"/>
        </w:rPr>
        <w:t>)</w:t>
      </w:r>
      <w:r w:rsidR="00173554">
        <w:rPr>
          <w:i/>
          <w:sz w:val="20"/>
          <w:szCs w:val="20"/>
          <w:lang w:val="en-US"/>
        </w:rPr>
        <w:t xml:space="preserve"> Rao &amp; Charya </w:t>
      </w:r>
      <w:r w:rsidR="00173554" w:rsidRPr="00173554">
        <w:rPr>
          <w:i/>
          <w:sz w:val="20"/>
          <w:szCs w:val="20"/>
        </w:rPr>
        <w:t>Kannangara</w:t>
      </w:r>
      <w:r w:rsidRPr="002C3CF3">
        <w:rPr>
          <w:i/>
          <w:sz w:val="20"/>
          <w:szCs w:val="20"/>
          <w:lang w:val="en-US"/>
        </w:rPr>
        <w:t xml:space="preserve"> </w:t>
      </w:r>
    </w:p>
    <w:p w14:paraId="488A9056" w14:textId="05CFF971" w:rsidR="00C43657" w:rsidRPr="002C3CF3" w:rsidRDefault="00136215" w:rsidP="00A250F3">
      <w:pPr>
        <w:rPr>
          <w:sz w:val="20"/>
          <w:szCs w:val="20"/>
          <w:lang w:eastAsia="zh-CN"/>
        </w:rPr>
      </w:pPr>
      <w:r w:rsidRPr="002C3CF3">
        <w:rPr>
          <w:i/>
          <w:sz w:val="20"/>
          <w:szCs w:val="20"/>
          <w:lang w:val="en-US"/>
        </w:rPr>
        <w:t xml:space="preserve">Relationship </w:t>
      </w:r>
      <w:r w:rsidR="00FD7983" w:rsidRPr="002C3CF3">
        <w:rPr>
          <w:i/>
          <w:sz w:val="20"/>
          <w:szCs w:val="20"/>
          <w:lang w:val="en-US"/>
        </w:rPr>
        <w:t>Team</w:t>
      </w:r>
    </w:p>
    <w:p w14:paraId="197F0C54" w14:textId="5ABFA58C" w:rsidR="00E82EAA" w:rsidRPr="002C3CF3" w:rsidRDefault="00E82EAA" w:rsidP="00A250F3">
      <w:pPr>
        <w:pStyle w:val="Heading1"/>
        <w:spacing w:before="360" w:line="240" w:lineRule="auto"/>
        <w:rPr>
          <w:sz w:val="24"/>
          <w:szCs w:val="24"/>
          <w:lang w:eastAsia="zh-CN"/>
        </w:rPr>
      </w:pPr>
      <w:bookmarkStart w:id="3" w:name="_Toc19110715"/>
      <w:r w:rsidRPr="002C3CF3">
        <w:rPr>
          <w:sz w:val="24"/>
          <w:szCs w:val="24"/>
          <w:lang w:eastAsia="zh-CN"/>
        </w:rPr>
        <w:t>Chief Investment Officer Report</w:t>
      </w:r>
      <w:bookmarkEnd w:id="3"/>
    </w:p>
    <w:p w14:paraId="7643D59C" w14:textId="6F951B01" w:rsidR="00BB64B7" w:rsidRPr="00E27B79" w:rsidRDefault="00BB64B7" w:rsidP="00BB64B7">
      <w:pPr>
        <w:spacing w:before="180"/>
        <w:jc w:val="both"/>
        <w:rPr>
          <w:sz w:val="20"/>
          <w:lang w:eastAsia="zh-CN"/>
        </w:rPr>
      </w:pPr>
      <w:r w:rsidRPr="00E27B79">
        <w:rPr>
          <w:sz w:val="20"/>
          <w:lang w:eastAsia="zh-CN"/>
        </w:rPr>
        <w:t xml:space="preserve">The SMF team </w:t>
      </w:r>
      <w:r w:rsidR="00541583">
        <w:rPr>
          <w:sz w:val="20"/>
          <w:lang w:eastAsia="zh-CN"/>
        </w:rPr>
        <w:t xml:space="preserve">currently </w:t>
      </w:r>
      <w:r w:rsidRPr="00E27B79">
        <w:rPr>
          <w:sz w:val="20"/>
          <w:lang w:eastAsia="zh-CN"/>
        </w:rPr>
        <w:t xml:space="preserve">consists of 19 members. The senior cohort </w:t>
      </w:r>
      <w:r w:rsidR="005B38A3">
        <w:rPr>
          <w:sz w:val="20"/>
          <w:lang w:eastAsia="zh-CN"/>
        </w:rPr>
        <w:t>has enjoyed the opportunity</w:t>
      </w:r>
      <w:r>
        <w:rPr>
          <w:sz w:val="20"/>
          <w:lang w:eastAsia="zh-CN"/>
        </w:rPr>
        <w:t xml:space="preserve"> to</w:t>
      </w:r>
      <w:r w:rsidRPr="00E27B79">
        <w:rPr>
          <w:sz w:val="20"/>
          <w:lang w:eastAsia="zh-CN"/>
        </w:rPr>
        <w:t xml:space="preserve"> welcom</w:t>
      </w:r>
      <w:r>
        <w:rPr>
          <w:sz w:val="20"/>
          <w:lang w:eastAsia="zh-CN"/>
        </w:rPr>
        <w:t>e</w:t>
      </w:r>
      <w:r w:rsidRPr="00E27B79">
        <w:rPr>
          <w:sz w:val="20"/>
          <w:lang w:eastAsia="zh-CN"/>
        </w:rPr>
        <w:t xml:space="preserve"> the new </w:t>
      </w:r>
      <w:r w:rsidR="00541583">
        <w:rPr>
          <w:sz w:val="20"/>
          <w:lang w:eastAsia="zh-CN"/>
        </w:rPr>
        <w:t xml:space="preserve">junior team </w:t>
      </w:r>
      <w:r w:rsidRPr="00E27B79">
        <w:rPr>
          <w:sz w:val="20"/>
          <w:lang w:eastAsia="zh-CN"/>
        </w:rPr>
        <w:t>members and shar</w:t>
      </w:r>
      <w:r>
        <w:rPr>
          <w:rFonts w:hint="eastAsia"/>
          <w:sz w:val="20"/>
          <w:lang w:eastAsia="zh-CN"/>
        </w:rPr>
        <w:t>e</w:t>
      </w:r>
      <w:r w:rsidRPr="00E27B79">
        <w:rPr>
          <w:sz w:val="20"/>
          <w:lang w:eastAsia="zh-CN"/>
        </w:rPr>
        <w:t xml:space="preserve"> our knowledge, whilst watching the new </w:t>
      </w:r>
      <w:r>
        <w:rPr>
          <w:sz w:val="20"/>
          <w:lang w:eastAsia="zh-CN"/>
        </w:rPr>
        <w:t xml:space="preserve">members </w:t>
      </w:r>
      <w:r w:rsidRPr="00E27B79">
        <w:rPr>
          <w:sz w:val="20"/>
          <w:lang w:eastAsia="zh-CN"/>
        </w:rPr>
        <w:t xml:space="preserve">bring their own insights to the Fund. </w:t>
      </w:r>
    </w:p>
    <w:p w14:paraId="2366ABB3" w14:textId="41B2E361" w:rsidR="00BB64B7" w:rsidRPr="00E27B79" w:rsidRDefault="00BB64B7" w:rsidP="00BB64B7">
      <w:pPr>
        <w:spacing w:before="180"/>
        <w:jc w:val="both"/>
        <w:rPr>
          <w:sz w:val="20"/>
          <w:lang w:eastAsia="zh-CN"/>
        </w:rPr>
      </w:pPr>
      <w:r w:rsidRPr="00E27B79">
        <w:rPr>
          <w:sz w:val="20"/>
          <w:lang w:eastAsia="zh-CN"/>
        </w:rPr>
        <w:t>All members of the Fund have embraced their new roles. The senior cohort ha</w:t>
      </w:r>
      <w:r w:rsidR="00541583">
        <w:rPr>
          <w:sz w:val="20"/>
          <w:lang w:eastAsia="zh-CN"/>
        </w:rPr>
        <w:t>s</w:t>
      </w:r>
      <w:r w:rsidRPr="00E27B79">
        <w:rPr>
          <w:sz w:val="20"/>
          <w:lang w:eastAsia="zh-CN"/>
        </w:rPr>
        <w:t xml:space="preserve"> adapted to </w:t>
      </w:r>
      <w:r w:rsidR="00541583">
        <w:rPr>
          <w:sz w:val="20"/>
          <w:lang w:eastAsia="zh-CN"/>
        </w:rPr>
        <w:t>their</w:t>
      </w:r>
      <w:r>
        <w:rPr>
          <w:sz w:val="20"/>
          <w:lang w:eastAsia="zh-CN"/>
        </w:rPr>
        <w:t xml:space="preserve"> </w:t>
      </w:r>
      <w:r w:rsidRPr="00E27B79">
        <w:rPr>
          <w:sz w:val="20"/>
          <w:lang w:eastAsia="zh-CN"/>
        </w:rPr>
        <w:t xml:space="preserve">leadership positions and </w:t>
      </w:r>
      <w:r w:rsidR="00541583">
        <w:rPr>
          <w:sz w:val="20"/>
          <w:lang w:eastAsia="zh-CN"/>
        </w:rPr>
        <w:t xml:space="preserve">the </w:t>
      </w:r>
      <w:r w:rsidRPr="00E27B79">
        <w:rPr>
          <w:sz w:val="20"/>
          <w:lang w:eastAsia="zh-CN"/>
        </w:rPr>
        <w:t xml:space="preserve">challenges </w:t>
      </w:r>
      <w:r w:rsidR="00541583">
        <w:rPr>
          <w:sz w:val="20"/>
          <w:lang w:eastAsia="zh-CN"/>
        </w:rPr>
        <w:t xml:space="preserve">arising </w:t>
      </w:r>
      <w:r w:rsidRPr="00E27B79">
        <w:rPr>
          <w:sz w:val="20"/>
          <w:lang w:eastAsia="zh-CN"/>
        </w:rPr>
        <w:t>from a new level of respon</w:t>
      </w:r>
      <w:r w:rsidR="00541583">
        <w:rPr>
          <w:sz w:val="20"/>
          <w:lang w:eastAsia="zh-CN"/>
        </w:rPr>
        <w:t>sibility. The junior cohort has</w:t>
      </w:r>
      <w:r w:rsidRPr="00E27B79">
        <w:rPr>
          <w:sz w:val="20"/>
          <w:lang w:eastAsia="zh-CN"/>
        </w:rPr>
        <w:t xml:space="preserve"> hit the ground running, making meaningful contributions to </w:t>
      </w:r>
      <w:r>
        <w:rPr>
          <w:sz w:val="20"/>
          <w:lang w:eastAsia="zh-CN"/>
        </w:rPr>
        <w:t xml:space="preserve">both </w:t>
      </w:r>
      <w:r w:rsidRPr="00E27B79">
        <w:rPr>
          <w:sz w:val="20"/>
          <w:lang w:eastAsia="zh-CN"/>
        </w:rPr>
        <w:t>their sub-team objectives and the Fund meetings</w:t>
      </w:r>
      <w:r>
        <w:rPr>
          <w:sz w:val="20"/>
          <w:lang w:eastAsia="zh-CN"/>
        </w:rPr>
        <w:t xml:space="preserve">. The </w:t>
      </w:r>
      <w:r w:rsidRPr="00E27B79">
        <w:rPr>
          <w:sz w:val="20"/>
          <w:lang w:eastAsia="zh-CN"/>
        </w:rPr>
        <w:t>social cohesion</w:t>
      </w:r>
      <w:r>
        <w:rPr>
          <w:sz w:val="20"/>
          <w:lang w:eastAsia="zh-CN"/>
        </w:rPr>
        <w:t xml:space="preserve"> between</w:t>
      </w:r>
      <w:r w:rsidRPr="00E27B79">
        <w:rPr>
          <w:sz w:val="20"/>
          <w:lang w:eastAsia="zh-CN"/>
        </w:rPr>
        <w:t xml:space="preserve"> </w:t>
      </w:r>
      <w:r>
        <w:rPr>
          <w:sz w:val="20"/>
          <w:lang w:eastAsia="zh-CN"/>
        </w:rPr>
        <w:t>all members is evident in Fund meetings and has contributed to a collegiate atmosphere and</w:t>
      </w:r>
      <w:r w:rsidR="005B38A3">
        <w:rPr>
          <w:sz w:val="20"/>
          <w:lang w:eastAsia="zh-CN"/>
        </w:rPr>
        <w:t xml:space="preserve"> many a</w:t>
      </w:r>
      <w:r>
        <w:rPr>
          <w:sz w:val="20"/>
          <w:lang w:eastAsia="zh-CN"/>
        </w:rPr>
        <w:t xml:space="preserve"> robust discussion</w:t>
      </w:r>
      <w:r w:rsidRPr="00E27B79">
        <w:rPr>
          <w:sz w:val="20"/>
          <w:lang w:eastAsia="zh-CN"/>
        </w:rPr>
        <w:t>.</w:t>
      </w:r>
      <w:r>
        <w:rPr>
          <w:sz w:val="20"/>
          <w:lang w:eastAsia="zh-CN"/>
        </w:rPr>
        <w:t xml:space="preserve"> An exciting element as the Fund matures has been a stronger alumni presence, with past SMF members visiting Fund meetings and nurturing new and pre-existing connections within the current team. </w:t>
      </w:r>
      <w:r w:rsidRPr="00E27B79">
        <w:rPr>
          <w:sz w:val="20"/>
          <w:lang w:eastAsia="zh-CN"/>
        </w:rPr>
        <w:t xml:space="preserve">It has been a pleasure to see the team working together and embodying the values of the Fund. </w:t>
      </w:r>
    </w:p>
    <w:p w14:paraId="34D5A667" w14:textId="42808C7B" w:rsidR="00BB64B7" w:rsidRPr="00E27B79" w:rsidRDefault="00BB64B7" w:rsidP="00BB64B7">
      <w:pPr>
        <w:spacing w:before="180"/>
        <w:jc w:val="both"/>
        <w:rPr>
          <w:sz w:val="20"/>
          <w:lang w:eastAsia="zh-CN"/>
        </w:rPr>
      </w:pPr>
      <w:r>
        <w:rPr>
          <w:sz w:val="20"/>
          <w:lang w:eastAsia="zh-CN"/>
        </w:rPr>
        <w:t xml:space="preserve">A focus </w:t>
      </w:r>
      <w:r w:rsidRPr="00E27B79">
        <w:rPr>
          <w:sz w:val="20"/>
          <w:lang w:eastAsia="zh-CN"/>
        </w:rPr>
        <w:t xml:space="preserve">this semester has </w:t>
      </w:r>
      <w:r>
        <w:rPr>
          <w:sz w:val="20"/>
          <w:lang w:eastAsia="zh-CN"/>
        </w:rPr>
        <w:t xml:space="preserve">been </w:t>
      </w:r>
      <w:r w:rsidRPr="00E27B79">
        <w:rPr>
          <w:sz w:val="20"/>
          <w:lang w:eastAsia="zh-CN"/>
        </w:rPr>
        <w:t>further integrati</w:t>
      </w:r>
      <w:r>
        <w:rPr>
          <w:sz w:val="20"/>
          <w:lang w:eastAsia="zh-CN"/>
        </w:rPr>
        <w:t>ng our</w:t>
      </w:r>
      <w:r w:rsidRPr="00E27B79">
        <w:rPr>
          <w:sz w:val="20"/>
          <w:lang w:eastAsia="zh-CN"/>
        </w:rPr>
        <w:t xml:space="preserve"> sub-teams, with the full benefits of understanding the role of each team being realised at an operational and educational level. The sub-teams have </w:t>
      </w:r>
      <w:r>
        <w:rPr>
          <w:sz w:val="20"/>
          <w:lang w:eastAsia="zh-CN"/>
        </w:rPr>
        <w:t xml:space="preserve">also </w:t>
      </w:r>
      <w:r w:rsidRPr="00E27B79">
        <w:rPr>
          <w:sz w:val="20"/>
          <w:lang w:eastAsia="zh-CN"/>
        </w:rPr>
        <w:t xml:space="preserve">been striving towards their individual goals and </w:t>
      </w:r>
      <w:r>
        <w:rPr>
          <w:sz w:val="20"/>
          <w:lang w:eastAsia="zh-CN"/>
        </w:rPr>
        <w:t>making</w:t>
      </w:r>
      <w:r w:rsidRPr="00E27B79">
        <w:rPr>
          <w:sz w:val="20"/>
          <w:lang w:eastAsia="zh-CN"/>
        </w:rPr>
        <w:t xml:space="preserve"> considerable progres</w:t>
      </w:r>
      <w:r>
        <w:rPr>
          <w:sz w:val="20"/>
          <w:lang w:eastAsia="zh-CN"/>
        </w:rPr>
        <w:t>s.</w:t>
      </w:r>
      <w:r w:rsidRPr="00E27B79">
        <w:rPr>
          <w:sz w:val="20"/>
          <w:lang w:eastAsia="zh-CN"/>
        </w:rPr>
        <w:t xml:space="preserve"> The Active Australian Equities (AAE) team ha</w:t>
      </w:r>
      <w:r>
        <w:rPr>
          <w:sz w:val="20"/>
          <w:lang w:eastAsia="zh-CN"/>
        </w:rPr>
        <w:t>s</w:t>
      </w:r>
      <w:r w:rsidRPr="00E27B79">
        <w:rPr>
          <w:sz w:val="20"/>
          <w:lang w:eastAsia="zh-CN"/>
        </w:rPr>
        <w:t xml:space="preserve"> successfully undertaken the stock candidate presentations to the SMF</w:t>
      </w:r>
      <w:r>
        <w:rPr>
          <w:sz w:val="20"/>
          <w:lang w:eastAsia="zh-CN"/>
        </w:rPr>
        <w:t xml:space="preserve"> and</w:t>
      </w:r>
      <w:r w:rsidRPr="00E27B79">
        <w:rPr>
          <w:sz w:val="20"/>
          <w:lang w:eastAsia="zh-CN"/>
        </w:rPr>
        <w:t xml:space="preserve"> are moving forward with exciting prospects to </w:t>
      </w:r>
      <w:r>
        <w:rPr>
          <w:sz w:val="20"/>
          <w:lang w:eastAsia="zh-CN"/>
        </w:rPr>
        <w:t xml:space="preserve">potentially </w:t>
      </w:r>
      <w:r w:rsidRPr="00E27B79">
        <w:rPr>
          <w:sz w:val="20"/>
          <w:lang w:eastAsia="zh-CN"/>
        </w:rPr>
        <w:t xml:space="preserve">add to </w:t>
      </w:r>
      <w:r>
        <w:rPr>
          <w:sz w:val="20"/>
          <w:lang w:eastAsia="zh-CN"/>
        </w:rPr>
        <w:t>the</w:t>
      </w:r>
      <w:r w:rsidRPr="00E27B79">
        <w:rPr>
          <w:sz w:val="20"/>
          <w:lang w:eastAsia="zh-CN"/>
        </w:rPr>
        <w:t xml:space="preserve"> portfolio. The Asset Allocation (AA) team is in the final stages of preparing the AA Investment Process</w:t>
      </w:r>
      <w:r>
        <w:rPr>
          <w:sz w:val="20"/>
          <w:lang w:eastAsia="zh-CN"/>
        </w:rPr>
        <w:t xml:space="preserve"> (</w:t>
      </w:r>
      <w:r w:rsidR="00E33953">
        <w:rPr>
          <w:sz w:val="20"/>
          <w:lang w:eastAsia="zh-CN"/>
        </w:rPr>
        <w:t>AA</w:t>
      </w:r>
      <w:r w:rsidR="005D696A">
        <w:rPr>
          <w:sz w:val="20"/>
          <w:lang w:eastAsia="zh-CN"/>
        </w:rPr>
        <w:t xml:space="preserve"> </w:t>
      </w:r>
      <w:r>
        <w:rPr>
          <w:sz w:val="20"/>
          <w:lang w:eastAsia="zh-CN"/>
        </w:rPr>
        <w:t>IP)</w:t>
      </w:r>
      <w:r w:rsidRPr="00E27B79">
        <w:rPr>
          <w:sz w:val="20"/>
          <w:lang w:eastAsia="zh-CN"/>
        </w:rPr>
        <w:t xml:space="preserve"> for presentation to </w:t>
      </w:r>
      <w:r>
        <w:rPr>
          <w:sz w:val="20"/>
          <w:lang w:eastAsia="zh-CN"/>
        </w:rPr>
        <w:t>the Investment Advisory Committee (</w:t>
      </w:r>
      <w:r w:rsidRPr="00E27B79">
        <w:rPr>
          <w:sz w:val="20"/>
          <w:lang w:eastAsia="zh-CN"/>
        </w:rPr>
        <w:t>IAC</w:t>
      </w:r>
      <w:r>
        <w:rPr>
          <w:sz w:val="20"/>
          <w:lang w:eastAsia="zh-CN"/>
        </w:rPr>
        <w:t>)</w:t>
      </w:r>
      <w:r w:rsidRPr="00E27B79">
        <w:rPr>
          <w:sz w:val="20"/>
          <w:lang w:eastAsia="zh-CN"/>
        </w:rPr>
        <w:t xml:space="preserve">. This process has been an extensive </w:t>
      </w:r>
      <w:r>
        <w:rPr>
          <w:sz w:val="20"/>
          <w:lang w:eastAsia="zh-CN"/>
        </w:rPr>
        <w:t xml:space="preserve">and challenging </w:t>
      </w:r>
      <w:r w:rsidRPr="00E27B79">
        <w:rPr>
          <w:sz w:val="20"/>
          <w:lang w:eastAsia="zh-CN"/>
        </w:rPr>
        <w:t>task for the AA team, and it is exciting to see the culmination of many semesters work. The Risk and Compliance (R&amp;C) team h</w:t>
      </w:r>
      <w:r>
        <w:rPr>
          <w:sz w:val="20"/>
          <w:lang w:eastAsia="zh-CN"/>
        </w:rPr>
        <w:t>as</w:t>
      </w:r>
      <w:r w:rsidRPr="00E27B79">
        <w:rPr>
          <w:sz w:val="20"/>
          <w:lang w:eastAsia="zh-CN"/>
        </w:rPr>
        <w:t xml:space="preserve"> been monitoring Fund operations, advancing performance attribution techniques and developing a </w:t>
      </w:r>
      <w:r>
        <w:rPr>
          <w:sz w:val="20"/>
          <w:lang w:eastAsia="zh-CN"/>
        </w:rPr>
        <w:t>b</w:t>
      </w:r>
      <w:r w:rsidRPr="00E27B79">
        <w:rPr>
          <w:sz w:val="20"/>
          <w:lang w:eastAsia="zh-CN"/>
        </w:rPr>
        <w:t>ehaviour</w:t>
      </w:r>
      <w:r>
        <w:rPr>
          <w:sz w:val="20"/>
          <w:lang w:eastAsia="zh-CN"/>
        </w:rPr>
        <w:t>al</w:t>
      </w:r>
      <w:r w:rsidRPr="00E27B79">
        <w:rPr>
          <w:sz w:val="20"/>
          <w:lang w:eastAsia="zh-CN"/>
        </w:rPr>
        <w:t xml:space="preserve"> </w:t>
      </w:r>
      <w:r>
        <w:rPr>
          <w:sz w:val="20"/>
          <w:lang w:eastAsia="zh-CN"/>
        </w:rPr>
        <w:t>r</w:t>
      </w:r>
      <w:r w:rsidRPr="00E27B79">
        <w:rPr>
          <w:sz w:val="20"/>
          <w:lang w:eastAsia="zh-CN"/>
        </w:rPr>
        <w:t xml:space="preserve">isk </w:t>
      </w:r>
      <w:r>
        <w:rPr>
          <w:sz w:val="20"/>
          <w:lang w:eastAsia="zh-CN"/>
        </w:rPr>
        <w:t>a</w:t>
      </w:r>
      <w:r w:rsidRPr="00E27B79">
        <w:rPr>
          <w:sz w:val="20"/>
          <w:lang w:eastAsia="zh-CN"/>
        </w:rPr>
        <w:t xml:space="preserve">ssessment </w:t>
      </w:r>
      <w:r>
        <w:rPr>
          <w:sz w:val="20"/>
          <w:lang w:eastAsia="zh-CN"/>
        </w:rPr>
        <w:t>f</w:t>
      </w:r>
      <w:r w:rsidRPr="00E27B79">
        <w:rPr>
          <w:sz w:val="20"/>
          <w:lang w:eastAsia="zh-CN"/>
        </w:rPr>
        <w:t>ramework. The Relationship team h</w:t>
      </w:r>
      <w:r>
        <w:rPr>
          <w:sz w:val="20"/>
          <w:lang w:eastAsia="zh-CN"/>
        </w:rPr>
        <w:t>as</w:t>
      </w:r>
      <w:r w:rsidRPr="00E27B79">
        <w:rPr>
          <w:sz w:val="20"/>
          <w:lang w:eastAsia="zh-CN"/>
        </w:rPr>
        <w:t xml:space="preserve"> worked to deliver the </w:t>
      </w:r>
      <w:r>
        <w:rPr>
          <w:sz w:val="20"/>
          <w:lang w:eastAsia="zh-CN"/>
        </w:rPr>
        <w:t xml:space="preserve">official </w:t>
      </w:r>
      <w:r w:rsidRPr="00E27B79">
        <w:rPr>
          <w:sz w:val="20"/>
          <w:lang w:eastAsia="zh-CN"/>
        </w:rPr>
        <w:t>SMF website and bolster our growing social media presence</w:t>
      </w:r>
      <w:r>
        <w:rPr>
          <w:sz w:val="20"/>
          <w:lang w:eastAsia="zh-CN"/>
        </w:rPr>
        <w:t>, which</w:t>
      </w:r>
      <w:r w:rsidRPr="00E27B79">
        <w:rPr>
          <w:sz w:val="20"/>
          <w:lang w:eastAsia="zh-CN"/>
        </w:rPr>
        <w:t xml:space="preserve"> will play a vital role in </w:t>
      </w:r>
      <w:r>
        <w:rPr>
          <w:sz w:val="20"/>
          <w:lang w:eastAsia="zh-CN"/>
        </w:rPr>
        <w:t xml:space="preserve">enhancing </w:t>
      </w:r>
      <w:r w:rsidRPr="00E27B79">
        <w:rPr>
          <w:sz w:val="20"/>
          <w:lang w:eastAsia="zh-CN"/>
        </w:rPr>
        <w:t>our communication with external parties</w:t>
      </w:r>
      <w:r>
        <w:rPr>
          <w:sz w:val="20"/>
          <w:lang w:eastAsia="zh-CN"/>
        </w:rPr>
        <w:t>.</w:t>
      </w:r>
    </w:p>
    <w:p w14:paraId="035D95FD" w14:textId="708DC67A" w:rsidR="00BB64B7" w:rsidRPr="00E27B79" w:rsidRDefault="00BB64B7" w:rsidP="00BB64B7">
      <w:pPr>
        <w:spacing w:before="180"/>
        <w:jc w:val="both"/>
        <w:rPr>
          <w:sz w:val="20"/>
          <w:lang w:eastAsia="zh-CN"/>
        </w:rPr>
      </w:pPr>
      <w:r w:rsidRPr="00057D11">
        <w:rPr>
          <w:sz w:val="20"/>
          <w:lang w:eastAsia="zh-CN"/>
        </w:rPr>
        <w:t xml:space="preserve">I am pleased to report that the Fund has continued to achieve </w:t>
      </w:r>
      <w:r>
        <w:rPr>
          <w:sz w:val="20"/>
          <w:lang w:eastAsia="zh-CN"/>
        </w:rPr>
        <w:t>its</w:t>
      </w:r>
      <w:r w:rsidRPr="00057D11">
        <w:rPr>
          <w:sz w:val="20"/>
          <w:lang w:eastAsia="zh-CN"/>
        </w:rPr>
        <w:t xml:space="preserve"> return objectives. Since funds were invested into the SMF reference portfolio</w:t>
      </w:r>
      <w:r w:rsidR="005B38A3">
        <w:rPr>
          <w:sz w:val="20"/>
          <w:lang w:eastAsia="zh-CN"/>
        </w:rPr>
        <w:t>,</w:t>
      </w:r>
      <w:r w:rsidRPr="00057D11">
        <w:rPr>
          <w:sz w:val="20"/>
          <w:lang w:eastAsia="zh-CN"/>
        </w:rPr>
        <w:t xml:space="preserve"> we have generated a return of </w:t>
      </w:r>
      <w:r w:rsidR="00E33953">
        <w:rPr>
          <w:sz w:val="20"/>
          <w:lang w:eastAsia="zh-CN"/>
        </w:rPr>
        <w:t>16.0</w:t>
      </w:r>
      <w:r>
        <w:rPr>
          <w:sz w:val="20"/>
          <w:lang w:eastAsia="zh-CN"/>
        </w:rPr>
        <w:t>3</w:t>
      </w:r>
      <w:r w:rsidRPr="00057D11">
        <w:rPr>
          <w:sz w:val="20"/>
          <w:lang w:eastAsia="zh-CN"/>
        </w:rPr>
        <w:t>% against the target return of</w:t>
      </w:r>
      <w:r w:rsidR="00E33953">
        <w:rPr>
          <w:sz w:val="20"/>
          <w:lang w:eastAsia="zh-CN"/>
        </w:rPr>
        <w:t xml:space="preserve"> 8.64</w:t>
      </w:r>
      <w:r>
        <w:rPr>
          <w:sz w:val="20"/>
          <w:lang w:eastAsia="zh-CN"/>
        </w:rPr>
        <w:t>%</w:t>
      </w:r>
      <w:r w:rsidRPr="00057D11">
        <w:rPr>
          <w:sz w:val="20"/>
          <w:lang w:eastAsia="zh-CN"/>
        </w:rPr>
        <w:t>. Positive contributions from Telstra (TLS)</w:t>
      </w:r>
      <w:r>
        <w:rPr>
          <w:sz w:val="20"/>
          <w:lang w:eastAsia="zh-CN"/>
        </w:rPr>
        <w:t xml:space="preserve"> and</w:t>
      </w:r>
      <w:r w:rsidRPr="00057D11">
        <w:rPr>
          <w:sz w:val="20"/>
          <w:lang w:eastAsia="zh-CN"/>
        </w:rPr>
        <w:t xml:space="preserve"> Rio Tinto (RIO)</w:t>
      </w:r>
      <w:r>
        <w:rPr>
          <w:sz w:val="20"/>
          <w:lang w:eastAsia="zh-CN"/>
        </w:rPr>
        <w:t xml:space="preserve"> </w:t>
      </w:r>
      <w:r w:rsidRPr="00057D11">
        <w:rPr>
          <w:sz w:val="20"/>
          <w:lang w:eastAsia="zh-CN"/>
        </w:rPr>
        <w:t xml:space="preserve">have supported this </w:t>
      </w:r>
      <w:r w:rsidR="005B38A3">
        <w:rPr>
          <w:sz w:val="20"/>
          <w:lang w:eastAsia="zh-CN"/>
        </w:rPr>
        <w:t>result</w:t>
      </w:r>
      <w:r w:rsidRPr="00057D11">
        <w:rPr>
          <w:sz w:val="20"/>
          <w:lang w:eastAsia="zh-CN"/>
        </w:rPr>
        <w:t xml:space="preserve">. Bingo Industries has experienced </w:t>
      </w:r>
      <w:r>
        <w:rPr>
          <w:sz w:val="20"/>
          <w:lang w:eastAsia="zh-CN"/>
        </w:rPr>
        <w:t xml:space="preserve">a recovery </w:t>
      </w:r>
      <w:r w:rsidRPr="00057D11">
        <w:rPr>
          <w:sz w:val="20"/>
          <w:lang w:eastAsia="zh-CN"/>
        </w:rPr>
        <w:t>in performance</w:t>
      </w:r>
      <w:r>
        <w:rPr>
          <w:sz w:val="20"/>
          <w:lang w:eastAsia="zh-CN"/>
        </w:rPr>
        <w:t xml:space="preserve"> after a rocky </w:t>
      </w:r>
      <w:r w:rsidR="005E44F0">
        <w:rPr>
          <w:sz w:val="20"/>
          <w:lang w:eastAsia="zh-CN"/>
        </w:rPr>
        <w:t>start but</w:t>
      </w:r>
      <w:r>
        <w:rPr>
          <w:sz w:val="20"/>
          <w:lang w:eastAsia="zh-CN"/>
        </w:rPr>
        <w:t xml:space="preserve"> continues to </w:t>
      </w:r>
      <w:r w:rsidRPr="00057D11">
        <w:rPr>
          <w:sz w:val="20"/>
          <w:lang w:eastAsia="zh-CN"/>
        </w:rPr>
        <w:t>experienc</w:t>
      </w:r>
      <w:r>
        <w:rPr>
          <w:sz w:val="20"/>
          <w:lang w:eastAsia="zh-CN"/>
        </w:rPr>
        <w:t>e</w:t>
      </w:r>
      <w:r w:rsidRPr="00057D11">
        <w:rPr>
          <w:sz w:val="20"/>
          <w:lang w:eastAsia="zh-CN"/>
        </w:rPr>
        <w:t xml:space="preserve"> volatility on a short-term basis.</w:t>
      </w:r>
    </w:p>
    <w:p w14:paraId="384FB2D9" w14:textId="0188553E" w:rsidR="00BB64B7" w:rsidRPr="00E27B79" w:rsidRDefault="00BB64B7" w:rsidP="00BB64B7">
      <w:pPr>
        <w:spacing w:before="180"/>
        <w:jc w:val="both"/>
        <w:rPr>
          <w:sz w:val="20"/>
          <w:lang w:eastAsia="zh-CN"/>
        </w:rPr>
      </w:pPr>
      <w:r w:rsidRPr="00E27B79">
        <w:rPr>
          <w:sz w:val="20"/>
          <w:lang w:eastAsia="zh-CN"/>
        </w:rPr>
        <w:t>The remainder of the semester holds many activities that will further the learning and performance objectives of the Fund. This includes industry guest speak</w:t>
      </w:r>
      <w:r w:rsidR="00E33953">
        <w:rPr>
          <w:sz w:val="20"/>
          <w:lang w:eastAsia="zh-CN"/>
        </w:rPr>
        <w:t>ers, the presentation of the AA</w:t>
      </w:r>
      <w:r w:rsidR="005D696A">
        <w:rPr>
          <w:sz w:val="20"/>
          <w:lang w:eastAsia="zh-CN"/>
        </w:rPr>
        <w:t xml:space="preserve"> </w:t>
      </w:r>
      <w:r w:rsidR="00E33953">
        <w:rPr>
          <w:sz w:val="20"/>
          <w:lang w:eastAsia="zh-CN"/>
        </w:rPr>
        <w:t>IP</w:t>
      </w:r>
      <w:r w:rsidRPr="00E27B79">
        <w:rPr>
          <w:sz w:val="20"/>
          <w:lang w:eastAsia="zh-CN"/>
        </w:rPr>
        <w:t xml:space="preserve"> </w:t>
      </w:r>
      <w:r>
        <w:rPr>
          <w:sz w:val="20"/>
          <w:lang w:eastAsia="zh-CN"/>
        </w:rPr>
        <w:t xml:space="preserve">to the IAC, </w:t>
      </w:r>
      <w:r w:rsidRPr="00E27B79">
        <w:rPr>
          <w:sz w:val="20"/>
          <w:lang w:eastAsia="zh-CN"/>
        </w:rPr>
        <w:t xml:space="preserve">and </w:t>
      </w:r>
      <w:r>
        <w:rPr>
          <w:sz w:val="20"/>
          <w:lang w:eastAsia="zh-CN"/>
        </w:rPr>
        <w:t xml:space="preserve">hopefully </w:t>
      </w:r>
      <w:r w:rsidRPr="00E27B79">
        <w:rPr>
          <w:sz w:val="20"/>
          <w:lang w:eastAsia="zh-CN"/>
        </w:rPr>
        <w:t xml:space="preserve">the recommendation of active stocks </w:t>
      </w:r>
      <w:r>
        <w:rPr>
          <w:sz w:val="20"/>
          <w:lang w:eastAsia="zh-CN"/>
        </w:rPr>
        <w:t xml:space="preserve">positions </w:t>
      </w:r>
      <w:r w:rsidRPr="00E27B79">
        <w:rPr>
          <w:sz w:val="20"/>
          <w:lang w:eastAsia="zh-CN"/>
        </w:rPr>
        <w:t xml:space="preserve">to be included in our portfolio. </w:t>
      </w:r>
    </w:p>
    <w:p w14:paraId="648D018D" w14:textId="7AEF537C" w:rsidR="00BB64B7" w:rsidRPr="00E27B79" w:rsidRDefault="00BB64B7" w:rsidP="00BB64B7">
      <w:pPr>
        <w:spacing w:before="180"/>
        <w:jc w:val="both"/>
        <w:rPr>
          <w:sz w:val="20"/>
          <w:lang w:eastAsia="zh-CN"/>
        </w:rPr>
      </w:pPr>
      <w:r w:rsidRPr="00E27B79">
        <w:rPr>
          <w:sz w:val="20"/>
          <w:lang w:eastAsia="zh-CN"/>
        </w:rPr>
        <w:t>The team has made an excellent start to the semester</w:t>
      </w:r>
      <w:r>
        <w:rPr>
          <w:sz w:val="20"/>
          <w:lang w:eastAsia="zh-CN"/>
        </w:rPr>
        <w:t xml:space="preserve">. </w:t>
      </w:r>
      <w:r w:rsidRPr="00E27B79">
        <w:rPr>
          <w:sz w:val="20"/>
          <w:lang w:eastAsia="zh-CN"/>
        </w:rPr>
        <w:t xml:space="preserve">I am excited to see how this foundation </w:t>
      </w:r>
      <w:r>
        <w:rPr>
          <w:sz w:val="20"/>
          <w:lang w:eastAsia="zh-CN"/>
        </w:rPr>
        <w:t xml:space="preserve">is going to develop into </w:t>
      </w:r>
      <w:r w:rsidRPr="00E27B79">
        <w:rPr>
          <w:sz w:val="20"/>
          <w:lang w:eastAsia="zh-CN"/>
        </w:rPr>
        <w:t xml:space="preserve">recommendations and </w:t>
      </w:r>
      <w:r>
        <w:rPr>
          <w:sz w:val="20"/>
          <w:lang w:eastAsia="zh-CN"/>
        </w:rPr>
        <w:t xml:space="preserve">enhanced </w:t>
      </w:r>
      <w:r w:rsidRPr="00E27B79">
        <w:rPr>
          <w:sz w:val="20"/>
          <w:lang w:eastAsia="zh-CN"/>
        </w:rPr>
        <w:t xml:space="preserve">processes in the </w:t>
      </w:r>
      <w:r w:rsidR="005B38A3">
        <w:rPr>
          <w:sz w:val="20"/>
          <w:lang w:eastAsia="zh-CN"/>
        </w:rPr>
        <w:t>remainder of the year</w:t>
      </w:r>
      <w:r>
        <w:rPr>
          <w:sz w:val="20"/>
          <w:lang w:eastAsia="zh-CN"/>
        </w:rPr>
        <w:t>, and hence create</w:t>
      </w:r>
      <w:r w:rsidRPr="00E27B79">
        <w:rPr>
          <w:sz w:val="20"/>
          <w:lang w:eastAsia="zh-CN"/>
        </w:rPr>
        <w:t xml:space="preserve"> a lasting impact on the SMF.</w:t>
      </w:r>
    </w:p>
    <w:p w14:paraId="6B6CBD9C" w14:textId="73687234" w:rsidR="00E27B79" w:rsidRDefault="00173554" w:rsidP="00261683">
      <w:pPr>
        <w:spacing w:before="180"/>
        <w:rPr>
          <w:lang w:eastAsia="zh-CN"/>
        </w:rPr>
      </w:pPr>
      <w:r>
        <w:rPr>
          <w:i/>
          <w:sz w:val="20"/>
          <w:lang w:eastAsia="zh-CN"/>
        </w:rPr>
        <w:t>Alaina Warwick</w:t>
      </w:r>
      <w:r w:rsidR="007A16CD" w:rsidRPr="002C3CF3">
        <w:rPr>
          <w:i/>
          <w:sz w:val="20"/>
          <w:lang w:eastAsia="zh-CN"/>
        </w:rPr>
        <w:t>, CI</w:t>
      </w:r>
      <w:r w:rsidR="00615A51">
        <w:rPr>
          <w:i/>
          <w:sz w:val="20"/>
          <w:lang w:eastAsia="zh-CN"/>
        </w:rPr>
        <w:t>O</w:t>
      </w:r>
      <w:r w:rsidR="00E27B79">
        <w:rPr>
          <w:lang w:eastAsia="zh-CN"/>
        </w:rPr>
        <w:br w:type="page"/>
      </w:r>
    </w:p>
    <w:p w14:paraId="0D73BA67" w14:textId="7E7862A1" w:rsidR="00F074D6" w:rsidRPr="00692BAC" w:rsidRDefault="007A16CD" w:rsidP="00E27B79">
      <w:pPr>
        <w:pStyle w:val="Heading1"/>
        <w:spacing w:before="0" w:line="240" w:lineRule="auto"/>
        <w:rPr>
          <w:sz w:val="24"/>
          <w:szCs w:val="24"/>
          <w:lang w:eastAsia="zh-CN"/>
        </w:rPr>
      </w:pPr>
      <w:bookmarkStart w:id="4" w:name="_Toc19110716"/>
      <w:r w:rsidRPr="00692BAC">
        <w:rPr>
          <w:sz w:val="24"/>
          <w:szCs w:val="24"/>
          <w:lang w:eastAsia="zh-CN"/>
        </w:rPr>
        <w:lastRenderedPageBreak/>
        <w:t>Team Update</w:t>
      </w:r>
      <w:r w:rsidR="00DD3D86" w:rsidRPr="00692BAC">
        <w:rPr>
          <w:sz w:val="24"/>
          <w:szCs w:val="24"/>
          <w:lang w:eastAsia="zh-CN"/>
        </w:rPr>
        <w:t>s</w:t>
      </w:r>
      <w:bookmarkEnd w:id="4"/>
    </w:p>
    <w:p w14:paraId="6A421782" w14:textId="2A97D830" w:rsidR="00F074D6" w:rsidRPr="002C3CF3" w:rsidRDefault="00241A22" w:rsidP="00DD3D86">
      <w:pPr>
        <w:spacing w:before="180"/>
        <w:jc w:val="both"/>
        <w:rPr>
          <w:sz w:val="20"/>
          <w:lang w:eastAsia="zh-CN"/>
        </w:rPr>
      </w:pPr>
      <w:r w:rsidRPr="002C3CF3">
        <w:rPr>
          <w:sz w:val="20"/>
          <w:lang w:eastAsia="zh-CN"/>
        </w:rPr>
        <w:t>Th</w:t>
      </w:r>
      <w:r w:rsidR="00DD3D86">
        <w:rPr>
          <w:sz w:val="20"/>
          <w:lang w:eastAsia="zh-CN"/>
        </w:rPr>
        <w:t>e</w:t>
      </w:r>
      <w:r w:rsidRPr="002C3CF3">
        <w:rPr>
          <w:sz w:val="20"/>
          <w:lang w:eastAsia="zh-CN"/>
        </w:rPr>
        <w:t xml:space="preserve"> 1</w:t>
      </w:r>
      <w:r w:rsidR="00331582">
        <w:rPr>
          <w:sz w:val="20"/>
          <w:lang w:eastAsia="zh-CN"/>
        </w:rPr>
        <w:t>9</w:t>
      </w:r>
      <w:r w:rsidRPr="002C3CF3">
        <w:rPr>
          <w:sz w:val="20"/>
          <w:lang w:eastAsia="zh-CN"/>
        </w:rPr>
        <w:t xml:space="preserve"> </w:t>
      </w:r>
      <w:r w:rsidR="00DD3D86">
        <w:rPr>
          <w:sz w:val="20"/>
          <w:lang w:eastAsia="zh-CN"/>
        </w:rPr>
        <w:t xml:space="preserve">team </w:t>
      </w:r>
      <w:r w:rsidRPr="002C3CF3">
        <w:rPr>
          <w:sz w:val="20"/>
          <w:lang w:eastAsia="zh-CN"/>
        </w:rPr>
        <w:t>members</w:t>
      </w:r>
      <w:r w:rsidR="00DD3D86">
        <w:rPr>
          <w:sz w:val="20"/>
          <w:lang w:eastAsia="zh-CN"/>
        </w:rPr>
        <w:t xml:space="preserve"> for this semester include</w:t>
      </w:r>
      <w:r w:rsidRPr="002C3CF3">
        <w:rPr>
          <w:sz w:val="20"/>
          <w:lang w:eastAsia="zh-CN"/>
        </w:rPr>
        <w:t xml:space="preserve"> </w:t>
      </w:r>
      <w:r w:rsidR="006B33CF">
        <w:rPr>
          <w:sz w:val="20"/>
          <w:lang w:eastAsia="zh-CN"/>
        </w:rPr>
        <w:t>11</w:t>
      </w:r>
      <w:r w:rsidRPr="002C3CF3">
        <w:rPr>
          <w:sz w:val="20"/>
          <w:lang w:eastAsia="zh-CN"/>
        </w:rPr>
        <w:t xml:space="preserve"> senior members carrying over from the previous semester and </w:t>
      </w:r>
      <w:r w:rsidR="006B33CF">
        <w:rPr>
          <w:sz w:val="20"/>
          <w:lang w:eastAsia="zh-CN"/>
        </w:rPr>
        <w:t>8</w:t>
      </w:r>
      <w:r w:rsidRPr="002C3CF3">
        <w:rPr>
          <w:sz w:val="20"/>
          <w:lang w:eastAsia="zh-CN"/>
        </w:rPr>
        <w:t xml:space="preserve"> </w:t>
      </w:r>
      <w:r w:rsidR="003C1684" w:rsidRPr="002C3CF3">
        <w:rPr>
          <w:sz w:val="20"/>
          <w:lang w:eastAsia="zh-CN"/>
        </w:rPr>
        <w:t xml:space="preserve">new </w:t>
      </w:r>
      <w:r w:rsidRPr="002C3CF3">
        <w:rPr>
          <w:sz w:val="20"/>
          <w:lang w:eastAsia="zh-CN"/>
        </w:rPr>
        <w:t xml:space="preserve">members. </w:t>
      </w:r>
      <w:r w:rsidR="00E00E74" w:rsidRPr="002C3CF3">
        <w:rPr>
          <w:sz w:val="20"/>
          <w:lang w:eastAsia="zh-CN"/>
        </w:rPr>
        <w:t xml:space="preserve">Across </w:t>
      </w:r>
      <w:r w:rsidR="0063494E">
        <w:rPr>
          <w:sz w:val="20"/>
          <w:lang w:eastAsia="zh-CN"/>
        </w:rPr>
        <w:t>the</w:t>
      </w:r>
      <w:r w:rsidR="00E00E74" w:rsidRPr="002C3CF3">
        <w:rPr>
          <w:sz w:val="20"/>
          <w:lang w:eastAsia="zh-CN"/>
        </w:rPr>
        <w:t xml:space="preserve"> teams</w:t>
      </w:r>
      <w:r w:rsidR="006D45BC">
        <w:rPr>
          <w:sz w:val="20"/>
          <w:lang w:eastAsia="zh-CN"/>
        </w:rPr>
        <w:t>,</w:t>
      </w:r>
      <w:r w:rsidR="00E00E74" w:rsidRPr="002C3CF3">
        <w:rPr>
          <w:sz w:val="20"/>
          <w:lang w:eastAsia="zh-CN"/>
        </w:rPr>
        <w:t xml:space="preserve"> we have seen senior students tak</w:t>
      </w:r>
      <w:r w:rsidR="0063494E">
        <w:rPr>
          <w:sz w:val="20"/>
          <w:lang w:eastAsia="zh-CN"/>
        </w:rPr>
        <w:t>ing</w:t>
      </w:r>
      <w:r w:rsidR="00E00E74" w:rsidRPr="002C3CF3">
        <w:rPr>
          <w:sz w:val="20"/>
          <w:lang w:eastAsia="zh-CN"/>
        </w:rPr>
        <w:t xml:space="preserve"> leadership </w:t>
      </w:r>
      <w:r w:rsidR="0063494E">
        <w:rPr>
          <w:sz w:val="20"/>
          <w:lang w:eastAsia="zh-CN"/>
        </w:rPr>
        <w:t>role</w:t>
      </w:r>
      <w:r w:rsidR="00E00E74" w:rsidRPr="002C3CF3">
        <w:rPr>
          <w:sz w:val="20"/>
          <w:lang w:eastAsia="zh-CN"/>
        </w:rPr>
        <w:t xml:space="preserve">s </w:t>
      </w:r>
      <w:r w:rsidR="00B35F2D" w:rsidRPr="002C3CF3">
        <w:rPr>
          <w:sz w:val="20"/>
          <w:lang w:eastAsia="zh-CN"/>
        </w:rPr>
        <w:t>and mentor</w:t>
      </w:r>
      <w:r w:rsidR="0063494E">
        <w:rPr>
          <w:sz w:val="20"/>
          <w:lang w:eastAsia="zh-CN"/>
        </w:rPr>
        <w:t>ing</w:t>
      </w:r>
      <w:r w:rsidR="00B35F2D" w:rsidRPr="002C3CF3">
        <w:rPr>
          <w:sz w:val="20"/>
          <w:lang w:eastAsia="zh-CN"/>
        </w:rPr>
        <w:t xml:space="preserve"> our junior</w:t>
      </w:r>
      <w:r w:rsidR="0063494E">
        <w:rPr>
          <w:sz w:val="20"/>
          <w:lang w:eastAsia="zh-CN"/>
        </w:rPr>
        <w:t xml:space="preserve"> members</w:t>
      </w:r>
      <w:r w:rsidR="00B35F2D" w:rsidRPr="002C3CF3">
        <w:rPr>
          <w:sz w:val="20"/>
          <w:lang w:eastAsia="zh-CN"/>
        </w:rPr>
        <w:t xml:space="preserve"> to ensure </w:t>
      </w:r>
      <w:r w:rsidR="0063494E">
        <w:rPr>
          <w:sz w:val="20"/>
          <w:lang w:eastAsia="zh-CN"/>
        </w:rPr>
        <w:t>the sharing of</w:t>
      </w:r>
      <w:r w:rsidR="00AC02DE" w:rsidRPr="002C3CF3">
        <w:rPr>
          <w:sz w:val="20"/>
          <w:lang w:eastAsia="zh-CN"/>
        </w:rPr>
        <w:t xml:space="preserve"> knowledge</w:t>
      </w:r>
      <w:r w:rsidR="0063494E">
        <w:rPr>
          <w:sz w:val="20"/>
          <w:lang w:eastAsia="zh-CN"/>
        </w:rPr>
        <w:t xml:space="preserve"> and</w:t>
      </w:r>
      <w:r w:rsidR="00AC02DE" w:rsidRPr="002C3CF3">
        <w:rPr>
          <w:sz w:val="20"/>
          <w:lang w:eastAsia="zh-CN"/>
        </w:rPr>
        <w:t xml:space="preserve"> experience</w:t>
      </w:r>
      <w:r w:rsidR="0072602F">
        <w:rPr>
          <w:sz w:val="20"/>
          <w:lang w:eastAsia="zh-CN"/>
        </w:rPr>
        <w:t>, and</w:t>
      </w:r>
      <w:r w:rsidR="0063494E">
        <w:rPr>
          <w:sz w:val="20"/>
          <w:lang w:eastAsia="zh-CN"/>
        </w:rPr>
        <w:t xml:space="preserve"> the</w:t>
      </w:r>
      <w:r w:rsidR="0072602F">
        <w:rPr>
          <w:sz w:val="20"/>
          <w:lang w:eastAsia="zh-CN"/>
        </w:rPr>
        <w:t xml:space="preserve"> passing down of</w:t>
      </w:r>
      <w:r w:rsidR="0063494E">
        <w:rPr>
          <w:sz w:val="20"/>
          <w:lang w:eastAsia="zh-CN"/>
        </w:rPr>
        <w:t xml:space="preserve"> </w:t>
      </w:r>
      <w:r w:rsidR="0072602F">
        <w:rPr>
          <w:sz w:val="20"/>
          <w:lang w:eastAsia="zh-CN"/>
        </w:rPr>
        <w:t xml:space="preserve">key </w:t>
      </w:r>
      <w:r w:rsidR="0063494E">
        <w:rPr>
          <w:sz w:val="20"/>
          <w:lang w:eastAsia="zh-CN"/>
        </w:rPr>
        <w:t>value</w:t>
      </w:r>
      <w:r w:rsidR="0072602F">
        <w:rPr>
          <w:sz w:val="20"/>
          <w:lang w:eastAsia="zh-CN"/>
        </w:rPr>
        <w:t>s</w:t>
      </w:r>
      <w:r w:rsidR="0063494E">
        <w:rPr>
          <w:sz w:val="20"/>
          <w:lang w:eastAsia="zh-CN"/>
        </w:rPr>
        <w:t xml:space="preserve"> of the Fund</w:t>
      </w:r>
      <w:r w:rsidR="006D45BC">
        <w:rPr>
          <w:sz w:val="20"/>
          <w:lang w:eastAsia="zh-CN"/>
        </w:rPr>
        <w:t>, which</w:t>
      </w:r>
      <w:r w:rsidR="006D45BC" w:rsidRPr="002C3CF3">
        <w:rPr>
          <w:sz w:val="20"/>
          <w:lang w:eastAsia="zh-CN"/>
        </w:rPr>
        <w:t xml:space="preserve"> facilitates continuity in our operations</w:t>
      </w:r>
      <w:r w:rsidR="00AC02DE" w:rsidRPr="002C3CF3">
        <w:rPr>
          <w:sz w:val="20"/>
          <w:lang w:eastAsia="zh-CN"/>
        </w:rPr>
        <w:t xml:space="preserve">. </w:t>
      </w:r>
      <w:r w:rsidR="00F56BE1" w:rsidRPr="002C3CF3">
        <w:rPr>
          <w:sz w:val="20"/>
          <w:lang w:eastAsia="zh-CN"/>
        </w:rPr>
        <w:t>Although th</w:t>
      </w:r>
      <w:r w:rsidR="0063494E">
        <w:rPr>
          <w:sz w:val="20"/>
          <w:lang w:eastAsia="zh-CN"/>
        </w:rPr>
        <w:t>e</w:t>
      </w:r>
      <w:r w:rsidR="00F56BE1" w:rsidRPr="002C3CF3">
        <w:rPr>
          <w:sz w:val="20"/>
          <w:lang w:eastAsia="zh-CN"/>
        </w:rPr>
        <w:t xml:space="preserve"> learning curve for </w:t>
      </w:r>
      <w:r w:rsidR="0063494E">
        <w:rPr>
          <w:sz w:val="20"/>
          <w:lang w:eastAsia="zh-CN"/>
        </w:rPr>
        <w:t>the Fund’s</w:t>
      </w:r>
      <w:r w:rsidR="00F56BE1" w:rsidRPr="002C3CF3">
        <w:rPr>
          <w:sz w:val="20"/>
          <w:lang w:eastAsia="zh-CN"/>
        </w:rPr>
        <w:t xml:space="preserve"> new members</w:t>
      </w:r>
      <w:r w:rsidR="0063494E">
        <w:rPr>
          <w:sz w:val="20"/>
          <w:lang w:eastAsia="zh-CN"/>
        </w:rPr>
        <w:t xml:space="preserve"> is steep</w:t>
      </w:r>
      <w:r w:rsidR="00F56BE1" w:rsidRPr="002C3CF3">
        <w:rPr>
          <w:sz w:val="20"/>
          <w:lang w:eastAsia="zh-CN"/>
        </w:rPr>
        <w:t xml:space="preserve">, </w:t>
      </w:r>
      <w:r w:rsidR="0063494E">
        <w:rPr>
          <w:sz w:val="20"/>
          <w:lang w:eastAsia="zh-CN"/>
        </w:rPr>
        <w:t>we are pleased to see</w:t>
      </w:r>
      <w:r w:rsidR="00DD5EF9" w:rsidRPr="002C3CF3">
        <w:rPr>
          <w:sz w:val="20"/>
          <w:lang w:eastAsia="zh-CN"/>
        </w:rPr>
        <w:t xml:space="preserve"> fresh insights and new perspectives </w:t>
      </w:r>
      <w:r w:rsidR="006D45BC">
        <w:rPr>
          <w:sz w:val="20"/>
          <w:lang w:eastAsia="zh-CN"/>
        </w:rPr>
        <w:t xml:space="preserve">being </w:t>
      </w:r>
      <w:r w:rsidR="0063494E">
        <w:rPr>
          <w:sz w:val="20"/>
          <w:lang w:eastAsia="zh-CN"/>
        </w:rPr>
        <w:t>contributed to the brainstorming process under the guidance of</w:t>
      </w:r>
      <w:r w:rsidR="004F7D92" w:rsidRPr="002C3CF3">
        <w:rPr>
          <w:sz w:val="20"/>
          <w:lang w:eastAsia="zh-CN"/>
        </w:rPr>
        <w:t xml:space="preserve"> senior </w:t>
      </w:r>
      <w:r w:rsidR="0007524F">
        <w:rPr>
          <w:sz w:val="20"/>
          <w:lang w:eastAsia="zh-CN"/>
        </w:rPr>
        <w:t>members</w:t>
      </w:r>
      <w:r w:rsidR="006D45BC">
        <w:rPr>
          <w:sz w:val="20"/>
          <w:lang w:eastAsia="zh-CN"/>
        </w:rPr>
        <w:t>.</w:t>
      </w:r>
      <w:r w:rsidR="0063494E">
        <w:rPr>
          <w:sz w:val="20"/>
          <w:lang w:eastAsia="zh-CN"/>
        </w:rPr>
        <w:t xml:space="preserve"> </w:t>
      </w:r>
      <w:r w:rsidR="006D45BC">
        <w:rPr>
          <w:sz w:val="20"/>
          <w:lang w:eastAsia="zh-CN"/>
        </w:rPr>
        <w:t>This section presents a</w:t>
      </w:r>
      <w:r w:rsidRPr="002C3CF3">
        <w:rPr>
          <w:sz w:val="20"/>
          <w:lang w:eastAsia="zh-CN"/>
        </w:rPr>
        <w:t xml:space="preserve"> brief introduction </w:t>
      </w:r>
      <w:r w:rsidR="003C1551">
        <w:rPr>
          <w:sz w:val="20"/>
          <w:lang w:eastAsia="zh-CN"/>
        </w:rPr>
        <w:t>of</w:t>
      </w:r>
      <w:r w:rsidRPr="002C3CF3">
        <w:rPr>
          <w:sz w:val="20"/>
          <w:lang w:eastAsia="zh-CN"/>
        </w:rPr>
        <w:t xml:space="preserve"> the new team members</w:t>
      </w:r>
      <w:r w:rsidR="006D45BC">
        <w:rPr>
          <w:sz w:val="20"/>
          <w:lang w:eastAsia="zh-CN"/>
        </w:rPr>
        <w:t>,</w:t>
      </w:r>
      <w:r w:rsidRPr="002C3CF3">
        <w:rPr>
          <w:sz w:val="20"/>
          <w:lang w:eastAsia="zh-CN"/>
        </w:rPr>
        <w:t xml:space="preserve"> and </w:t>
      </w:r>
      <w:r w:rsidR="006D45BC">
        <w:rPr>
          <w:sz w:val="20"/>
          <w:lang w:eastAsia="zh-CN"/>
        </w:rPr>
        <w:t xml:space="preserve">an overview of </w:t>
      </w:r>
      <w:r w:rsidR="00FF2240">
        <w:rPr>
          <w:sz w:val="20"/>
          <w:lang w:eastAsia="zh-CN"/>
        </w:rPr>
        <w:t>each sub-team’s</w:t>
      </w:r>
      <w:r w:rsidRPr="002C3CF3">
        <w:rPr>
          <w:sz w:val="20"/>
          <w:lang w:eastAsia="zh-CN"/>
        </w:rPr>
        <w:t xml:space="preserve"> task allocat</w:t>
      </w:r>
      <w:r w:rsidR="00FF2240">
        <w:rPr>
          <w:sz w:val="20"/>
          <w:lang w:eastAsia="zh-CN"/>
        </w:rPr>
        <w:t>ion</w:t>
      </w:r>
      <w:r w:rsidRPr="002C3CF3">
        <w:rPr>
          <w:sz w:val="20"/>
          <w:lang w:eastAsia="zh-CN"/>
        </w:rPr>
        <w:t xml:space="preserve">. </w:t>
      </w:r>
      <w:bookmarkStart w:id="5" w:name="_Toc524277817"/>
    </w:p>
    <w:p w14:paraId="695A5313" w14:textId="43EF2477" w:rsidR="00F074D6" w:rsidRPr="002C3CF3" w:rsidRDefault="002027BE" w:rsidP="00C32082">
      <w:pPr>
        <w:pStyle w:val="Heading2"/>
      </w:pPr>
      <w:bookmarkStart w:id="6" w:name="_Toc19110717"/>
      <w:r w:rsidRPr="002C3CF3">
        <w:t>AA Te</w:t>
      </w:r>
      <w:r w:rsidR="00AC1811">
        <w:t>a</w:t>
      </w:r>
      <w:r w:rsidRPr="002C3CF3">
        <w:t>m</w:t>
      </w:r>
      <w:bookmarkStart w:id="7" w:name="_Toc524277818"/>
      <w:bookmarkEnd w:id="5"/>
      <w:bookmarkEnd w:id="6"/>
    </w:p>
    <w:p w14:paraId="39407821" w14:textId="5C589FD0" w:rsidR="00BB64B7" w:rsidRPr="006B33CF" w:rsidRDefault="00BB64B7" w:rsidP="00BB64B7">
      <w:pPr>
        <w:spacing w:before="180"/>
        <w:jc w:val="both"/>
        <w:rPr>
          <w:sz w:val="20"/>
          <w:lang w:eastAsia="zh-CN"/>
        </w:rPr>
      </w:pPr>
      <w:bookmarkStart w:id="8" w:name="_Toc19110718"/>
      <w:r w:rsidRPr="002C3CF3">
        <w:rPr>
          <w:sz w:val="20"/>
          <w:lang w:val="en-GB" w:eastAsia="zh-CN"/>
        </w:rPr>
        <w:t>The</w:t>
      </w:r>
      <w:r>
        <w:rPr>
          <w:sz w:val="20"/>
          <w:lang w:val="en-GB" w:eastAsia="zh-CN"/>
        </w:rPr>
        <w:t xml:space="preserve"> AA team has been working</w:t>
      </w:r>
      <w:r w:rsidRPr="002C3CF3">
        <w:rPr>
          <w:sz w:val="20"/>
          <w:lang w:val="en-GB" w:eastAsia="zh-CN"/>
        </w:rPr>
        <w:t xml:space="preserve"> hard to finalis</w:t>
      </w:r>
      <w:r>
        <w:rPr>
          <w:sz w:val="20"/>
          <w:lang w:val="en-GB" w:eastAsia="zh-CN"/>
        </w:rPr>
        <w:t>e</w:t>
      </w:r>
      <w:r w:rsidRPr="002C3CF3">
        <w:rPr>
          <w:sz w:val="20"/>
          <w:lang w:val="en-GB" w:eastAsia="zh-CN"/>
        </w:rPr>
        <w:t xml:space="preserve"> </w:t>
      </w:r>
      <w:r>
        <w:rPr>
          <w:sz w:val="20"/>
          <w:lang w:val="en-GB" w:eastAsia="zh-CN"/>
        </w:rPr>
        <w:t xml:space="preserve">the </w:t>
      </w:r>
      <w:r w:rsidRPr="002C3CF3">
        <w:rPr>
          <w:sz w:val="20"/>
          <w:lang w:val="en-GB" w:eastAsia="zh-CN"/>
        </w:rPr>
        <w:t>development of the AA I</w:t>
      </w:r>
      <w:r>
        <w:rPr>
          <w:sz w:val="20"/>
          <w:lang w:val="en-GB" w:eastAsia="zh-CN"/>
        </w:rPr>
        <w:t xml:space="preserve">P, including the utility and asset class </w:t>
      </w:r>
      <w:r w:rsidRPr="002C3CF3">
        <w:rPr>
          <w:sz w:val="20"/>
          <w:lang w:val="en-GB" w:eastAsia="zh-CN"/>
        </w:rPr>
        <w:t>models.</w:t>
      </w:r>
      <w:r>
        <w:rPr>
          <w:sz w:val="20"/>
          <w:lang w:val="en-GB" w:eastAsia="zh-CN"/>
        </w:rPr>
        <w:t xml:space="preserve"> </w:t>
      </w:r>
      <w:r w:rsidR="003C1551">
        <w:rPr>
          <w:sz w:val="20"/>
          <w:lang w:val="en-GB" w:eastAsia="zh-CN"/>
        </w:rPr>
        <w:t xml:space="preserve">The team </w:t>
      </w:r>
      <w:r>
        <w:rPr>
          <w:sz w:val="20"/>
          <w:lang w:val="en-GB" w:eastAsia="zh-CN"/>
        </w:rPr>
        <w:t>ha</w:t>
      </w:r>
      <w:r w:rsidR="003C1551">
        <w:rPr>
          <w:sz w:val="20"/>
          <w:lang w:val="en-GB" w:eastAsia="zh-CN"/>
        </w:rPr>
        <w:t>s</w:t>
      </w:r>
      <w:r>
        <w:rPr>
          <w:sz w:val="20"/>
          <w:lang w:val="en-GB" w:eastAsia="zh-CN"/>
        </w:rPr>
        <w:t xml:space="preserve"> now completed a draft of the </w:t>
      </w:r>
      <w:r w:rsidR="005D696A">
        <w:rPr>
          <w:sz w:val="20"/>
          <w:lang w:val="en-GB" w:eastAsia="zh-CN"/>
        </w:rPr>
        <w:t>AA IP</w:t>
      </w:r>
      <w:r>
        <w:rPr>
          <w:sz w:val="20"/>
          <w:lang w:val="en-GB" w:eastAsia="zh-CN"/>
        </w:rPr>
        <w:t>, which will be presented and discussed at an IAC meeting on 23</w:t>
      </w:r>
      <w:r w:rsidRPr="00AA7761">
        <w:rPr>
          <w:sz w:val="20"/>
          <w:vertAlign w:val="superscript"/>
          <w:lang w:val="en-GB" w:eastAsia="zh-CN"/>
        </w:rPr>
        <w:t>rd</w:t>
      </w:r>
      <w:r w:rsidR="005D696A">
        <w:rPr>
          <w:sz w:val="20"/>
          <w:lang w:val="en-GB" w:eastAsia="zh-CN"/>
        </w:rPr>
        <w:t xml:space="preserve"> September. AA Team Leader </w:t>
      </w:r>
      <w:r>
        <w:rPr>
          <w:sz w:val="20"/>
          <w:lang w:val="en-GB" w:eastAsia="zh-CN"/>
        </w:rPr>
        <w:t xml:space="preserve">Dalton Tham and Senior Analyst Jiaqi (Karen) Mao have guided this process, with Rocky Lagudi assisting </w:t>
      </w:r>
      <w:r w:rsidRPr="002C3CF3">
        <w:rPr>
          <w:sz w:val="20"/>
          <w:lang w:val="en-GB" w:eastAsia="zh-CN"/>
        </w:rPr>
        <w:t>as junior analyst</w:t>
      </w:r>
      <w:r>
        <w:rPr>
          <w:sz w:val="20"/>
          <w:lang w:val="en-GB" w:eastAsia="zh-CN"/>
        </w:rPr>
        <w:t xml:space="preserve"> after joining the team this semester. All</w:t>
      </w:r>
      <w:r w:rsidRPr="002C3CF3">
        <w:rPr>
          <w:sz w:val="20"/>
          <w:lang w:val="en-GB" w:eastAsia="zh-CN"/>
        </w:rPr>
        <w:t xml:space="preserve"> members </w:t>
      </w:r>
      <w:r>
        <w:rPr>
          <w:sz w:val="20"/>
          <w:lang w:val="en-GB" w:eastAsia="zh-CN"/>
        </w:rPr>
        <w:t xml:space="preserve">demonstrated their </w:t>
      </w:r>
      <w:r w:rsidR="003C1551">
        <w:rPr>
          <w:sz w:val="20"/>
          <w:lang w:val="en-GB" w:eastAsia="zh-CN"/>
        </w:rPr>
        <w:t xml:space="preserve">deepening </w:t>
      </w:r>
      <w:r>
        <w:rPr>
          <w:sz w:val="20"/>
          <w:lang w:val="en-GB" w:eastAsia="zh-CN"/>
        </w:rPr>
        <w:t xml:space="preserve">understanding </w:t>
      </w:r>
      <w:r w:rsidR="003C1551">
        <w:rPr>
          <w:sz w:val="20"/>
          <w:lang w:val="en-GB" w:eastAsia="zh-CN"/>
        </w:rPr>
        <w:t xml:space="preserve">through </w:t>
      </w:r>
      <w:r>
        <w:rPr>
          <w:sz w:val="20"/>
          <w:lang w:val="en-GB" w:eastAsia="zh-CN"/>
        </w:rPr>
        <w:t xml:space="preserve">presenting the </w:t>
      </w:r>
      <w:r w:rsidRPr="002C3CF3">
        <w:rPr>
          <w:sz w:val="20"/>
          <w:lang w:val="en-GB" w:eastAsia="zh-CN"/>
        </w:rPr>
        <w:t xml:space="preserve">core </w:t>
      </w:r>
      <w:r w:rsidRPr="00E23BB0">
        <w:rPr>
          <w:sz w:val="20"/>
          <w:lang w:eastAsia="zh-CN"/>
        </w:rPr>
        <w:t xml:space="preserve">sections of the investment process to the entire SMF team, </w:t>
      </w:r>
      <w:r w:rsidR="003C1551">
        <w:rPr>
          <w:sz w:val="20"/>
          <w:lang w:eastAsia="zh-CN"/>
        </w:rPr>
        <w:t>as well as</w:t>
      </w:r>
      <w:r w:rsidR="003C1551" w:rsidRPr="00E23BB0">
        <w:rPr>
          <w:sz w:val="20"/>
          <w:lang w:eastAsia="zh-CN"/>
        </w:rPr>
        <w:t xml:space="preserve"> </w:t>
      </w:r>
      <w:r w:rsidRPr="00E23BB0">
        <w:rPr>
          <w:sz w:val="20"/>
          <w:lang w:eastAsia="zh-CN"/>
        </w:rPr>
        <w:t xml:space="preserve">contributing to </w:t>
      </w:r>
      <w:r w:rsidR="003C1551">
        <w:rPr>
          <w:sz w:val="20"/>
          <w:lang w:eastAsia="zh-CN"/>
        </w:rPr>
        <w:t>the critical analysis and solving of</w:t>
      </w:r>
      <w:r w:rsidRPr="00E23BB0">
        <w:rPr>
          <w:sz w:val="20"/>
          <w:lang w:eastAsia="zh-CN"/>
        </w:rPr>
        <w:t xml:space="preserve"> problems identified during </w:t>
      </w:r>
      <w:r w:rsidR="003C1551">
        <w:rPr>
          <w:sz w:val="20"/>
          <w:lang w:eastAsia="zh-CN"/>
        </w:rPr>
        <w:t>its</w:t>
      </w:r>
      <w:r w:rsidR="003C1551" w:rsidRPr="00E23BB0">
        <w:rPr>
          <w:sz w:val="20"/>
          <w:lang w:eastAsia="zh-CN"/>
        </w:rPr>
        <w:t xml:space="preserve"> </w:t>
      </w:r>
      <w:r w:rsidRPr="00E23BB0">
        <w:rPr>
          <w:sz w:val="20"/>
          <w:lang w:eastAsia="zh-CN"/>
        </w:rPr>
        <w:t>development</w:t>
      </w:r>
      <w:r w:rsidRPr="00E23BB0">
        <w:rPr>
          <w:sz w:val="20"/>
          <w:lang w:val="en-GB" w:eastAsia="zh-CN"/>
        </w:rPr>
        <w:t xml:space="preserve">. </w:t>
      </w:r>
      <w:r w:rsidR="005D696A">
        <w:rPr>
          <w:sz w:val="20"/>
          <w:lang w:val="en-GB" w:eastAsia="zh-CN"/>
        </w:rPr>
        <w:t>Working towards f</w:t>
      </w:r>
      <w:r w:rsidR="005D696A">
        <w:rPr>
          <w:sz w:val="20"/>
          <w:lang w:eastAsia="zh-CN"/>
        </w:rPr>
        <w:t xml:space="preserve">inalising </w:t>
      </w:r>
      <w:r w:rsidRPr="00E23BB0">
        <w:rPr>
          <w:sz w:val="20"/>
          <w:lang w:eastAsia="zh-CN"/>
        </w:rPr>
        <w:t xml:space="preserve">the </w:t>
      </w:r>
      <w:r w:rsidR="005D696A">
        <w:rPr>
          <w:sz w:val="20"/>
          <w:lang w:eastAsia="zh-CN"/>
        </w:rPr>
        <w:t>AA IP</w:t>
      </w:r>
      <w:r w:rsidRPr="00E23BB0">
        <w:rPr>
          <w:sz w:val="20"/>
          <w:lang w:eastAsia="zh-CN"/>
        </w:rPr>
        <w:t xml:space="preserve"> has been a high growth opportunity for the AA team</w:t>
      </w:r>
      <w:r w:rsidR="003C1551">
        <w:rPr>
          <w:sz w:val="20"/>
          <w:lang w:eastAsia="zh-CN"/>
        </w:rPr>
        <w:t>,</w:t>
      </w:r>
      <w:r w:rsidR="005D696A">
        <w:rPr>
          <w:sz w:val="20"/>
          <w:lang w:eastAsia="zh-CN"/>
        </w:rPr>
        <w:t xml:space="preserve"> requiring </w:t>
      </w:r>
      <w:r w:rsidRPr="00E23BB0">
        <w:rPr>
          <w:sz w:val="20"/>
          <w:lang w:eastAsia="zh-CN"/>
        </w:rPr>
        <w:t xml:space="preserve">it </w:t>
      </w:r>
      <w:r w:rsidR="005D696A">
        <w:rPr>
          <w:sz w:val="20"/>
          <w:lang w:eastAsia="zh-CN"/>
        </w:rPr>
        <w:t>to utilise</w:t>
      </w:r>
      <w:r w:rsidRPr="00E23BB0">
        <w:rPr>
          <w:sz w:val="20"/>
          <w:lang w:eastAsia="zh-CN"/>
        </w:rPr>
        <w:t xml:space="preserve"> skills and knowledge</w:t>
      </w:r>
      <w:r w:rsidR="0026315A">
        <w:rPr>
          <w:sz w:val="20"/>
          <w:lang w:eastAsia="zh-CN"/>
        </w:rPr>
        <w:t xml:space="preserve"> of </w:t>
      </w:r>
      <w:r w:rsidR="005D696A">
        <w:rPr>
          <w:sz w:val="20"/>
          <w:lang w:eastAsia="zh-CN"/>
        </w:rPr>
        <w:t xml:space="preserve">both </w:t>
      </w:r>
      <w:r w:rsidR="0026315A">
        <w:rPr>
          <w:sz w:val="20"/>
          <w:lang w:eastAsia="zh-CN"/>
        </w:rPr>
        <w:t>macroeconomics and quantitative analysis</w:t>
      </w:r>
      <w:r w:rsidRPr="00E23BB0">
        <w:rPr>
          <w:sz w:val="20"/>
          <w:lang w:eastAsia="zh-CN"/>
        </w:rPr>
        <w:t xml:space="preserve"> that are unique to the funds management industry.</w:t>
      </w:r>
      <w:r>
        <w:rPr>
          <w:sz w:val="20"/>
          <w:lang w:eastAsia="zh-CN"/>
        </w:rPr>
        <w:t xml:space="preserve">  </w:t>
      </w:r>
    </w:p>
    <w:p w14:paraId="17F66695" w14:textId="77777777" w:rsidR="002027BE" w:rsidRPr="002C3CF3" w:rsidRDefault="00293FDB" w:rsidP="00C32082">
      <w:pPr>
        <w:pStyle w:val="Heading2"/>
      </w:pPr>
      <w:r w:rsidRPr="002C3CF3">
        <w:t>AAE Team</w:t>
      </w:r>
      <w:bookmarkEnd w:id="7"/>
      <w:bookmarkEnd w:id="8"/>
    </w:p>
    <w:p w14:paraId="25DF98A7" w14:textId="0EB85BC5" w:rsidR="00EE499B" w:rsidRPr="0071646A" w:rsidRDefault="00EE499B" w:rsidP="00EE499B">
      <w:pPr>
        <w:spacing w:before="180"/>
        <w:jc w:val="both"/>
        <w:rPr>
          <w:sz w:val="20"/>
          <w:lang w:eastAsia="zh-CN"/>
        </w:rPr>
      </w:pPr>
      <w:bookmarkStart w:id="9" w:name="_Toc524277819"/>
      <w:bookmarkStart w:id="10" w:name="_Toc19110719"/>
      <w:r w:rsidRPr="00D7195F">
        <w:rPr>
          <w:sz w:val="20"/>
          <w:lang w:eastAsia="zh-CN"/>
        </w:rPr>
        <w:t>The AAE team has welcomed William Ranson-Smith, Todd O’Dea, Jia Jun Desmond Ng and Shengchang (Albert) Zhang as junior analysts</w:t>
      </w:r>
      <w:r>
        <w:rPr>
          <w:sz w:val="20"/>
          <w:lang w:eastAsia="zh-CN"/>
        </w:rPr>
        <w:t xml:space="preserve">. The new team members </w:t>
      </w:r>
      <w:r w:rsidRPr="00D7195F">
        <w:rPr>
          <w:sz w:val="20"/>
          <w:lang w:eastAsia="zh-CN"/>
        </w:rPr>
        <w:t xml:space="preserve">are </w:t>
      </w:r>
      <w:r>
        <w:rPr>
          <w:sz w:val="20"/>
          <w:lang w:eastAsia="zh-CN"/>
        </w:rPr>
        <w:t xml:space="preserve">being </w:t>
      </w:r>
      <w:r w:rsidRPr="00D7195F">
        <w:rPr>
          <w:sz w:val="20"/>
          <w:lang w:eastAsia="zh-CN"/>
        </w:rPr>
        <w:t xml:space="preserve">mentored by the retained </w:t>
      </w:r>
      <w:r>
        <w:rPr>
          <w:sz w:val="20"/>
          <w:lang w:eastAsia="zh-CN"/>
        </w:rPr>
        <w:t>team members</w:t>
      </w:r>
      <w:r w:rsidR="007168BF">
        <w:rPr>
          <w:sz w:val="20"/>
          <w:lang w:eastAsia="zh-CN"/>
        </w:rPr>
        <w:t>,</w:t>
      </w:r>
      <w:r>
        <w:rPr>
          <w:sz w:val="20"/>
          <w:lang w:eastAsia="zh-CN"/>
        </w:rPr>
        <w:t xml:space="preserve"> including AAE Team Leader </w:t>
      </w:r>
      <w:r>
        <w:rPr>
          <w:sz w:val="20"/>
          <w:lang w:val="en-GB" w:eastAsia="zh-CN"/>
        </w:rPr>
        <w:t xml:space="preserve">Luke Farrar and </w:t>
      </w:r>
      <w:r>
        <w:rPr>
          <w:sz w:val="20"/>
          <w:lang w:eastAsia="zh-CN"/>
        </w:rPr>
        <w:t>Senior Analysts</w:t>
      </w:r>
      <w:r w:rsidRPr="003E30A5">
        <w:rPr>
          <w:sz w:val="20"/>
          <w:lang w:eastAsia="zh-CN"/>
        </w:rPr>
        <w:t xml:space="preserve"> </w:t>
      </w:r>
      <w:r w:rsidRPr="00D7195F">
        <w:rPr>
          <w:sz w:val="20"/>
          <w:lang w:eastAsia="zh-CN"/>
        </w:rPr>
        <w:t>Sahibjeet Bains</w:t>
      </w:r>
      <w:r>
        <w:rPr>
          <w:sz w:val="20"/>
          <w:lang w:eastAsia="zh-CN"/>
        </w:rPr>
        <w:t>,</w:t>
      </w:r>
      <w:r>
        <w:rPr>
          <w:sz w:val="20"/>
          <w:lang w:val="en-GB" w:eastAsia="zh-CN"/>
        </w:rPr>
        <w:t xml:space="preserve"> </w:t>
      </w:r>
      <w:r w:rsidRPr="00D7195F">
        <w:rPr>
          <w:sz w:val="20"/>
          <w:lang w:eastAsia="zh-CN"/>
        </w:rPr>
        <w:t>Harrison McKenzie-McHarg, Khurshed Mehta</w:t>
      </w:r>
      <w:r>
        <w:rPr>
          <w:sz w:val="20"/>
          <w:lang w:eastAsia="zh-CN"/>
        </w:rPr>
        <w:t xml:space="preserve"> and</w:t>
      </w:r>
      <w:r w:rsidRPr="00D7195F">
        <w:rPr>
          <w:sz w:val="20"/>
          <w:lang w:eastAsia="zh-CN"/>
        </w:rPr>
        <w:t xml:space="preserve"> Lachlan Phillips</w:t>
      </w:r>
      <w:r>
        <w:rPr>
          <w:sz w:val="20"/>
          <w:lang w:eastAsia="zh-CN"/>
        </w:rPr>
        <w:t xml:space="preserve">. Over the first half of the semester, the AAE team has </w:t>
      </w:r>
      <w:r w:rsidRPr="00D7195F">
        <w:rPr>
          <w:sz w:val="20"/>
          <w:lang w:eastAsia="zh-CN"/>
        </w:rPr>
        <w:t>undertak</w:t>
      </w:r>
      <w:r>
        <w:rPr>
          <w:sz w:val="20"/>
          <w:lang w:eastAsia="zh-CN"/>
        </w:rPr>
        <w:t>en</w:t>
      </w:r>
      <w:r w:rsidRPr="00D7195F">
        <w:rPr>
          <w:sz w:val="20"/>
          <w:lang w:eastAsia="zh-CN"/>
        </w:rPr>
        <w:t xml:space="preserve"> </w:t>
      </w:r>
      <w:r>
        <w:rPr>
          <w:sz w:val="20"/>
          <w:lang w:eastAsia="zh-CN"/>
        </w:rPr>
        <w:t xml:space="preserve">candidate </w:t>
      </w:r>
      <w:r w:rsidRPr="00D7195F">
        <w:rPr>
          <w:sz w:val="20"/>
          <w:lang w:eastAsia="zh-CN"/>
        </w:rPr>
        <w:t>stock analysis</w:t>
      </w:r>
      <w:r>
        <w:rPr>
          <w:sz w:val="20"/>
          <w:lang w:eastAsia="zh-CN"/>
        </w:rPr>
        <w:t xml:space="preserve"> </w:t>
      </w:r>
      <w:r w:rsidR="005D696A">
        <w:rPr>
          <w:sz w:val="20"/>
          <w:lang w:eastAsia="zh-CN"/>
        </w:rPr>
        <w:t xml:space="preserve">to identify stocks </w:t>
      </w:r>
      <w:r w:rsidR="005D696A" w:rsidRPr="00D7195F">
        <w:rPr>
          <w:sz w:val="20"/>
          <w:lang w:eastAsia="zh-CN"/>
        </w:rPr>
        <w:t>worthy of in-depth research</w:t>
      </w:r>
      <w:r w:rsidR="005D696A">
        <w:rPr>
          <w:sz w:val="20"/>
          <w:lang w:eastAsia="zh-CN"/>
        </w:rPr>
        <w:t>, and presented them to the broader SMF team</w:t>
      </w:r>
      <w:r w:rsidRPr="00D7195F">
        <w:rPr>
          <w:sz w:val="20"/>
          <w:lang w:eastAsia="zh-CN"/>
        </w:rPr>
        <w:t xml:space="preserve">. </w:t>
      </w:r>
      <w:r w:rsidR="007168BF">
        <w:rPr>
          <w:sz w:val="20"/>
          <w:lang w:eastAsia="zh-CN"/>
        </w:rPr>
        <w:t xml:space="preserve">Members </w:t>
      </w:r>
      <w:r>
        <w:rPr>
          <w:sz w:val="20"/>
          <w:lang w:eastAsia="zh-CN"/>
        </w:rPr>
        <w:t xml:space="preserve">have selected four stocks to </w:t>
      </w:r>
      <w:r w:rsidRPr="00D7195F">
        <w:rPr>
          <w:sz w:val="20"/>
          <w:lang w:eastAsia="zh-CN"/>
        </w:rPr>
        <w:t xml:space="preserve">be </w:t>
      </w:r>
      <w:r>
        <w:rPr>
          <w:sz w:val="20"/>
          <w:lang w:eastAsia="zh-CN"/>
        </w:rPr>
        <w:t>further evaluated</w:t>
      </w:r>
      <w:r w:rsidRPr="00D7195F">
        <w:rPr>
          <w:sz w:val="20"/>
          <w:lang w:eastAsia="zh-CN"/>
        </w:rPr>
        <w:t xml:space="preserve"> </w:t>
      </w:r>
      <w:r>
        <w:rPr>
          <w:sz w:val="20"/>
          <w:lang w:eastAsia="zh-CN"/>
        </w:rPr>
        <w:t xml:space="preserve">in the second half of the </w:t>
      </w:r>
      <w:r w:rsidRPr="00D7195F">
        <w:rPr>
          <w:sz w:val="20"/>
          <w:lang w:eastAsia="zh-CN"/>
        </w:rPr>
        <w:t>semester</w:t>
      </w:r>
      <w:r>
        <w:rPr>
          <w:sz w:val="20"/>
          <w:lang w:eastAsia="zh-CN"/>
        </w:rPr>
        <w:t xml:space="preserve"> – </w:t>
      </w:r>
      <w:r w:rsidRPr="003E30A5">
        <w:rPr>
          <w:sz w:val="20"/>
          <w:lang w:eastAsia="zh-CN"/>
        </w:rPr>
        <w:t>Bellamy’s (BAL)</w:t>
      </w:r>
      <w:r>
        <w:rPr>
          <w:sz w:val="20"/>
          <w:lang w:eastAsia="zh-CN"/>
        </w:rPr>
        <w:t xml:space="preserve">, </w:t>
      </w:r>
      <w:r w:rsidRPr="003E30A5">
        <w:rPr>
          <w:sz w:val="20"/>
          <w:lang w:eastAsia="zh-CN"/>
        </w:rPr>
        <w:t>James Hardie (JHX)</w:t>
      </w:r>
      <w:r>
        <w:rPr>
          <w:sz w:val="20"/>
          <w:lang w:eastAsia="zh-CN"/>
        </w:rPr>
        <w:t xml:space="preserve">, </w:t>
      </w:r>
      <w:r w:rsidRPr="003E30A5">
        <w:rPr>
          <w:sz w:val="20"/>
          <w:lang w:eastAsia="zh-CN"/>
        </w:rPr>
        <w:t>Kathmandu (KMD)</w:t>
      </w:r>
      <w:r>
        <w:rPr>
          <w:sz w:val="20"/>
          <w:lang w:eastAsia="zh-CN"/>
        </w:rPr>
        <w:t xml:space="preserve"> and </w:t>
      </w:r>
      <w:r w:rsidRPr="003E30A5">
        <w:rPr>
          <w:sz w:val="20"/>
          <w:lang w:eastAsia="zh-CN"/>
        </w:rPr>
        <w:t>Sonic Healthcare (SHL)</w:t>
      </w:r>
      <w:r>
        <w:rPr>
          <w:sz w:val="20"/>
          <w:lang w:eastAsia="zh-CN"/>
        </w:rPr>
        <w:t>. R</w:t>
      </w:r>
      <w:r w:rsidRPr="00D7195F">
        <w:rPr>
          <w:sz w:val="20"/>
          <w:lang w:eastAsia="zh-CN"/>
        </w:rPr>
        <w:t xml:space="preserve">e-valuation of </w:t>
      </w:r>
      <w:r>
        <w:rPr>
          <w:sz w:val="20"/>
          <w:lang w:eastAsia="zh-CN"/>
        </w:rPr>
        <w:t>the Fund’s</w:t>
      </w:r>
      <w:r w:rsidRPr="00D7195F">
        <w:rPr>
          <w:sz w:val="20"/>
          <w:lang w:eastAsia="zh-CN"/>
        </w:rPr>
        <w:t xml:space="preserve"> existing holdings within the portfolio </w:t>
      </w:r>
      <w:r>
        <w:rPr>
          <w:sz w:val="20"/>
          <w:lang w:eastAsia="zh-CN"/>
        </w:rPr>
        <w:t>is</w:t>
      </w:r>
      <w:r w:rsidRPr="00D7195F">
        <w:rPr>
          <w:sz w:val="20"/>
          <w:lang w:eastAsia="zh-CN"/>
        </w:rPr>
        <w:t xml:space="preserve"> also underway as </w:t>
      </w:r>
      <w:r>
        <w:rPr>
          <w:sz w:val="20"/>
          <w:lang w:eastAsia="zh-CN"/>
        </w:rPr>
        <w:t>a</w:t>
      </w:r>
      <w:r w:rsidRPr="00D7195F">
        <w:rPr>
          <w:sz w:val="20"/>
          <w:lang w:eastAsia="zh-CN"/>
        </w:rPr>
        <w:t xml:space="preserve"> </w:t>
      </w:r>
      <w:r>
        <w:rPr>
          <w:sz w:val="20"/>
          <w:lang w:eastAsia="zh-CN"/>
        </w:rPr>
        <w:t xml:space="preserve">continuous </w:t>
      </w:r>
      <w:r w:rsidRPr="00D7195F">
        <w:rPr>
          <w:sz w:val="20"/>
          <w:lang w:eastAsia="zh-CN"/>
        </w:rPr>
        <w:t>portfolio monitoring process.</w:t>
      </w:r>
      <w:r>
        <w:rPr>
          <w:sz w:val="20"/>
          <w:lang w:eastAsia="zh-CN"/>
        </w:rPr>
        <w:t xml:space="preserve"> The AAE team also intends to review and revise its stock filtering process, assisted </w:t>
      </w:r>
      <w:r w:rsidR="00972662">
        <w:rPr>
          <w:sz w:val="20"/>
          <w:lang w:eastAsia="zh-CN"/>
        </w:rPr>
        <w:t>by having gained access to FactS</w:t>
      </w:r>
      <w:r>
        <w:rPr>
          <w:sz w:val="20"/>
          <w:lang w:eastAsia="zh-CN"/>
        </w:rPr>
        <w:t>et during the semester.</w:t>
      </w:r>
      <w:r w:rsidRPr="00D7195F">
        <w:rPr>
          <w:sz w:val="20"/>
          <w:lang w:eastAsia="zh-CN"/>
        </w:rPr>
        <w:t xml:space="preserve"> </w:t>
      </w:r>
    </w:p>
    <w:p w14:paraId="7CCB7711" w14:textId="77777777" w:rsidR="00293FDB" w:rsidRPr="002C3CF3" w:rsidRDefault="00293FDB" w:rsidP="00C32082">
      <w:pPr>
        <w:pStyle w:val="Heading2"/>
      </w:pPr>
      <w:r w:rsidRPr="002C3CF3">
        <w:t>R&amp;C Team</w:t>
      </w:r>
      <w:bookmarkEnd w:id="9"/>
      <w:bookmarkEnd w:id="10"/>
    </w:p>
    <w:p w14:paraId="1B03E6BD" w14:textId="2DA92BDE" w:rsidR="009B1539" w:rsidRPr="002C3CF3" w:rsidRDefault="009B1539" w:rsidP="009B1539">
      <w:pPr>
        <w:spacing w:before="180"/>
        <w:jc w:val="both"/>
        <w:rPr>
          <w:sz w:val="20"/>
          <w:lang w:val="en-GB" w:eastAsia="zh-CN"/>
        </w:rPr>
      </w:pPr>
      <w:bookmarkStart w:id="11" w:name="_Toc524277820"/>
      <w:r w:rsidRPr="00D40F5C">
        <w:rPr>
          <w:sz w:val="20"/>
          <w:lang w:eastAsia="zh-CN"/>
        </w:rPr>
        <w:t>Ash White and Charya Kannangara (</w:t>
      </w:r>
      <w:r w:rsidR="00575F9D">
        <w:rPr>
          <w:sz w:val="20"/>
          <w:lang w:eastAsia="zh-CN"/>
        </w:rPr>
        <w:t xml:space="preserve">shared </w:t>
      </w:r>
      <w:r w:rsidRPr="00D40F5C">
        <w:rPr>
          <w:sz w:val="20"/>
          <w:lang w:eastAsia="zh-CN"/>
        </w:rPr>
        <w:t>50%</w:t>
      </w:r>
      <w:r w:rsidR="00575F9D">
        <w:rPr>
          <w:sz w:val="20"/>
          <w:lang w:eastAsia="zh-CN"/>
        </w:rPr>
        <w:t xml:space="preserve"> with the Relationship team</w:t>
      </w:r>
      <w:r w:rsidRPr="00D40F5C">
        <w:rPr>
          <w:sz w:val="20"/>
          <w:lang w:eastAsia="zh-CN"/>
        </w:rPr>
        <w:t>) have joined the R&amp;C team as junior analysts</w:t>
      </w:r>
      <w:r>
        <w:rPr>
          <w:sz w:val="20"/>
          <w:lang w:eastAsia="zh-CN"/>
        </w:rPr>
        <w:t xml:space="preserve">, </w:t>
      </w:r>
      <w:r w:rsidRPr="00D40F5C">
        <w:rPr>
          <w:sz w:val="20"/>
          <w:lang w:eastAsia="zh-CN"/>
        </w:rPr>
        <w:t xml:space="preserve">guided by </w:t>
      </w:r>
      <w:r w:rsidR="003E30A5" w:rsidRPr="00D40F5C">
        <w:rPr>
          <w:sz w:val="20"/>
          <w:lang w:eastAsia="zh-CN"/>
        </w:rPr>
        <w:t>Chief Risk Officer</w:t>
      </w:r>
      <w:r w:rsidR="003E30A5">
        <w:rPr>
          <w:sz w:val="20"/>
          <w:lang w:eastAsia="zh-CN"/>
        </w:rPr>
        <w:t xml:space="preserve"> (CRO)</w:t>
      </w:r>
      <w:r w:rsidR="003E30A5" w:rsidRPr="00D40F5C">
        <w:rPr>
          <w:sz w:val="20"/>
          <w:lang w:eastAsia="zh-CN"/>
        </w:rPr>
        <w:t xml:space="preserve"> Shawn Lin</w:t>
      </w:r>
      <w:r w:rsidR="003E30A5">
        <w:rPr>
          <w:sz w:val="20"/>
          <w:lang w:eastAsia="zh-CN"/>
        </w:rPr>
        <w:t xml:space="preserve"> and </w:t>
      </w:r>
      <w:r w:rsidR="0063494E">
        <w:rPr>
          <w:sz w:val="20"/>
          <w:lang w:eastAsia="zh-CN"/>
        </w:rPr>
        <w:t>Senior Analyst</w:t>
      </w:r>
      <w:r w:rsidRPr="00D40F5C">
        <w:rPr>
          <w:sz w:val="20"/>
          <w:lang w:eastAsia="zh-CN"/>
        </w:rPr>
        <w:t xml:space="preserve"> Alisha Nath</w:t>
      </w:r>
      <w:r w:rsidR="003E30A5">
        <w:rPr>
          <w:sz w:val="20"/>
          <w:lang w:eastAsia="zh-CN"/>
        </w:rPr>
        <w:t>.</w:t>
      </w:r>
      <w:r>
        <w:rPr>
          <w:sz w:val="20"/>
          <w:lang w:eastAsia="zh-CN"/>
        </w:rPr>
        <w:t xml:space="preserve"> </w:t>
      </w:r>
      <w:r w:rsidR="003E30A5">
        <w:rPr>
          <w:sz w:val="20"/>
          <w:lang w:eastAsia="zh-CN"/>
        </w:rPr>
        <w:t>This semester, t</w:t>
      </w:r>
      <w:r>
        <w:rPr>
          <w:sz w:val="20"/>
          <w:lang w:eastAsia="zh-CN"/>
        </w:rPr>
        <w:t xml:space="preserve">he team has been </w:t>
      </w:r>
      <w:r w:rsidR="00615A51">
        <w:rPr>
          <w:sz w:val="20"/>
          <w:lang w:eastAsia="zh-CN"/>
        </w:rPr>
        <w:t>focus</w:t>
      </w:r>
      <w:r w:rsidR="003E30A5">
        <w:rPr>
          <w:sz w:val="20"/>
          <w:lang w:eastAsia="zh-CN"/>
        </w:rPr>
        <w:t>ing</w:t>
      </w:r>
      <w:r w:rsidR="00615A51">
        <w:rPr>
          <w:sz w:val="20"/>
          <w:lang w:eastAsia="zh-CN"/>
        </w:rPr>
        <w:t xml:space="preserve"> on</w:t>
      </w:r>
      <w:r>
        <w:rPr>
          <w:sz w:val="20"/>
          <w:lang w:eastAsia="zh-CN"/>
        </w:rPr>
        <w:t xml:space="preserve"> ensur</w:t>
      </w:r>
      <w:r w:rsidR="00615A51">
        <w:rPr>
          <w:sz w:val="20"/>
          <w:lang w:eastAsia="zh-CN"/>
        </w:rPr>
        <w:t>ing Fund</w:t>
      </w:r>
      <w:r w:rsidRPr="00D40F5C">
        <w:rPr>
          <w:sz w:val="20"/>
          <w:lang w:eastAsia="zh-CN"/>
        </w:rPr>
        <w:t xml:space="preserve"> SRI compliance</w:t>
      </w:r>
      <w:r>
        <w:rPr>
          <w:sz w:val="20"/>
          <w:lang w:eastAsia="zh-CN"/>
        </w:rPr>
        <w:t xml:space="preserve"> by completing risk evaluations throughout both</w:t>
      </w:r>
      <w:r w:rsidRPr="00D40F5C">
        <w:rPr>
          <w:sz w:val="20"/>
          <w:lang w:eastAsia="zh-CN"/>
        </w:rPr>
        <w:t xml:space="preserve"> </w:t>
      </w:r>
      <w:r>
        <w:rPr>
          <w:sz w:val="20"/>
          <w:lang w:eastAsia="zh-CN"/>
        </w:rPr>
        <w:t xml:space="preserve">the AAE stock filtering process and the </w:t>
      </w:r>
      <w:r w:rsidR="005D696A">
        <w:rPr>
          <w:sz w:val="20"/>
          <w:lang w:eastAsia="zh-CN"/>
        </w:rPr>
        <w:t>AA IP</w:t>
      </w:r>
      <w:r>
        <w:rPr>
          <w:sz w:val="20"/>
          <w:lang w:eastAsia="zh-CN"/>
        </w:rPr>
        <w:t xml:space="preserve"> development</w:t>
      </w:r>
      <w:r w:rsidRPr="00D40F5C">
        <w:rPr>
          <w:sz w:val="20"/>
          <w:lang w:eastAsia="zh-CN"/>
        </w:rPr>
        <w:t>.</w:t>
      </w:r>
      <w:r>
        <w:rPr>
          <w:sz w:val="20"/>
          <w:lang w:eastAsia="zh-CN"/>
        </w:rPr>
        <w:t xml:space="preserve"> </w:t>
      </w:r>
      <w:r w:rsidRPr="00D40F5C">
        <w:rPr>
          <w:sz w:val="20"/>
          <w:lang w:eastAsia="zh-CN"/>
        </w:rPr>
        <w:t>R&amp;C has been</w:t>
      </w:r>
      <w:r>
        <w:rPr>
          <w:sz w:val="20"/>
          <w:lang w:eastAsia="zh-CN"/>
        </w:rPr>
        <w:t xml:space="preserve"> increasing its</w:t>
      </w:r>
      <w:r w:rsidRPr="00D40F5C">
        <w:rPr>
          <w:sz w:val="20"/>
          <w:lang w:eastAsia="zh-CN"/>
        </w:rPr>
        <w:t xml:space="preserve"> collaboration</w:t>
      </w:r>
      <w:r>
        <w:rPr>
          <w:sz w:val="20"/>
          <w:lang w:eastAsia="zh-CN"/>
        </w:rPr>
        <w:t xml:space="preserve"> and involvement</w:t>
      </w:r>
      <w:r w:rsidRPr="00D40F5C">
        <w:rPr>
          <w:sz w:val="20"/>
          <w:lang w:eastAsia="zh-CN"/>
        </w:rPr>
        <w:t xml:space="preserve"> with other teams</w:t>
      </w:r>
      <w:r w:rsidR="003E30A5">
        <w:rPr>
          <w:sz w:val="20"/>
          <w:lang w:eastAsia="zh-CN"/>
        </w:rPr>
        <w:t xml:space="preserve">, </w:t>
      </w:r>
      <w:r w:rsidR="0057037C">
        <w:rPr>
          <w:sz w:val="20"/>
          <w:lang w:eastAsia="zh-CN"/>
        </w:rPr>
        <w:t>in part by attending the</w:t>
      </w:r>
      <w:r w:rsidR="00133C92">
        <w:rPr>
          <w:sz w:val="20"/>
          <w:lang w:eastAsia="zh-CN"/>
        </w:rPr>
        <w:t>ir regular</w:t>
      </w:r>
      <w:r w:rsidR="0057037C">
        <w:rPr>
          <w:sz w:val="20"/>
          <w:lang w:eastAsia="zh-CN"/>
        </w:rPr>
        <w:t xml:space="preserve"> meetings. This includes</w:t>
      </w:r>
      <w:r w:rsidR="003E30A5">
        <w:rPr>
          <w:sz w:val="20"/>
          <w:lang w:eastAsia="zh-CN"/>
        </w:rPr>
        <w:t xml:space="preserve"> commencing an initiative aimed at helping to identify and </w:t>
      </w:r>
      <w:r w:rsidR="00972662">
        <w:rPr>
          <w:sz w:val="20"/>
          <w:lang w:eastAsia="zh-CN"/>
        </w:rPr>
        <w:t>mitigate</w:t>
      </w:r>
      <w:r>
        <w:rPr>
          <w:sz w:val="20"/>
          <w:lang w:eastAsia="zh-CN"/>
        </w:rPr>
        <w:t xml:space="preserve"> </w:t>
      </w:r>
      <w:r w:rsidRPr="00D40F5C">
        <w:rPr>
          <w:sz w:val="20"/>
          <w:lang w:eastAsia="zh-CN"/>
        </w:rPr>
        <w:t>potential behaviour</w:t>
      </w:r>
      <w:r>
        <w:rPr>
          <w:sz w:val="20"/>
          <w:lang w:eastAsia="zh-CN"/>
        </w:rPr>
        <w:t>al</w:t>
      </w:r>
      <w:r w:rsidRPr="00D40F5C">
        <w:rPr>
          <w:sz w:val="20"/>
          <w:lang w:eastAsia="zh-CN"/>
        </w:rPr>
        <w:t xml:space="preserve"> risks</w:t>
      </w:r>
      <w:r w:rsidR="003E30A5">
        <w:rPr>
          <w:sz w:val="20"/>
          <w:lang w:eastAsia="zh-CN"/>
        </w:rPr>
        <w:t xml:space="preserve"> associated with </w:t>
      </w:r>
      <w:r>
        <w:rPr>
          <w:sz w:val="20"/>
          <w:lang w:eastAsia="zh-CN"/>
        </w:rPr>
        <w:t xml:space="preserve">the investment </w:t>
      </w:r>
      <w:r w:rsidRPr="00D40F5C">
        <w:rPr>
          <w:sz w:val="20"/>
          <w:lang w:eastAsia="zh-CN"/>
        </w:rPr>
        <w:t>decision</w:t>
      </w:r>
      <w:r>
        <w:rPr>
          <w:sz w:val="20"/>
          <w:lang w:eastAsia="zh-CN"/>
        </w:rPr>
        <w:t>-</w:t>
      </w:r>
      <w:r w:rsidRPr="00D40F5C">
        <w:rPr>
          <w:sz w:val="20"/>
          <w:lang w:eastAsia="zh-CN"/>
        </w:rPr>
        <w:t>making</w:t>
      </w:r>
      <w:r>
        <w:rPr>
          <w:sz w:val="20"/>
          <w:lang w:eastAsia="zh-CN"/>
        </w:rPr>
        <w:t xml:space="preserve"> process</w:t>
      </w:r>
      <w:r w:rsidRPr="00D40F5C">
        <w:rPr>
          <w:sz w:val="20"/>
          <w:lang w:eastAsia="zh-CN"/>
        </w:rPr>
        <w:t xml:space="preserve">. Additionally, Shawn and Ashley have been working on the </w:t>
      </w:r>
      <w:r>
        <w:rPr>
          <w:sz w:val="20"/>
          <w:lang w:eastAsia="zh-CN"/>
        </w:rPr>
        <w:t xml:space="preserve">advancement </w:t>
      </w:r>
      <w:r w:rsidRPr="00D40F5C">
        <w:rPr>
          <w:sz w:val="20"/>
          <w:lang w:eastAsia="zh-CN"/>
        </w:rPr>
        <w:t>of the performance attribution model</w:t>
      </w:r>
      <w:r>
        <w:rPr>
          <w:sz w:val="20"/>
          <w:lang w:eastAsia="zh-CN"/>
        </w:rPr>
        <w:t xml:space="preserve"> </w:t>
      </w:r>
      <w:r w:rsidR="0057037C">
        <w:rPr>
          <w:sz w:val="20"/>
          <w:lang w:eastAsia="zh-CN"/>
        </w:rPr>
        <w:t xml:space="preserve">and </w:t>
      </w:r>
      <w:r>
        <w:rPr>
          <w:sz w:val="20"/>
          <w:lang w:eastAsia="zh-CN"/>
        </w:rPr>
        <w:t>enhance</w:t>
      </w:r>
      <w:r w:rsidR="0057037C">
        <w:rPr>
          <w:sz w:val="20"/>
          <w:lang w:eastAsia="zh-CN"/>
        </w:rPr>
        <w:t>ment of</w:t>
      </w:r>
      <w:r>
        <w:rPr>
          <w:sz w:val="20"/>
          <w:lang w:eastAsia="zh-CN"/>
        </w:rPr>
        <w:t xml:space="preserve"> the Fund’s portfolio monitoring process</w:t>
      </w:r>
      <w:r w:rsidRPr="00D40F5C">
        <w:rPr>
          <w:sz w:val="20"/>
          <w:lang w:eastAsia="zh-CN"/>
        </w:rPr>
        <w:t>.</w:t>
      </w:r>
    </w:p>
    <w:p w14:paraId="36814FE3" w14:textId="77777777" w:rsidR="00293FDB" w:rsidRPr="002C3CF3" w:rsidRDefault="00293FDB" w:rsidP="00C32082">
      <w:pPr>
        <w:pStyle w:val="Heading2"/>
        <w:rPr>
          <w:sz w:val="20"/>
        </w:rPr>
      </w:pPr>
      <w:bookmarkStart w:id="12" w:name="_Toc19110720"/>
      <w:r w:rsidRPr="002C3CF3">
        <w:t>Relationship Team</w:t>
      </w:r>
      <w:bookmarkEnd w:id="11"/>
      <w:bookmarkEnd w:id="12"/>
    </w:p>
    <w:p w14:paraId="23C7D0B1" w14:textId="7FCA154D" w:rsidR="00A47E3C" w:rsidRPr="002C3CF3" w:rsidRDefault="009B1539" w:rsidP="009B1539">
      <w:pPr>
        <w:spacing w:before="180"/>
        <w:jc w:val="both"/>
        <w:rPr>
          <w:sz w:val="20"/>
          <w:lang w:eastAsia="zh-CN"/>
        </w:rPr>
      </w:pPr>
      <w:r w:rsidRPr="007F7768">
        <w:rPr>
          <w:sz w:val="20"/>
          <w:lang w:eastAsia="zh-CN"/>
        </w:rPr>
        <w:t>The Relationship team has welcomed Yanfei</w:t>
      </w:r>
      <w:r>
        <w:rPr>
          <w:sz w:val="20"/>
          <w:lang w:eastAsia="zh-CN"/>
        </w:rPr>
        <w:t xml:space="preserve"> (Victoria)</w:t>
      </w:r>
      <w:r w:rsidRPr="007F7768">
        <w:rPr>
          <w:sz w:val="20"/>
          <w:lang w:eastAsia="zh-CN"/>
        </w:rPr>
        <w:t xml:space="preserve"> Rao and Charya Kannangara (</w:t>
      </w:r>
      <w:r w:rsidR="00575F9D">
        <w:rPr>
          <w:sz w:val="20"/>
          <w:lang w:eastAsia="zh-CN"/>
        </w:rPr>
        <w:t xml:space="preserve">shared </w:t>
      </w:r>
      <w:r w:rsidRPr="007F7768">
        <w:rPr>
          <w:sz w:val="20"/>
          <w:lang w:eastAsia="zh-CN"/>
        </w:rPr>
        <w:t>50%</w:t>
      </w:r>
      <w:r w:rsidR="00575F9D">
        <w:rPr>
          <w:sz w:val="20"/>
          <w:lang w:eastAsia="zh-CN"/>
        </w:rPr>
        <w:t xml:space="preserve"> with R&amp;C</w:t>
      </w:r>
      <w:r w:rsidRPr="007F7768">
        <w:rPr>
          <w:sz w:val="20"/>
          <w:lang w:eastAsia="zh-CN"/>
        </w:rPr>
        <w:t xml:space="preserve">), who operate under the guidance of the Fund’s </w:t>
      </w:r>
      <w:r w:rsidR="0057037C">
        <w:rPr>
          <w:sz w:val="20"/>
          <w:lang w:eastAsia="zh-CN"/>
        </w:rPr>
        <w:t xml:space="preserve">inaugural </w:t>
      </w:r>
      <w:r w:rsidRPr="007F7768">
        <w:rPr>
          <w:sz w:val="20"/>
          <w:lang w:eastAsia="zh-CN"/>
        </w:rPr>
        <w:t>Relationship</w:t>
      </w:r>
      <w:r w:rsidR="00615A51">
        <w:rPr>
          <w:sz w:val="20"/>
          <w:lang w:eastAsia="zh-CN"/>
        </w:rPr>
        <w:t xml:space="preserve"> </w:t>
      </w:r>
      <w:r w:rsidR="0057037C">
        <w:rPr>
          <w:sz w:val="20"/>
          <w:lang w:eastAsia="zh-CN"/>
        </w:rPr>
        <w:t>Manager,</w:t>
      </w:r>
      <w:r w:rsidR="00615A51" w:rsidRPr="007F7768">
        <w:rPr>
          <w:sz w:val="20"/>
          <w:lang w:eastAsia="zh-CN"/>
        </w:rPr>
        <w:t xml:space="preserve"> </w:t>
      </w:r>
      <w:r w:rsidRPr="007F7768">
        <w:rPr>
          <w:sz w:val="20"/>
          <w:lang w:eastAsia="zh-CN"/>
        </w:rPr>
        <w:t xml:space="preserve">Sophie Lebang. The team has been working hard on the establishment and </w:t>
      </w:r>
      <w:r>
        <w:rPr>
          <w:sz w:val="20"/>
          <w:lang w:eastAsia="zh-CN"/>
        </w:rPr>
        <w:t>expansion</w:t>
      </w:r>
      <w:r w:rsidRPr="007F7768">
        <w:rPr>
          <w:sz w:val="20"/>
          <w:lang w:eastAsia="zh-CN"/>
        </w:rPr>
        <w:t xml:space="preserve"> of the SMF’s external communications, including the launch of an official SMF website in addition to </w:t>
      </w:r>
      <w:r w:rsidR="0057037C">
        <w:rPr>
          <w:sz w:val="20"/>
          <w:lang w:eastAsia="zh-CN"/>
        </w:rPr>
        <w:t xml:space="preserve">building </w:t>
      </w:r>
      <w:r w:rsidRPr="007F7768">
        <w:rPr>
          <w:sz w:val="20"/>
          <w:lang w:eastAsia="zh-CN"/>
        </w:rPr>
        <w:t xml:space="preserve">social media presences </w:t>
      </w:r>
      <w:r w:rsidR="0057037C">
        <w:rPr>
          <w:sz w:val="20"/>
          <w:lang w:eastAsia="zh-CN"/>
        </w:rPr>
        <w:t>via</w:t>
      </w:r>
      <w:r w:rsidRPr="007F7768">
        <w:rPr>
          <w:sz w:val="20"/>
          <w:lang w:eastAsia="zh-CN"/>
        </w:rPr>
        <w:t xml:space="preserve"> both LinkedIn and Facebook. </w:t>
      </w:r>
      <w:r w:rsidR="00972662">
        <w:rPr>
          <w:sz w:val="20"/>
          <w:lang w:eastAsia="zh-CN"/>
        </w:rPr>
        <w:t xml:space="preserve">(The links appear on page 12 – we welcome you to check them out.) </w:t>
      </w:r>
      <w:r w:rsidRPr="007F7768">
        <w:rPr>
          <w:sz w:val="20"/>
          <w:lang w:eastAsia="zh-CN"/>
        </w:rPr>
        <w:t xml:space="preserve">These developments are </w:t>
      </w:r>
      <w:r w:rsidR="0057037C">
        <w:rPr>
          <w:sz w:val="20"/>
          <w:lang w:eastAsia="zh-CN"/>
        </w:rPr>
        <w:t xml:space="preserve">a </w:t>
      </w:r>
      <w:r w:rsidRPr="007F7768">
        <w:rPr>
          <w:sz w:val="20"/>
          <w:lang w:eastAsia="zh-CN"/>
        </w:rPr>
        <w:t>key contribut</w:t>
      </w:r>
      <w:r w:rsidR="0057037C">
        <w:rPr>
          <w:sz w:val="20"/>
          <w:lang w:eastAsia="zh-CN"/>
        </w:rPr>
        <w:t>ion</w:t>
      </w:r>
      <w:r w:rsidRPr="007F7768">
        <w:rPr>
          <w:sz w:val="20"/>
          <w:lang w:eastAsia="zh-CN"/>
        </w:rPr>
        <w:t xml:space="preserve"> towards the legacy of the SMF, particularly in terms of </w:t>
      </w:r>
      <w:r>
        <w:rPr>
          <w:sz w:val="20"/>
          <w:lang w:eastAsia="zh-CN"/>
        </w:rPr>
        <w:t>building</w:t>
      </w:r>
      <w:r w:rsidRPr="007F7768">
        <w:rPr>
          <w:sz w:val="20"/>
          <w:lang w:eastAsia="zh-CN"/>
        </w:rPr>
        <w:t xml:space="preserve"> </w:t>
      </w:r>
      <w:r>
        <w:rPr>
          <w:sz w:val="20"/>
          <w:lang w:eastAsia="zh-CN"/>
        </w:rPr>
        <w:t xml:space="preserve">public </w:t>
      </w:r>
      <w:r w:rsidRPr="007F7768">
        <w:rPr>
          <w:sz w:val="20"/>
          <w:lang w:eastAsia="zh-CN"/>
        </w:rPr>
        <w:t>awareness</w:t>
      </w:r>
      <w:r>
        <w:rPr>
          <w:sz w:val="20"/>
          <w:lang w:eastAsia="zh-CN"/>
        </w:rPr>
        <w:t xml:space="preserve"> of the Fund</w:t>
      </w:r>
      <w:r w:rsidRPr="007F7768">
        <w:rPr>
          <w:sz w:val="20"/>
          <w:lang w:eastAsia="zh-CN"/>
        </w:rPr>
        <w:t xml:space="preserve"> both inside and outside of the </w:t>
      </w:r>
      <w:r w:rsidR="0057037C">
        <w:rPr>
          <w:sz w:val="20"/>
          <w:lang w:eastAsia="zh-CN"/>
        </w:rPr>
        <w:t>U</w:t>
      </w:r>
      <w:r w:rsidRPr="007F7768">
        <w:rPr>
          <w:sz w:val="20"/>
          <w:lang w:eastAsia="zh-CN"/>
        </w:rPr>
        <w:t xml:space="preserve">niversity. In addition, the Relationship </w:t>
      </w:r>
      <w:r w:rsidR="00512324">
        <w:rPr>
          <w:sz w:val="20"/>
          <w:lang w:eastAsia="zh-CN"/>
        </w:rPr>
        <w:t>t</w:t>
      </w:r>
      <w:r w:rsidRPr="007F7768">
        <w:rPr>
          <w:sz w:val="20"/>
          <w:lang w:eastAsia="zh-CN"/>
        </w:rPr>
        <w:t xml:space="preserve">eam </w:t>
      </w:r>
      <w:r w:rsidR="00972662">
        <w:rPr>
          <w:sz w:val="20"/>
          <w:lang w:eastAsia="zh-CN"/>
        </w:rPr>
        <w:t>continues to provide</w:t>
      </w:r>
      <w:r w:rsidRPr="007F7768">
        <w:rPr>
          <w:sz w:val="20"/>
          <w:lang w:eastAsia="zh-CN"/>
        </w:rPr>
        <w:t xml:space="preserve"> ongoing administrative support to the Fund through the preparation of </w:t>
      </w:r>
      <w:r w:rsidR="0057037C">
        <w:rPr>
          <w:sz w:val="20"/>
          <w:lang w:eastAsia="zh-CN"/>
        </w:rPr>
        <w:t xml:space="preserve">minutes to the </w:t>
      </w:r>
      <w:r w:rsidRPr="007F7768">
        <w:rPr>
          <w:sz w:val="20"/>
          <w:lang w:eastAsia="zh-CN"/>
        </w:rPr>
        <w:t>weekly meeting</w:t>
      </w:r>
      <w:r w:rsidR="0057037C">
        <w:rPr>
          <w:sz w:val="20"/>
          <w:lang w:eastAsia="zh-CN"/>
        </w:rPr>
        <w:t>s</w:t>
      </w:r>
      <w:r w:rsidRPr="007F7768">
        <w:rPr>
          <w:sz w:val="20"/>
          <w:lang w:eastAsia="zh-CN"/>
        </w:rPr>
        <w:t xml:space="preserve">, portfolio updates and </w:t>
      </w:r>
      <w:r w:rsidR="0057037C">
        <w:rPr>
          <w:sz w:val="20"/>
          <w:lang w:eastAsia="zh-CN"/>
        </w:rPr>
        <w:t>ge</w:t>
      </w:r>
      <w:r w:rsidR="005E4ACB">
        <w:rPr>
          <w:sz w:val="20"/>
          <w:lang w:eastAsia="zh-CN"/>
        </w:rPr>
        <w:t>n</w:t>
      </w:r>
      <w:r w:rsidR="0057037C">
        <w:rPr>
          <w:sz w:val="20"/>
          <w:lang w:eastAsia="zh-CN"/>
        </w:rPr>
        <w:t xml:space="preserve">erating </w:t>
      </w:r>
      <w:r w:rsidR="00972662">
        <w:rPr>
          <w:sz w:val="20"/>
          <w:lang w:eastAsia="zh-CN"/>
        </w:rPr>
        <w:t>SMF r</w:t>
      </w:r>
      <w:r w:rsidRPr="007F7768">
        <w:rPr>
          <w:sz w:val="20"/>
          <w:lang w:eastAsia="zh-CN"/>
        </w:rPr>
        <w:t>eports.</w:t>
      </w:r>
    </w:p>
    <w:p w14:paraId="2E7AD6DB" w14:textId="792F4023" w:rsidR="006235D5" w:rsidRPr="00692BAC" w:rsidRDefault="006235D5" w:rsidP="00C32082">
      <w:pPr>
        <w:pStyle w:val="Heading2"/>
        <w:rPr>
          <w:sz w:val="24"/>
          <w:szCs w:val="24"/>
        </w:rPr>
      </w:pPr>
      <w:bookmarkStart w:id="13" w:name="_Toc19110721"/>
      <w:r w:rsidRPr="00692BAC">
        <w:rPr>
          <w:sz w:val="24"/>
          <w:szCs w:val="24"/>
        </w:rPr>
        <w:lastRenderedPageBreak/>
        <w:t>SMF Team</w:t>
      </w:r>
      <w:r w:rsidR="006479D1" w:rsidRPr="00692BAC">
        <w:rPr>
          <w:sz w:val="24"/>
          <w:szCs w:val="24"/>
        </w:rPr>
        <w:t xml:space="preserve"> </w:t>
      </w:r>
      <w:r w:rsidR="00051540" w:rsidRPr="00692BAC">
        <w:rPr>
          <w:sz w:val="24"/>
          <w:szCs w:val="24"/>
        </w:rPr>
        <w:t xml:space="preserve">- </w:t>
      </w:r>
      <w:r w:rsidR="006479D1" w:rsidRPr="00692BAC">
        <w:rPr>
          <w:sz w:val="24"/>
          <w:szCs w:val="24"/>
        </w:rPr>
        <w:t>Photo</w:t>
      </w:r>
      <w:r w:rsidR="00051540" w:rsidRPr="00692BAC">
        <w:rPr>
          <w:sz w:val="24"/>
          <w:szCs w:val="24"/>
        </w:rPr>
        <w:t xml:space="preserve"> and Roles</w:t>
      </w:r>
      <w:bookmarkEnd w:id="13"/>
    </w:p>
    <w:p w14:paraId="399162CE" w14:textId="1E397F49" w:rsidR="00A47E3C" w:rsidRPr="002C3CF3" w:rsidRDefault="006F1C63" w:rsidP="00A250F3">
      <w:pPr>
        <w:rPr>
          <w:sz w:val="20"/>
          <w:lang w:eastAsia="zh-CN"/>
        </w:rPr>
      </w:pPr>
      <w:r w:rsidRPr="00285D30">
        <w:rPr>
          <w:noProof/>
          <w:lang w:eastAsia="en-AU"/>
        </w:rPr>
        <w:drawing>
          <wp:anchor distT="0" distB="0" distL="114300" distR="114300" simplePos="0" relativeHeight="251696128" behindDoc="1" locked="0" layoutInCell="1" allowOverlap="1" wp14:anchorId="1A12FC2F" wp14:editId="03E15084">
            <wp:simplePos x="0" y="0"/>
            <wp:positionH relativeFrom="column">
              <wp:posOffset>-56515</wp:posOffset>
            </wp:positionH>
            <wp:positionV relativeFrom="paragraph">
              <wp:posOffset>154367</wp:posOffset>
            </wp:positionV>
            <wp:extent cx="6097270" cy="3048635"/>
            <wp:effectExtent l="0" t="0" r="0" b="0"/>
            <wp:wrapTight wrapText="bothSides">
              <wp:wrapPolygon edited="0">
                <wp:start x="0" y="0"/>
                <wp:lineTo x="0" y="21506"/>
                <wp:lineTo x="21551" y="21506"/>
                <wp:lineTo x="215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T8A053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270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972BE" w14:textId="77777777" w:rsidR="006F1C63" w:rsidRDefault="006F1C63" w:rsidP="000F7800">
      <w:pPr>
        <w:ind w:left="2250" w:right="602" w:hanging="1620"/>
        <w:rPr>
          <w:i/>
          <w:sz w:val="20"/>
          <w:lang w:eastAsia="zh-CN"/>
        </w:rPr>
      </w:pPr>
    </w:p>
    <w:p w14:paraId="19884B1C" w14:textId="1D6691E6" w:rsidR="00A47E3C" w:rsidRPr="00AC3240" w:rsidRDefault="000324E2" w:rsidP="000F7800">
      <w:pPr>
        <w:ind w:left="2250" w:right="602" w:hanging="1620"/>
        <w:rPr>
          <w:i/>
          <w:sz w:val="20"/>
          <w:lang w:val="en-GB" w:eastAsia="zh-CN"/>
        </w:rPr>
      </w:pPr>
      <w:r w:rsidRPr="00AC3240">
        <w:rPr>
          <w:i/>
          <w:sz w:val="20"/>
          <w:lang w:eastAsia="zh-CN"/>
        </w:rPr>
        <w:t>Bottom</w:t>
      </w:r>
      <w:r w:rsidR="00041423" w:rsidRPr="00AC3240">
        <w:rPr>
          <w:i/>
          <w:sz w:val="20"/>
          <w:lang w:eastAsia="zh-CN"/>
        </w:rPr>
        <w:t xml:space="preserve"> Row (L-R): </w:t>
      </w:r>
      <w:r w:rsidR="00124134">
        <w:rPr>
          <w:i/>
          <w:sz w:val="20"/>
          <w:lang w:eastAsia="zh-CN"/>
        </w:rPr>
        <w:t xml:space="preserve"> </w:t>
      </w:r>
      <w:r w:rsidR="00041423" w:rsidRPr="00AC3240">
        <w:rPr>
          <w:i/>
          <w:sz w:val="20"/>
          <w:lang w:eastAsia="zh-CN"/>
        </w:rPr>
        <w:t>Anna von Reibnitz</w:t>
      </w:r>
      <w:r w:rsidR="00F02423">
        <w:rPr>
          <w:i/>
          <w:sz w:val="20"/>
          <w:lang w:eastAsia="zh-CN"/>
        </w:rPr>
        <w:t xml:space="preserve"> (Course Convenor)</w:t>
      </w:r>
      <w:r w:rsidR="009C1BFE" w:rsidRPr="00AC3240">
        <w:rPr>
          <w:i/>
          <w:sz w:val="20"/>
          <w:lang w:eastAsia="zh-CN"/>
        </w:rPr>
        <w:t xml:space="preserve">, </w:t>
      </w:r>
      <w:r w:rsidR="00515D3D">
        <w:rPr>
          <w:i/>
          <w:sz w:val="20"/>
          <w:lang w:eastAsia="zh-CN"/>
        </w:rPr>
        <w:t xml:space="preserve">Ash White, </w:t>
      </w:r>
      <w:r w:rsidR="00515D3D" w:rsidRPr="00515D3D">
        <w:rPr>
          <w:i/>
          <w:sz w:val="20"/>
          <w:lang w:val="en-GB" w:eastAsia="zh-CN"/>
        </w:rPr>
        <w:t>Rocky Lagudi</w:t>
      </w:r>
      <w:r w:rsidR="00515D3D">
        <w:rPr>
          <w:i/>
          <w:sz w:val="20"/>
          <w:lang w:val="en-GB" w:eastAsia="zh-CN"/>
        </w:rPr>
        <w:t xml:space="preserve">, Luke Farrar, </w:t>
      </w:r>
      <w:r w:rsidR="00200E8D" w:rsidRPr="00AC3240">
        <w:rPr>
          <w:i/>
          <w:sz w:val="20"/>
          <w:lang w:val="en-GB" w:eastAsia="zh-CN"/>
        </w:rPr>
        <w:t>Alaina Warwick</w:t>
      </w:r>
      <w:r w:rsidR="00124134">
        <w:rPr>
          <w:i/>
          <w:sz w:val="20"/>
          <w:lang w:val="en-GB" w:eastAsia="zh-CN"/>
        </w:rPr>
        <w:t xml:space="preserve">, </w:t>
      </w:r>
      <w:r w:rsidR="00515D3D" w:rsidRPr="00515D3D">
        <w:rPr>
          <w:i/>
          <w:sz w:val="20"/>
          <w:lang w:val="en-GB" w:eastAsia="zh-CN"/>
        </w:rPr>
        <w:t>Lachlan Phillips</w:t>
      </w:r>
      <w:r w:rsidR="00515D3D">
        <w:rPr>
          <w:i/>
          <w:sz w:val="20"/>
          <w:lang w:val="en-GB" w:eastAsia="zh-CN"/>
        </w:rPr>
        <w:t xml:space="preserve">, </w:t>
      </w:r>
      <w:r w:rsidR="00515D3D" w:rsidRPr="00515D3D">
        <w:rPr>
          <w:i/>
          <w:sz w:val="20"/>
          <w:lang w:val="en-GB" w:eastAsia="zh-CN"/>
        </w:rPr>
        <w:t>Todd O’Dea</w:t>
      </w:r>
      <w:r w:rsidR="00515D3D">
        <w:rPr>
          <w:i/>
          <w:sz w:val="20"/>
          <w:lang w:val="en-GB" w:eastAsia="zh-CN"/>
        </w:rPr>
        <w:t>, Yanfei (Victoria) Rao,</w:t>
      </w:r>
      <w:r w:rsidR="00515D3D" w:rsidRPr="00515D3D">
        <w:rPr>
          <w:i/>
          <w:sz w:val="20"/>
          <w:lang w:val="en-GB" w:eastAsia="zh-CN"/>
        </w:rPr>
        <w:t xml:space="preserve"> </w:t>
      </w:r>
      <w:r w:rsidR="00515D3D" w:rsidRPr="00AC3240">
        <w:rPr>
          <w:i/>
          <w:sz w:val="20"/>
          <w:lang w:val="en-GB" w:eastAsia="zh-CN"/>
        </w:rPr>
        <w:t>Jiaqi (Karen) Mao</w:t>
      </w:r>
      <w:r w:rsidR="00515D3D">
        <w:rPr>
          <w:i/>
          <w:sz w:val="20"/>
          <w:lang w:val="en-GB" w:eastAsia="zh-CN"/>
        </w:rPr>
        <w:t xml:space="preserve">, </w:t>
      </w:r>
      <w:r w:rsidR="00515D3D" w:rsidRPr="00515D3D">
        <w:rPr>
          <w:i/>
          <w:sz w:val="20"/>
          <w:lang w:val="en-GB" w:eastAsia="zh-CN"/>
        </w:rPr>
        <w:t>Jia Jun Desmond Ng</w:t>
      </w:r>
      <w:r w:rsidR="00E97758" w:rsidRPr="00AC3240">
        <w:rPr>
          <w:i/>
          <w:sz w:val="20"/>
          <w:lang w:val="en-GB" w:eastAsia="zh-CN"/>
        </w:rPr>
        <w:t xml:space="preserve">. </w:t>
      </w:r>
    </w:p>
    <w:p w14:paraId="407ACEDA" w14:textId="632BD1F5" w:rsidR="00AD6938" w:rsidRPr="00AC3240" w:rsidRDefault="00E97758" w:rsidP="00957E37">
      <w:pPr>
        <w:spacing w:before="60"/>
        <w:ind w:left="2250" w:right="605" w:hanging="1627"/>
        <w:rPr>
          <w:i/>
          <w:sz w:val="20"/>
          <w:lang w:val="en-GB" w:eastAsia="zh-CN"/>
        </w:rPr>
      </w:pPr>
      <w:r w:rsidRPr="00AC3240">
        <w:rPr>
          <w:i/>
          <w:sz w:val="20"/>
          <w:lang w:val="en-GB" w:eastAsia="zh-CN"/>
        </w:rPr>
        <w:t xml:space="preserve">Middle Row (L-R): </w:t>
      </w:r>
      <w:r w:rsidR="00124134">
        <w:rPr>
          <w:i/>
          <w:sz w:val="20"/>
          <w:lang w:val="en-GB" w:eastAsia="zh-CN"/>
        </w:rPr>
        <w:t xml:space="preserve"> </w:t>
      </w:r>
      <w:r w:rsidR="00515D3D" w:rsidRPr="00AC3240">
        <w:rPr>
          <w:i/>
          <w:sz w:val="20"/>
          <w:lang w:val="en-GB" w:eastAsia="zh-CN"/>
        </w:rPr>
        <w:t>Alisha Nath</w:t>
      </w:r>
      <w:r w:rsidR="00AD6938" w:rsidRPr="00AC3240">
        <w:rPr>
          <w:i/>
          <w:sz w:val="20"/>
          <w:lang w:val="en-GB" w:eastAsia="zh-CN"/>
        </w:rPr>
        <w:t xml:space="preserve">. </w:t>
      </w:r>
    </w:p>
    <w:p w14:paraId="4CA906C7" w14:textId="584B0970" w:rsidR="000324E2" w:rsidRPr="00AC3240" w:rsidRDefault="000324E2" w:rsidP="00957E37">
      <w:pPr>
        <w:spacing w:before="60"/>
        <w:ind w:left="2250" w:right="605" w:hanging="1627"/>
        <w:rPr>
          <w:i/>
          <w:sz w:val="20"/>
          <w:lang w:val="en-GB" w:eastAsia="zh-CN"/>
        </w:rPr>
      </w:pPr>
      <w:r w:rsidRPr="00AC3240">
        <w:rPr>
          <w:i/>
          <w:sz w:val="20"/>
          <w:lang w:val="en-GB" w:eastAsia="zh-CN"/>
        </w:rPr>
        <w:t xml:space="preserve">Top Row (L-R): </w:t>
      </w:r>
      <w:r w:rsidR="00124134">
        <w:rPr>
          <w:i/>
          <w:sz w:val="20"/>
          <w:lang w:val="en-GB" w:eastAsia="zh-CN"/>
        </w:rPr>
        <w:t xml:space="preserve">      </w:t>
      </w:r>
      <w:r w:rsidR="00515D3D" w:rsidRPr="00515D3D">
        <w:rPr>
          <w:i/>
          <w:sz w:val="20"/>
          <w:lang w:val="en-GB" w:eastAsia="zh-CN"/>
        </w:rPr>
        <w:t>William Ranson-Smith</w:t>
      </w:r>
      <w:r w:rsidR="00515D3D">
        <w:rPr>
          <w:i/>
          <w:sz w:val="20"/>
          <w:lang w:val="en-GB" w:eastAsia="zh-CN"/>
        </w:rPr>
        <w:t>,</w:t>
      </w:r>
      <w:r w:rsidR="00515D3D" w:rsidRPr="00515D3D">
        <w:rPr>
          <w:i/>
          <w:sz w:val="20"/>
          <w:lang w:val="en-GB" w:eastAsia="zh-CN"/>
        </w:rPr>
        <w:t xml:space="preserve"> </w:t>
      </w:r>
      <w:r w:rsidR="00515D3D">
        <w:rPr>
          <w:i/>
          <w:sz w:val="20"/>
          <w:lang w:val="en-GB" w:eastAsia="zh-CN"/>
        </w:rPr>
        <w:t>Chaoqi (</w:t>
      </w:r>
      <w:r w:rsidR="00515D3D" w:rsidRPr="00AC3240">
        <w:rPr>
          <w:i/>
          <w:sz w:val="20"/>
          <w:lang w:val="en-GB" w:eastAsia="zh-CN"/>
        </w:rPr>
        <w:t>Shawn</w:t>
      </w:r>
      <w:r w:rsidR="00515D3D">
        <w:rPr>
          <w:i/>
          <w:sz w:val="20"/>
          <w:lang w:val="en-GB" w:eastAsia="zh-CN"/>
        </w:rPr>
        <w:t>)</w:t>
      </w:r>
      <w:r w:rsidR="00515D3D" w:rsidRPr="00AC3240">
        <w:rPr>
          <w:i/>
          <w:sz w:val="20"/>
          <w:lang w:val="en-GB" w:eastAsia="zh-CN"/>
        </w:rPr>
        <w:t xml:space="preserve"> Lin</w:t>
      </w:r>
      <w:r w:rsidR="00515D3D">
        <w:rPr>
          <w:i/>
          <w:sz w:val="20"/>
          <w:lang w:val="en-GB" w:eastAsia="zh-CN"/>
        </w:rPr>
        <w:t>,</w:t>
      </w:r>
      <w:r w:rsidR="00515D3D" w:rsidRPr="00515D3D">
        <w:rPr>
          <w:rFonts w:ascii="Arial" w:eastAsia="SimSun" w:hAnsi="Arial" w:cs="Arial"/>
          <w:color w:val="000000"/>
          <w:sz w:val="22"/>
          <w:szCs w:val="22"/>
          <w:lang w:val="en-GB"/>
        </w:rPr>
        <w:t xml:space="preserve"> </w:t>
      </w:r>
      <w:r w:rsidR="00515D3D" w:rsidRPr="00515D3D">
        <w:rPr>
          <w:i/>
          <w:sz w:val="20"/>
          <w:lang w:val="en-GB" w:eastAsia="zh-CN"/>
        </w:rPr>
        <w:t>Dalton Tham</w:t>
      </w:r>
      <w:r w:rsidR="00515D3D">
        <w:rPr>
          <w:i/>
          <w:sz w:val="20"/>
          <w:lang w:val="en-GB" w:eastAsia="zh-CN"/>
        </w:rPr>
        <w:t>,</w:t>
      </w:r>
      <w:r w:rsidR="00515D3D" w:rsidRPr="00515D3D">
        <w:rPr>
          <w:rFonts w:ascii="Arial" w:eastAsia="SimSun" w:hAnsi="Arial" w:cs="Arial"/>
          <w:color w:val="000000"/>
          <w:sz w:val="22"/>
          <w:szCs w:val="22"/>
          <w:lang w:val="en-GB"/>
        </w:rPr>
        <w:t xml:space="preserve"> </w:t>
      </w:r>
      <w:r w:rsidR="00515D3D" w:rsidRPr="00515D3D">
        <w:rPr>
          <w:i/>
          <w:sz w:val="20"/>
          <w:lang w:val="en-GB" w:eastAsia="zh-CN"/>
        </w:rPr>
        <w:t>Harrison McKenzie-McHarg</w:t>
      </w:r>
      <w:r w:rsidR="00515D3D">
        <w:rPr>
          <w:i/>
          <w:sz w:val="20"/>
          <w:lang w:val="en-GB" w:eastAsia="zh-CN"/>
        </w:rPr>
        <w:t>,</w:t>
      </w:r>
      <w:r w:rsidR="00515D3D" w:rsidRPr="00515D3D">
        <w:rPr>
          <w:rFonts w:ascii="Arial" w:eastAsia="SimSun" w:hAnsi="Arial" w:cs="Arial"/>
          <w:color w:val="000000"/>
          <w:sz w:val="22"/>
          <w:szCs w:val="22"/>
          <w:lang w:val="en-GB"/>
        </w:rPr>
        <w:t xml:space="preserve"> </w:t>
      </w:r>
      <w:r w:rsidR="00515D3D" w:rsidRPr="00515D3D">
        <w:rPr>
          <w:i/>
          <w:sz w:val="20"/>
          <w:lang w:val="en-GB" w:eastAsia="zh-CN"/>
        </w:rPr>
        <w:t>Khurshed Mehta</w:t>
      </w:r>
      <w:r w:rsidR="00515D3D">
        <w:rPr>
          <w:i/>
          <w:sz w:val="20"/>
          <w:lang w:val="en-GB" w:eastAsia="zh-CN"/>
        </w:rPr>
        <w:t xml:space="preserve">, </w:t>
      </w:r>
      <w:r w:rsidR="00982364" w:rsidRPr="00AC3240">
        <w:rPr>
          <w:i/>
          <w:sz w:val="20"/>
          <w:lang w:val="en-GB" w:eastAsia="zh-CN"/>
        </w:rPr>
        <w:t>Sahibjeet Bain</w:t>
      </w:r>
      <w:r w:rsidR="00515D3D">
        <w:rPr>
          <w:i/>
          <w:sz w:val="20"/>
          <w:lang w:val="en-GB" w:eastAsia="zh-CN"/>
        </w:rPr>
        <w:t>,</w:t>
      </w:r>
      <w:r w:rsidR="00515D3D" w:rsidRPr="00515D3D">
        <w:rPr>
          <w:rFonts w:ascii="Arial" w:eastAsia="SimSun" w:hAnsi="Arial" w:cs="Arial"/>
          <w:color w:val="000000"/>
          <w:sz w:val="22"/>
          <w:szCs w:val="22"/>
          <w:lang w:val="en-GB"/>
        </w:rPr>
        <w:t xml:space="preserve"> </w:t>
      </w:r>
      <w:r w:rsidR="00515D3D" w:rsidRPr="00515D3D">
        <w:rPr>
          <w:i/>
          <w:sz w:val="20"/>
          <w:lang w:val="en-GB" w:eastAsia="zh-CN"/>
        </w:rPr>
        <w:t>Charya Kannangara</w:t>
      </w:r>
      <w:r w:rsidR="00515D3D">
        <w:rPr>
          <w:i/>
          <w:sz w:val="20"/>
          <w:lang w:val="en-GB" w:eastAsia="zh-CN"/>
        </w:rPr>
        <w:t>,</w:t>
      </w:r>
      <w:r w:rsidR="00515D3D" w:rsidRPr="00515D3D">
        <w:rPr>
          <w:i/>
          <w:sz w:val="20"/>
          <w:lang w:val="en-GB" w:eastAsia="zh-CN"/>
        </w:rPr>
        <w:t xml:space="preserve"> </w:t>
      </w:r>
      <w:r w:rsidR="00515D3D" w:rsidRPr="00AC3240">
        <w:rPr>
          <w:i/>
          <w:sz w:val="20"/>
          <w:lang w:val="en-GB" w:eastAsia="zh-CN"/>
        </w:rPr>
        <w:t>Sophie Lebang</w:t>
      </w:r>
      <w:r w:rsidR="00515D3D">
        <w:rPr>
          <w:i/>
          <w:sz w:val="20"/>
          <w:lang w:val="en-GB" w:eastAsia="zh-CN"/>
        </w:rPr>
        <w:t xml:space="preserve">, </w:t>
      </w:r>
      <w:r w:rsidR="00515D3D" w:rsidRPr="00515D3D">
        <w:rPr>
          <w:i/>
          <w:sz w:val="20"/>
          <w:lang w:val="en-GB" w:eastAsia="zh-CN"/>
        </w:rPr>
        <w:t>Geoff Warren</w:t>
      </w:r>
      <w:r w:rsidR="00515D3D">
        <w:rPr>
          <w:i/>
          <w:sz w:val="20"/>
          <w:lang w:val="en-GB" w:eastAsia="zh-CN"/>
        </w:rPr>
        <w:t xml:space="preserve"> (</w:t>
      </w:r>
      <w:r w:rsidR="004176E2">
        <w:rPr>
          <w:i/>
          <w:sz w:val="20"/>
          <w:lang w:val="en-GB" w:eastAsia="zh-CN"/>
        </w:rPr>
        <w:t>Fund</w:t>
      </w:r>
      <w:r w:rsidR="00515D3D">
        <w:rPr>
          <w:i/>
          <w:sz w:val="20"/>
          <w:lang w:val="en-GB" w:eastAsia="zh-CN"/>
        </w:rPr>
        <w:t xml:space="preserve"> Convenor)</w:t>
      </w:r>
      <w:r w:rsidR="00982364" w:rsidRPr="00AC3240">
        <w:rPr>
          <w:i/>
          <w:sz w:val="20"/>
          <w:lang w:val="en-GB" w:eastAsia="zh-CN"/>
        </w:rPr>
        <w:t xml:space="preserve">. </w:t>
      </w:r>
    </w:p>
    <w:p w14:paraId="2E00DB8B" w14:textId="1619A512" w:rsidR="00DC4242" w:rsidRDefault="00DC4242" w:rsidP="00A250F3">
      <w:pPr>
        <w:rPr>
          <w:sz w:val="20"/>
          <w:highlight w:val="yellow"/>
          <w:lang w:val="en-GB" w:eastAsia="zh-CN"/>
        </w:rPr>
      </w:pPr>
    </w:p>
    <w:p w14:paraId="70DE50A5" w14:textId="08E2415F" w:rsidR="00051540" w:rsidRPr="00051540" w:rsidRDefault="00051540" w:rsidP="00051540">
      <w:pPr>
        <w:spacing w:before="360" w:after="120" w:line="252" w:lineRule="auto"/>
        <w:rPr>
          <w:b/>
          <w:sz w:val="22"/>
          <w:szCs w:val="22"/>
        </w:rPr>
      </w:pPr>
      <w:r w:rsidRPr="003157DE">
        <w:rPr>
          <w:b/>
          <w:sz w:val="22"/>
          <w:szCs w:val="22"/>
        </w:rPr>
        <w:t>SMF Team</w:t>
      </w:r>
      <w:r>
        <w:rPr>
          <w:b/>
          <w:sz w:val="22"/>
          <w:szCs w:val="22"/>
        </w:rPr>
        <w:t xml:space="preserve"> and Roles – Semester 2</w:t>
      </w:r>
      <w:r w:rsidRPr="003157DE">
        <w:rPr>
          <w:b/>
          <w:sz w:val="22"/>
          <w:szCs w:val="22"/>
        </w:rPr>
        <w:t>, 2019</w:t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770"/>
      </w:tblGrid>
      <w:tr w:rsidR="00051540" w:rsidRPr="003157DE" w14:paraId="6095DE7C" w14:textId="77777777" w:rsidTr="00051540">
        <w:tc>
          <w:tcPr>
            <w:tcW w:w="4860" w:type="dxa"/>
          </w:tcPr>
          <w:p w14:paraId="3EDCD72C" w14:textId="77777777" w:rsidR="00051540" w:rsidRPr="00325D5C" w:rsidRDefault="00051540" w:rsidP="004D75B3">
            <w:pPr>
              <w:tabs>
                <w:tab w:val="left" w:pos="2660"/>
              </w:tabs>
              <w:spacing w:line="252" w:lineRule="auto"/>
              <w:rPr>
                <w:b/>
                <w:bCs/>
                <w:i/>
                <w:sz w:val="20"/>
                <w:szCs w:val="20"/>
              </w:rPr>
            </w:pPr>
            <w:bookmarkStart w:id="14" w:name="_Toc524277821"/>
            <w:r w:rsidRPr="00325D5C">
              <w:rPr>
                <w:b/>
                <w:bCs/>
                <w:i/>
                <w:sz w:val="20"/>
                <w:szCs w:val="20"/>
              </w:rPr>
              <w:t>Chief Investment Officer (CIO)</w:t>
            </w:r>
          </w:p>
          <w:p w14:paraId="3937925E" w14:textId="77777777" w:rsidR="00051540" w:rsidRPr="00325D5C" w:rsidRDefault="00051540" w:rsidP="004D75B3">
            <w:pPr>
              <w:tabs>
                <w:tab w:val="left" w:pos="2660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Alaina Warwick</w:t>
            </w:r>
          </w:p>
          <w:p w14:paraId="23F702C2" w14:textId="77777777" w:rsidR="00051540" w:rsidRPr="00325D5C" w:rsidRDefault="00051540" w:rsidP="00051540">
            <w:pPr>
              <w:tabs>
                <w:tab w:val="left" w:pos="2660"/>
                <w:tab w:val="left" w:pos="2790"/>
              </w:tabs>
              <w:spacing w:before="180" w:line="252" w:lineRule="auto"/>
              <w:rPr>
                <w:b/>
                <w:bCs/>
                <w:i/>
                <w:sz w:val="20"/>
                <w:szCs w:val="20"/>
              </w:rPr>
            </w:pPr>
            <w:r w:rsidRPr="00325D5C">
              <w:rPr>
                <w:b/>
                <w:bCs/>
                <w:i/>
                <w:sz w:val="20"/>
                <w:szCs w:val="20"/>
              </w:rPr>
              <w:t>Risk and Compliance (R&amp;C) Team</w:t>
            </w:r>
          </w:p>
          <w:p w14:paraId="56318173" w14:textId="77777777" w:rsidR="00051540" w:rsidRPr="00325D5C" w:rsidRDefault="00051540" w:rsidP="004D75B3">
            <w:pPr>
              <w:tabs>
                <w:tab w:val="left" w:pos="2048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Chaoqi (Shawn) Lin</w:t>
            </w:r>
            <w:r w:rsidRPr="00325D5C">
              <w:rPr>
                <w:sz w:val="20"/>
                <w:szCs w:val="20"/>
              </w:rPr>
              <w:tab/>
              <w:t>Chief Risk Officer</w:t>
            </w:r>
          </w:p>
          <w:p w14:paraId="444002BA" w14:textId="77777777" w:rsidR="00051540" w:rsidRPr="00325D5C" w:rsidRDefault="00051540" w:rsidP="004D75B3">
            <w:pPr>
              <w:tabs>
                <w:tab w:val="left" w:pos="2048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Alisha Nath</w:t>
            </w:r>
            <w:r w:rsidRPr="00325D5C">
              <w:rPr>
                <w:sz w:val="20"/>
                <w:szCs w:val="20"/>
              </w:rPr>
              <w:tab/>
              <w:t>Senior Analyst</w:t>
            </w:r>
          </w:p>
          <w:p w14:paraId="66B56D43" w14:textId="77777777" w:rsidR="00051540" w:rsidRPr="00325D5C" w:rsidRDefault="00051540" w:rsidP="004D75B3">
            <w:pPr>
              <w:tabs>
                <w:tab w:val="left" w:pos="2048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Charya Kannangara</w:t>
            </w:r>
            <w:r w:rsidRPr="00325D5C">
              <w:rPr>
                <w:sz w:val="20"/>
                <w:szCs w:val="20"/>
              </w:rPr>
              <w:tab/>
              <w:t>Analyst (50%)</w:t>
            </w:r>
          </w:p>
          <w:p w14:paraId="592D9F6B" w14:textId="77777777" w:rsidR="00051540" w:rsidRPr="00325D5C" w:rsidRDefault="00051540" w:rsidP="004D75B3">
            <w:pPr>
              <w:tabs>
                <w:tab w:val="left" w:pos="2048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Ash White</w:t>
            </w:r>
            <w:r w:rsidRPr="00325D5C">
              <w:rPr>
                <w:sz w:val="20"/>
                <w:szCs w:val="20"/>
              </w:rPr>
              <w:tab/>
              <w:t>Analyst</w:t>
            </w:r>
          </w:p>
          <w:p w14:paraId="4649C448" w14:textId="77777777" w:rsidR="00051540" w:rsidRPr="00325D5C" w:rsidRDefault="00051540" w:rsidP="00051540">
            <w:pPr>
              <w:tabs>
                <w:tab w:val="left" w:pos="2048"/>
                <w:tab w:val="left" w:pos="2660"/>
                <w:tab w:val="left" w:pos="2790"/>
              </w:tabs>
              <w:spacing w:before="180" w:line="252" w:lineRule="auto"/>
              <w:rPr>
                <w:b/>
                <w:bCs/>
                <w:i/>
                <w:sz w:val="20"/>
                <w:szCs w:val="20"/>
              </w:rPr>
            </w:pPr>
            <w:r w:rsidRPr="00325D5C">
              <w:rPr>
                <w:b/>
                <w:bCs/>
                <w:i/>
                <w:sz w:val="20"/>
                <w:szCs w:val="20"/>
              </w:rPr>
              <w:t>Relationship Team</w:t>
            </w:r>
          </w:p>
          <w:p w14:paraId="16FBD407" w14:textId="77777777" w:rsidR="00051540" w:rsidRPr="00325D5C" w:rsidRDefault="00051540" w:rsidP="004D75B3">
            <w:pPr>
              <w:tabs>
                <w:tab w:val="left" w:pos="2048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 xml:space="preserve">Sophie LeBang </w:t>
            </w:r>
            <w:r w:rsidRPr="00325D5C">
              <w:rPr>
                <w:sz w:val="20"/>
                <w:szCs w:val="20"/>
              </w:rPr>
              <w:tab/>
              <w:t xml:space="preserve">Relationship Manager </w:t>
            </w:r>
          </w:p>
          <w:p w14:paraId="5601CA29" w14:textId="77777777" w:rsidR="00051540" w:rsidRPr="00325D5C" w:rsidRDefault="00051540" w:rsidP="004D75B3">
            <w:pPr>
              <w:tabs>
                <w:tab w:val="left" w:pos="2048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Charya Kannangara</w:t>
            </w:r>
            <w:r w:rsidRPr="00325D5C">
              <w:rPr>
                <w:sz w:val="20"/>
                <w:szCs w:val="20"/>
              </w:rPr>
              <w:tab/>
              <w:t>Relationship Officer (50%)</w:t>
            </w:r>
          </w:p>
          <w:p w14:paraId="1DB57AE3" w14:textId="77777777" w:rsidR="00051540" w:rsidRPr="00325D5C" w:rsidRDefault="00051540" w:rsidP="004D75B3">
            <w:pPr>
              <w:tabs>
                <w:tab w:val="left" w:pos="2048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Yanfei (Victoria) Rao</w:t>
            </w:r>
            <w:r w:rsidRPr="00325D5C">
              <w:rPr>
                <w:sz w:val="20"/>
                <w:szCs w:val="20"/>
              </w:rPr>
              <w:tab/>
              <w:t>Relationship Officer</w:t>
            </w:r>
          </w:p>
          <w:p w14:paraId="563810D5" w14:textId="77777777" w:rsidR="00051540" w:rsidRPr="00325D5C" w:rsidRDefault="00051540" w:rsidP="00051540">
            <w:pPr>
              <w:tabs>
                <w:tab w:val="left" w:pos="2048"/>
                <w:tab w:val="left" w:pos="2660"/>
              </w:tabs>
              <w:spacing w:before="180" w:line="252" w:lineRule="auto"/>
              <w:rPr>
                <w:b/>
                <w:bCs/>
                <w:i/>
                <w:sz w:val="20"/>
                <w:szCs w:val="20"/>
              </w:rPr>
            </w:pPr>
            <w:r w:rsidRPr="00325D5C">
              <w:rPr>
                <w:b/>
                <w:bCs/>
                <w:i/>
                <w:sz w:val="20"/>
                <w:szCs w:val="20"/>
              </w:rPr>
              <w:t>Convenors</w:t>
            </w:r>
          </w:p>
          <w:p w14:paraId="3FEAA853" w14:textId="77777777" w:rsidR="00051540" w:rsidRPr="00325D5C" w:rsidRDefault="00051540" w:rsidP="004D75B3">
            <w:pPr>
              <w:tabs>
                <w:tab w:val="left" w:pos="2048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Anna von Reibnitz</w:t>
            </w:r>
            <w:r w:rsidRPr="00325D5C">
              <w:rPr>
                <w:sz w:val="20"/>
                <w:szCs w:val="20"/>
              </w:rPr>
              <w:tab/>
              <w:t>Course Convenor</w:t>
            </w:r>
          </w:p>
          <w:p w14:paraId="2848560A" w14:textId="77777777" w:rsidR="00051540" w:rsidRPr="00325D5C" w:rsidRDefault="00051540" w:rsidP="004D75B3">
            <w:pPr>
              <w:tabs>
                <w:tab w:val="left" w:pos="2048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Geoff Warren</w:t>
            </w:r>
            <w:r w:rsidRPr="00325D5C">
              <w:rPr>
                <w:sz w:val="20"/>
                <w:szCs w:val="20"/>
              </w:rPr>
              <w:tab/>
              <w:t>Fund Convenor</w:t>
            </w:r>
          </w:p>
        </w:tc>
        <w:tc>
          <w:tcPr>
            <w:tcW w:w="4770" w:type="dxa"/>
          </w:tcPr>
          <w:p w14:paraId="7A1987F5" w14:textId="77777777" w:rsidR="00051540" w:rsidRPr="00325D5C" w:rsidRDefault="00051540" w:rsidP="00325D5C">
            <w:pPr>
              <w:tabs>
                <w:tab w:val="left" w:pos="2142"/>
              </w:tabs>
              <w:spacing w:before="660" w:line="252" w:lineRule="auto"/>
              <w:rPr>
                <w:b/>
                <w:bCs/>
                <w:i/>
                <w:sz w:val="20"/>
                <w:szCs w:val="20"/>
              </w:rPr>
            </w:pPr>
            <w:r w:rsidRPr="00325D5C">
              <w:rPr>
                <w:b/>
                <w:bCs/>
                <w:i/>
                <w:sz w:val="20"/>
                <w:szCs w:val="20"/>
              </w:rPr>
              <w:t>Asset Allocation (AA) Team</w:t>
            </w:r>
          </w:p>
          <w:p w14:paraId="4081C966" w14:textId="77777777" w:rsidR="00051540" w:rsidRPr="00325D5C" w:rsidRDefault="00051540" w:rsidP="004D75B3">
            <w:pPr>
              <w:tabs>
                <w:tab w:val="left" w:pos="2769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Dalton Than</w:t>
            </w:r>
            <w:r w:rsidRPr="00325D5C">
              <w:rPr>
                <w:sz w:val="20"/>
                <w:szCs w:val="20"/>
              </w:rPr>
              <w:tab/>
              <w:t>Team Leader</w:t>
            </w:r>
          </w:p>
          <w:p w14:paraId="4E183096" w14:textId="77777777" w:rsidR="00051540" w:rsidRPr="00325D5C" w:rsidRDefault="00051540" w:rsidP="004D75B3">
            <w:pPr>
              <w:tabs>
                <w:tab w:val="left" w:pos="2769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Jiaqi (Karen) Mao</w:t>
            </w:r>
            <w:r w:rsidRPr="00325D5C">
              <w:rPr>
                <w:sz w:val="20"/>
                <w:szCs w:val="20"/>
              </w:rPr>
              <w:tab/>
              <w:t>Senior Analyst</w:t>
            </w:r>
          </w:p>
          <w:p w14:paraId="110CBEDD" w14:textId="77777777" w:rsidR="00051540" w:rsidRPr="00325D5C" w:rsidRDefault="00051540" w:rsidP="004D75B3">
            <w:pPr>
              <w:tabs>
                <w:tab w:val="left" w:pos="2769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Rocky Lugadi</w:t>
            </w:r>
            <w:r w:rsidRPr="00325D5C">
              <w:rPr>
                <w:sz w:val="20"/>
                <w:szCs w:val="20"/>
              </w:rPr>
              <w:tab/>
              <w:t>Analyst</w:t>
            </w:r>
          </w:p>
          <w:p w14:paraId="3102EBFE" w14:textId="77777777" w:rsidR="00051540" w:rsidRPr="00325D5C" w:rsidRDefault="00051540" w:rsidP="00051540">
            <w:pPr>
              <w:tabs>
                <w:tab w:val="left" w:pos="1962"/>
              </w:tabs>
              <w:spacing w:before="180" w:line="252" w:lineRule="auto"/>
              <w:rPr>
                <w:b/>
                <w:bCs/>
                <w:i/>
                <w:sz w:val="20"/>
                <w:szCs w:val="20"/>
              </w:rPr>
            </w:pPr>
            <w:r w:rsidRPr="00325D5C">
              <w:rPr>
                <w:b/>
                <w:bCs/>
                <w:i/>
                <w:sz w:val="20"/>
                <w:szCs w:val="20"/>
              </w:rPr>
              <w:t>Active Australian Equities (AAE) Team</w:t>
            </w:r>
          </w:p>
          <w:p w14:paraId="58244298" w14:textId="77777777" w:rsidR="00051540" w:rsidRPr="00325D5C" w:rsidRDefault="00051540" w:rsidP="004D75B3">
            <w:pPr>
              <w:tabs>
                <w:tab w:val="left" w:pos="2769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Luke Farrar</w:t>
            </w:r>
            <w:r w:rsidRPr="00325D5C">
              <w:rPr>
                <w:sz w:val="20"/>
                <w:szCs w:val="20"/>
              </w:rPr>
              <w:tab/>
              <w:t>Team Leader</w:t>
            </w:r>
          </w:p>
          <w:p w14:paraId="021B9A76" w14:textId="77777777" w:rsidR="00051540" w:rsidRPr="00325D5C" w:rsidRDefault="00051540" w:rsidP="004D75B3">
            <w:pPr>
              <w:tabs>
                <w:tab w:val="left" w:pos="2769"/>
                <w:tab w:val="left" w:pos="3240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Sahibjeet Bains</w:t>
            </w:r>
            <w:r w:rsidRPr="00325D5C">
              <w:rPr>
                <w:sz w:val="20"/>
                <w:szCs w:val="20"/>
              </w:rPr>
              <w:tab/>
              <w:t>Senior Analyst</w:t>
            </w:r>
          </w:p>
          <w:p w14:paraId="78016127" w14:textId="77777777" w:rsidR="00051540" w:rsidRPr="00325D5C" w:rsidRDefault="00051540" w:rsidP="004D75B3">
            <w:pPr>
              <w:tabs>
                <w:tab w:val="left" w:pos="2769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Harrison McKenzie-McHarg</w:t>
            </w:r>
            <w:r w:rsidRPr="00325D5C">
              <w:rPr>
                <w:sz w:val="20"/>
                <w:szCs w:val="20"/>
              </w:rPr>
              <w:tab/>
              <w:t>Senior Analyst</w:t>
            </w:r>
          </w:p>
          <w:p w14:paraId="67F90F87" w14:textId="77777777" w:rsidR="00051540" w:rsidRPr="00325D5C" w:rsidRDefault="00051540" w:rsidP="004D75B3">
            <w:pPr>
              <w:tabs>
                <w:tab w:val="left" w:pos="2769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Khurshed Mehta</w:t>
            </w:r>
            <w:r w:rsidRPr="00325D5C">
              <w:rPr>
                <w:sz w:val="20"/>
                <w:szCs w:val="20"/>
              </w:rPr>
              <w:tab/>
              <w:t>Senior Analyst</w:t>
            </w:r>
          </w:p>
          <w:p w14:paraId="58D59046" w14:textId="77777777" w:rsidR="00051540" w:rsidRPr="00325D5C" w:rsidRDefault="00051540" w:rsidP="004D75B3">
            <w:pPr>
              <w:tabs>
                <w:tab w:val="left" w:pos="2769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Lachlan Phillips</w:t>
            </w:r>
            <w:r w:rsidRPr="00325D5C">
              <w:rPr>
                <w:sz w:val="20"/>
                <w:szCs w:val="20"/>
              </w:rPr>
              <w:tab/>
              <w:t>Senior Analyst</w:t>
            </w:r>
          </w:p>
          <w:p w14:paraId="140CAC4B" w14:textId="77777777" w:rsidR="00051540" w:rsidRPr="00325D5C" w:rsidRDefault="00051540" w:rsidP="004D75B3">
            <w:pPr>
              <w:tabs>
                <w:tab w:val="left" w:pos="2769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Jia Jun Desmond Ng</w:t>
            </w:r>
            <w:r w:rsidRPr="00325D5C">
              <w:rPr>
                <w:sz w:val="20"/>
                <w:szCs w:val="20"/>
              </w:rPr>
              <w:tab/>
              <w:t xml:space="preserve">Analyst </w:t>
            </w:r>
          </w:p>
          <w:p w14:paraId="453A6B13" w14:textId="77777777" w:rsidR="00051540" w:rsidRPr="00325D5C" w:rsidRDefault="00051540" w:rsidP="004D75B3">
            <w:pPr>
              <w:tabs>
                <w:tab w:val="left" w:pos="2769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Todd O'Dea</w:t>
            </w:r>
            <w:r w:rsidRPr="00325D5C">
              <w:rPr>
                <w:sz w:val="20"/>
                <w:szCs w:val="20"/>
              </w:rPr>
              <w:tab/>
              <w:t xml:space="preserve">Analyst </w:t>
            </w:r>
          </w:p>
          <w:p w14:paraId="6D2A89B9" w14:textId="77777777" w:rsidR="00051540" w:rsidRPr="00325D5C" w:rsidRDefault="00051540" w:rsidP="004D75B3">
            <w:pPr>
              <w:tabs>
                <w:tab w:val="left" w:pos="2769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William Ranson-Smith</w:t>
            </w:r>
            <w:r w:rsidRPr="00325D5C">
              <w:rPr>
                <w:sz w:val="20"/>
                <w:szCs w:val="20"/>
              </w:rPr>
              <w:tab/>
              <w:t>Analyst</w:t>
            </w:r>
          </w:p>
          <w:p w14:paraId="13F26589" w14:textId="77777777" w:rsidR="00051540" w:rsidRPr="00325D5C" w:rsidRDefault="00051540" w:rsidP="004D75B3">
            <w:pPr>
              <w:tabs>
                <w:tab w:val="left" w:pos="2769"/>
              </w:tabs>
              <w:spacing w:line="252" w:lineRule="auto"/>
              <w:rPr>
                <w:sz w:val="20"/>
                <w:szCs w:val="20"/>
              </w:rPr>
            </w:pPr>
            <w:r w:rsidRPr="00325D5C">
              <w:rPr>
                <w:sz w:val="20"/>
                <w:szCs w:val="20"/>
              </w:rPr>
              <w:t>Shengchang (Albert) Zhang</w:t>
            </w:r>
            <w:r w:rsidRPr="00325D5C">
              <w:rPr>
                <w:sz w:val="20"/>
                <w:szCs w:val="20"/>
              </w:rPr>
              <w:tab/>
              <w:t>Analyst</w:t>
            </w:r>
          </w:p>
          <w:p w14:paraId="552DFED4" w14:textId="77777777" w:rsidR="00051540" w:rsidRPr="00325D5C" w:rsidRDefault="00051540" w:rsidP="004D75B3">
            <w:pPr>
              <w:tabs>
                <w:tab w:val="left" w:pos="2769"/>
              </w:tabs>
              <w:spacing w:line="252" w:lineRule="auto"/>
              <w:rPr>
                <w:sz w:val="20"/>
                <w:szCs w:val="20"/>
              </w:rPr>
            </w:pPr>
          </w:p>
        </w:tc>
      </w:tr>
    </w:tbl>
    <w:p w14:paraId="34307F92" w14:textId="0F9FB9C0" w:rsidR="000168FD" w:rsidRDefault="000168FD">
      <w:pPr>
        <w:spacing w:before="120" w:after="120" w:line="312" w:lineRule="auto"/>
        <w:rPr>
          <w:rFonts w:eastAsiaTheme="minorEastAsia"/>
          <w:b/>
          <w:color w:val="4472C4" w:themeColor="accent1"/>
          <w:spacing w:val="15"/>
          <w:sz w:val="28"/>
          <w:szCs w:val="28"/>
          <w:lang w:eastAsia="zh-CN"/>
        </w:rPr>
      </w:pPr>
    </w:p>
    <w:p w14:paraId="7CE0AE03" w14:textId="7697AF64" w:rsidR="00DE67CC" w:rsidRPr="00692BAC" w:rsidRDefault="002E4353" w:rsidP="00A250F3">
      <w:pPr>
        <w:pStyle w:val="Heading1"/>
        <w:spacing w:before="360" w:after="240" w:line="240" w:lineRule="auto"/>
        <w:rPr>
          <w:sz w:val="24"/>
          <w:szCs w:val="24"/>
          <w:lang w:eastAsia="zh-CN"/>
        </w:rPr>
      </w:pPr>
      <w:bookmarkStart w:id="15" w:name="_Toc19110722"/>
      <w:r w:rsidRPr="00692BAC">
        <w:rPr>
          <w:sz w:val="24"/>
          <w:szCs w:val="24"/>
          <w:lang w:eastAsia="zh-CN"/>
        </w:rPr>
        <w:lastRenderedPageBreak/>
        <w:t>Active Stock Positions</w:t>
      </w:r>
      <w:bookmarkEnd w:id="14"/>
      <w:bookmarkEnd w:id="15"/>
    </w:p>
    <w:p w14:paraId="7BAD21FE" w14:textId="11E66FE6" w:rsidR="0072602F" w:rsidRDefault="0072602F" w:rsidP="0072602F">
      <w:pPr>
        <w:spacing w:before="180"/>
        <w:jc w:val="both"/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</w:pPr>
      <w:r w:rsidRPr="00714A3C">
        <w:rPr>
          <w:color w:val="000000" w:themeColor="text1"/>
          <w:sz w:val="20"/>
          <w:szCs w:val="22"/>
          <w:bdr w:val="none" w:sz="0" w:space="0" w:color="auto" w:frame="1"/>
        </w:rPr>
        <w:t>The AAE team</w:t>
      </w:r>
      <w:r>
        <w:rPr>
          <w:color w:val="000000" w:themeColor="text1"/>
          <w:sz w:val="20"/>
          <w:szCs w:val="22"/>
          <w:bdr w:val="none" w:sz="0" w:space="0" w:color="auto" w:frame="1"/>
        </w:rPr>
        <w:t xml:space="preserve"> </w:t>
      </w:r>
      <w:r w:rsidRPr="00714A3C">
        <w:rPr>
          <w:color w:val="000000" w:themeColor="text1"/>
          <w:sz w:val="20"/>
          <w:szCs w:val="22"/>
          <w:bdr w:val="none" w:sz="0" w:space="0" w:color="auto" w:frame="1"/>
        </w:rPr>
        <w:t>continue</w:t>
      </w:r>
      <w:r>
        <w:rPr>
          <w:color w:val="000000" w:themeColor="text1"/>
          <w:sz w:val="20"/>
          <w:szCs w:val="22"/>
          <w:bdr w:val="none" w:sz="0" w:space="0" w:color="auto" w:frame="1"/>
        </w:rPr>
        <w:t>s</w:t>
      </w:r>
      <w:r w:rsidRPr="00714A3C">
        <w:rPr>
          <w:color w:val="000000" w:themeColor="text1"/>
          <w:sz w:val="20"/>
          <w:szCs w:val="22"/>
          <w:bdr w:val="none" w:sz="0" w:space="0" w:color="auto" w:frame="1"/>
        </w:rPr>
        <w:t xml:space="preserve"> to research new stocks with potential to advance the Fund’s core investment objectives. </w:t>
      </w:r>
      <w:r w:rsidRPr="00AE2BFA">
        <w:rPr>
          <w:color w:val="000000" w:themeColor="text1"/>
          <w:sz w:val="20"/>
          <w:szCs w:val="22"/>
          <w:bdr w:val="none" w:sz="0" w:space="0" w:color="auto" w:frame="1"/>
        </w:rPr>
        <w:t xml:space="preserve">The SMF is pleased that two of our active investments in Rio Tinto and Telstra have </w:t>
      </w:r>
      <w:r>
        <w:rPr>
          <w:color w:val="000000" w:themeColor="text1"/>
          <w:sz w:val="20"/>
          <w:szCs w:val="22"/>
          <w:bdr w:val="none" w:sz="0" w:space="0" w:color="auto" w:frame="1"/>
        </w:rPr>
        <w:t xml:space="preserve">extended their solid performance into </w:t>
      </w:r>
      <w:r w:rsidRPr="00AE2BFA">
        <w:rPr>
          <w:color w:val="000000" w:themeColor="text1"/>
          <w:sz w:val="20"/>
          <w:szCs w:val="22"/>
          <w:bdr w:val="none" w:sz="0" w:space="0" w:color="auto" w:frame="1"/>
        </w:rPr>
        <w:t>the 3</w:t>
      </w:r>
      <w:r w:rsidRPr="00AE2BFA">
        <w:rPr>
          <w:color w:val="000000" w:themeColor="text1"/>
          <w:sz w:val="20"/>
          <w:szCs w:val="22"/>
          <w:bdr w:val="none" w:sz="0" w:space="0" w:color="auto" w:frame="1"/>
          <w:vertAlign w:val="superscript"/>
        </w:rPr>
        <w:t>rd</w:t>
      </w:r>
      <w:r w:rsidRPr="00AE2BFA">
        <w:rPr>
          <w:color w:val="000000" w:themeColor="text1"/>
          <w:sz w:val="20"/>
          <w:szCs w:val="22"/>
          <w:bdr w:val="none" w:sz="0" w:space="0" w:color="auto" w:frame="1"/>
        </w:rPr>
        <w:t xml:space="preserve"> quarter of this year. Rio Tinto and Telstra </w:t>
      </w:r>
      <w:r w:rsidR="00575F9D">
        <w:rPr>
          <w:color w:val="000000" w:themeColor="text1"/>
          <w:sz w:val="20"/>
          <w:szCs w:val="22"/>
          <w:bdr w:val="none" w:sz="0" w:space="0" w:color="auto" w:frame="1"/>
        </w:rPr>
        <w:t xml:space="preserve">have </w:t>
      </w:r>
      <w:r w:rsidR="00575F9D" w:rsidRPr="00AE2BFA">
        <w:rPr>
          <w:color w:val="000000" w:themeColor="text1"/>
          <w:sz w:val="20"/>
          <w:szCs w:val="22"/>
          <w:bdr w:val="none" w:sz="0" w:space="0" w:color="auto" w:frame="1"/>
        </w:rPr>
        <w:t>respectively</w:t>
      </w:r>
      <w:r w:rsidR="00575F9D">
        <w:rPr>
          <w:color w:val="000000" w:themeColor="text1"/>
          <w:sz w:val="20"/>
          <w:szCs w:val="22"/>
          <w:bdr w:val="none" w:sz="0" w:space="0" w:color="auto" w:frame="1"/>
        </w:rPr>
        <w:t xml:space="preserve"> contributed 0.37</w:t>
      </w:r>
      <w:r w:rsidR="00575F9D" w:rsidRPr="00AE2BFA">
        <w:rPr>
          <w:color w:val="000000" w:themeColor="text1"/>
          <w:sz w:val="20"/>
          <w:szCs w:val="22"/>
          <w:bdr w:val="none" w:sz="0" w:space="0" w:color="auto" w:frame="1"/>
        </w:rPr>
        <w:t xml:space="preserve">% and </w:t>
      </w:r>
      <w:r w:rsidR="00575F9D">
        <w:rPr>
          <w:color w:val="000000" w:themeColor="text1"/>
          <w:sz w:val="20"/>
          <w:szCs w:val="22"/>
          <w:bdr w:val="none" w:sz="0" w:space="0" w:color="auto" w:frame="1"/>
        </w:rPr>
        <w:t>1.75</w:t>
      </w:r>
      <w:r w:rsidR="00575F9D" w:rsidRPr="00AE2BFA">
        <w:rPr>
          <w:color w:val="000000" w:themeColor="text1"/>
          <w:sz w:val="20"/>
          <w:szCs w:val="22"/>
          <w:bdr w:val="none" w:sz="0" w:space="0" w:color="auto" w:frame="1"/>
        </w:rPr>
        <w:t>%</w:t>
      </w:r>
      <w:r w:rsidR="00575F9D">
        <w:rPr>
          <w:color w:val="000000" w:themeColor="text1"/>
          <w:sz w:val="20"/>
          <w:szCs w:val="22"/>
          <w:bdr w:val="none" w:sz="0" w:space="0" w:color="auto" w:frame="1"/>
        </w:rPr>
        <w:t xml:space="preserve"> </w:t>
      </w:r>
      <w:r w:rsidRPr="00AE2BFA">
        <w:rPr>
          <w:color w:val="000000" w:themeColor="text1"/>
          <w:sz w:val="20"/>
          <w:szCs w:val="22"/>
          <w:bdr w:val="none" w:sz="0" w:space="0" w:color="auto" w:frame="1"/>
        </w:rPr>
        <w:t xml:space="preserve">to </w:t>
      </w:r>
      <w:r w:rsidR="00575F9D">
        <w:rPr>
          <w:color w:val="000000" w:themeColor="text1"/>
          <w:sz w:val="20"/>
          <w:szCs w:val="22"/>
          <w:bdr w:val="none" w:sz="0" w:space="0" w:color="auto" w:frame="1"/>
        </w:rPr>
        <w:t xml:space="preserve">performance of </w:t>
      </w:r>
      <w:r w:rsidRPr="00AE2BFA">
        <w:rPr>
          <w:color w:val="000000" w:themeColor="text1"/>
          <w:sz w:val="20"/>
          <w:szCs w:val="22"/>
          <w:bdr w:val="none" w:sz="0" w:space="0" w:color="auto" w:frame="1"/>
        </w:rPr>
        <w:t xml:space="preserve">the AAE portfolio against the benchmark S&amp;P/ASX200 Exchange Traded Fund (ETF) since the Fund’s inception. </w:t>
      </w:r>
      <w:r>
        <w:rPr>
          <w:color w:val="000000" w:themeColor="text1"/>
          <w:sz w:val="20"/>
          <w:szCs w:val="22"/>
          <w:bdr w:val="none" w:sz="0" w:space="0" w:color="auto" w:frame="1"/>
        </w:rPr>
        <w:t xml:space="preserve">On the other hand, Bingo Industries and Inghams Group have </w:t>
      </w:r>
      <w:r w:rsidRPr="005F6015">
        <w:rPr>
          <w:color w:val="000000" w:themeColor="text1"/>
          <w:sz w:val="20"/>
          <w:szCs w:val="22"/>
          <w:bdr w:val="none" w:sz="0" w:space="0" w:color="auto" w:frame="1"/>
        </w:rPr>
        <w:t>performed poorly</w:t>
      </w:r>
      <w:r>
        <w:rPr>
          <w:color w:val="000000" w:themeColor="text1"/>
          <w:sz w:val="20"/>
          <w:szCs w:val="22"/>
          <w:bdr w:val="none" w:sz="0" w:space="0" w:color="auto" w:frame="1"/>
        </w:rPr>
        <w:t xml:space="preserve">, detracting 3.06% and 2.86% from </w:t>
      </w:r>
      <w:r w:rsidR="00E604EE">
        <w:rPr>
          <w:color w:val="000000" w:themeColor="text1"/>
          <w:sz w:val="20"/>
          <w:szCs w:val="22"/>
          <w:bdr w:val="none" w:sz="0" w:space="0" w:color="auto" w:frame="1"/>
        </w:rPr>
        <w:t>performance within</w:t>
      </w:r>
      <w:r>
        <w:rPr>
          <w:color w:val="000000" w:themeColor="text1"/>
          <w:sz w:val="20"/>
          <w:szCs w:val="22"/>
          <w:bdr w:val="none" w:sz="0" w:space="0" w:color="auto" w:frame="1"/>
        </w:rPr>
        <w:t xml:space="preserve"> the AAE portfolio, respectively. While disappointing, </w:t>
      </w:r>
      <w:r w:rsidRPr="00FE5A45"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>the</w:t>
      </w:r>
      <w:r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 xml:space="preserve"> Fund has</w:t>
      </w:r>
      <w:r w:rsidR="000B059B"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 xml:space="preserve"> shown</w:t>
      </w:r>
      <w:r w:rsidRPr="00FE5A45"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 xml:space="preserve"> tolerance for short-term volatility if the </w:t>
      </w:r>
      <w:r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 xml:space="preserve">team believes </w:t>
      </w:r>
      <w:r w:rsidRPr="00FE5A45"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>the underlying investment thesis</w:t>
      </w:r>
      <w:r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 xml:space="preserve"> remains intact</w:t>
      </w:r>
      <w:r w:rsidRPr="00FE5A45"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 xml:space="preserve">. </w:t>
      </w:r>
      <w:r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 xml:space="preserve">In both cases, we </w:t>
      </w:r>
      <w:r>
        <w:rPr>
          <w:color w:val="000000" w:themeColor="text1"/>
          <w:sz w:val="20"/>
          <w:szCs w:val="22"/>
          <w:bdr w:val="none" w:sz="0" w:space="0" w:color="auto" w:frame="1"/>
        </w:rPr>
        <w:t>view the underperformance a</w:t>
      </w:r>
      <w:r w:rsidRPr="00AE2BFA">
        <w:rPr>
          <w:color w:val="000000" w:themeColor="text1"/>
          <w:sz w:val="20"/>
          <w:szCs w:val="22"/>
          <w:bdr w:val="none" w:sz="0" w:space="0" w:color="auto" w:frame="1"/>
        </w:rPr>
        <w:t xml:space="preserve">s </w:t>
      </w:r>
      <w:r>
        <w:rPr>
          <w:color w:val="000000" w:themeColor="text1"/>
          <w:sz w:val="20"/>
          <w:szCs w:val="22"/>
          <w:bdr w:val="none" w:sz="0" w:space="0" w:color="auto" w:frame="1"/>
        </w:rPr>
        <w:t xml:space="preserve">related to </w:t>
      </w:r>
      <w:r w:rsidRPr="00AE2BFA">
        <w:rPr>
          <w:color w:val="000000" w:themeColor="text1"/>
          <w:sz w:val="20"/>
          <w:szCs w:val="22"/>
          <w:bdr w:val="none" w:sz="0" w:space="0" w:color="auto" w:frame="1"/>
        </w:rPr>
        <w:t>short-term</w:t>
      </w:r>
      <w:r>
        <w:rPr>
          <w:color w:val="000000" w:themeColor="text1"/>
          <w:sz w:val="20"/>
          <w:szCs w:val="22"/>
          <w:bdr w:val="none" w:sz="0" w:space="0" w:color="auto" w:frame="1"/>
        </w:rPr>
        <w:t xml:space="preserve"> business issues (e.g. grain cost pressures related to the drought in Inghams’ case), </w:t>
      </w:r>
      <w:r w:rsidRPr="00AE2BFA">
        <w:rPr>
          <w:color w:val="000000" w:themeColor="text1"/>
          <w:sz w:val="20"/>
          <w:szCs w:val="22"/>
          <w:bdr w:val="none" w:sz="0" w:space="0" w:color="auto" w:frame="1"/>
        </w:rPr>
        <w:t xml:space="preserve">and within the Fund’s </w:t>
      </w:r>
      <w:r>
        <w:rPr>
          <w:color w:val="000000" w:themeColor="text1"/>
          <w:sz w:val="20"/>
          <w:szCs w:val="22"/>
          <w:bdr w:val="none" w:sz="0" w:space="0" w:color="auto" w:frame="1"/>
        </w:rPr>
        <w:t>tolerance</w:t>
      </w:r>
      <w:r w:rsidRPr="00AE2BFA">
        <w:rPr>
          <w:color w:val="000000" w:themeColor="text1"/>
          <w:sz w:val="20"/>
          <w:szCs w:val="22"/>
          <w:bdr w:val="none" w:sz="0" w:space="0" w:color="auto" w:frame="1"/>
        </w:rPr>
        <w:t>.</w:t>
      </w:r>
      <w:r w:rsidRPr="00AE2BFA"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 xml:space="preserve"> </w:t>
      </w:r>
    </w:p>
    <w:p w14:paraId="000C6BC6" w14:textId="4C742823" w:rsidR="00331C4C" w:rsidRPr="0039030A" w:rsidRDefault="005E4ACB" w:rsidP="005E4ACB">
      <w:pPr>
        <w:spacing w:before="180"/>
        <w:jc w:val="both"/>
        <w:rPr>
          <w:iCs/>
          <w:sz w:val="20"/>
          <w:szCs w:val="20"/>
          <w:lang w:eastAsia="zh-CN"/>
        </w:rPr>
      </w:pPr>
      <w:r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>T</w:t>
      </w:r>
      <w:r w:rsidRPr="00B7092B"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>here are no new acquisitions or disposals to report at this stage</w:t>
      </w:r>
      <w:r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>, a</w:t>
      </w:r>
      <w:r w:rsidR="00714A3C" w:rsidRPr="00AE2BFA"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 xml:space="preserve">lthough </w:t>
      </w:r>
      <w:r w:rsidR="00714A3C" w:rsidRPr="00B7092B"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>we anticipate present</w:t>
      </w:r>
      <w:r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>ing</w:t>
      </w:r>
      <w:r w:rsidR="00714A3C" w:rsidRPr="00B7092B"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 xml:space="preserve"> </w:t>
      </w:r>
      <w:r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 xml:space="preserve">further </w:t>
      </w:r>
      <w:r w:rsidR="00714A3C" w:rsidRPr="00B7092B"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>stock recommendations to the IAC during the second half of the semester</w:t>
      </w:r>
      <w:r w:rsidR="006E368C">
        <w:rPr>
          <w:color w:val="000000" w:themeColor="text1"/>
          <w:sz w:val="20"/>
          <w:szCs w:val="20"/>
          <w:bdr w:val="none" w:sz="0" w:space="0" w:color="auto" w:frame="1"/>
          <w:lang w:val="en-GB" w:eastAsia="en-GB"/>
        </w:rPr>
        <w:t xml:space="preserve">. For this report, we </w:t>
      </w:r>
      <w:r w:rsidR="0039030A">
        <w:rPr>
          <w:iCs/>
          <w:sz w:val="20"/>
          <w:szCs w:val="20"/>
          <w:lang w:eastAsia="zh-CN"/>
        </w:rPr>
        <w:t>spotligh</w:t>
      </w:r>
      <w:r w:rsidR="00884A39">
        <w:rPr>
          <w:iCs/>
          <w:sz w:val="20"/>
          <w:szCs w:val="20"/>
          <w:lang w:eastAsia="zh-CN"/>
        </w:rPr>
        <w:t>t one of</w:t>
      </w:r>
      <w:r w:rsidR="0039030A" w:rsidRPr="006B33CF">
        <w:rPr>
          <w:iCs/>
          <w:sz w:val="20"/>
          <w:szCs w:val="20"/>
          <w:lang w:eastAsia="zh-CN"/>
        </w:rPr>
        <w:t xml:space="preserve"> </w:t>
      </w:r>
      <w:r w:rsidR="00884A39">
        <w:rPr>
          <w:iCs/>
          <w:sz w:val="20"/>
          <w:szCs w:val="20"/>
          <w:lang w:eastAsia="zh-CN"/>
        </w:rPr>
        <w:t>our</w:t>
      </w:r>
      <w:r w:rsidR="0039030A" w:rsidRPr="006B33CF">
        <w:rPr>
          <w:iCs/>
          <w:sz w:val="20"/>
          <w:szCs w:val="20"/>
          <w:lang w:eastAsia="zh-CN"/>
        </w:rPr>
        <w:t xml:space="preserve"> </w:t>
      </w:r>
      <w:r w:rsidR="005C0F22">
        <w:rPr>
          <w:iCs/>
          <w:sz w:val="20"/>
          <w:szCs w:val="20"/>
          <w:lang w:eastAsia="zh-CN"/>
        </w:rPr>
        <w:t xml:space="preserve">candidate </w:t>
      </w:r>
      <w:r w:rsidR="0039030A" w:rsidRPr="006B33CF">
        <w:rPr>
          <w:iCs/>
          <w:sz w:val="20"/>
          <w:szCs w:val="20"/>
          <w:lang w:eastAsia="zh-CN"/>
        </w:rPr>
        <w:t>stock</w:t>
      </w:r>
      <w:r w:rsidR="00884A39">
        <w:rPr>
          <w:iCs/>
          <w:sz w:val="20"/>
          <w:szCs w:val="20"/>
          <w:lang w:eastAsia="zh-CN"/>
        </w:rPr>
        <w:t>s</w:t>
      </w:r>
      <w:r w:rsidR="006E368C">
        <w:rPr>
          <w:iCs/>
          <w:sz w:val="20"/>
          <w:szCs w:val="20"/>
          <w:lang w:eastAsia="zh-CN"/>
        </w:rPr>
        <w:t xml:space="preserve"> that ultimately did not proceed to in-depth analysis –</w:t>
      </w:r>
      <w:r w:rsidR="007B4919">
        <w:rPr>
          <w:iCs/>
          <w:sz w:val="20"/>
          <w:szCs w:val="20"/>
          <w:lang w:eastAsia="zh-CN"/>
        </w:rPr>
        <w:t xml:space="preserve"> </w:t>
      </w:r>
      <w:r w:rsidR="0039030A">
        <w:rPr>
          <w:sz w:val="20"/>
          <w:lang w:val="en-GB" w:eastAsia="zh-CN"/>
        </w:rPr>
        <w:t>Coca-Cola Amatil</w:t>
      </w:r>
      <w:r w:rsidR="00884A39">
        <w:rPr>
          <w:sz w:val="20"/>
          <w:lang w:val="en-GB" w:eastAsia="zh-CN"/>
        </w:rPr>
        <w:t>. Th</w:t>
      </w:r>
      <w:r w:rsidR="006E368C">
        <w:rPr>
          <w:sz w:val="20"/>
          <w:lang w:val="en-GB" w:eastAsia="zh-CN"/>
        </w:rPr>
        <w:t xml:space="preserve">e </w:t>
      </w:r>
      <w:r w:rsidR="00884A39">
        <w:rPr>
          <w:sz w:val="20"/>
          <w:lang w:val="en-GB" w:eastAsia="zh-CN"/>
        </w:rPr>
        <w:t xml:space="preserve">aim </w:t>
      </w:r>
      <w:r w:rsidR="006E368C">
        <w:rPr>
          <w:sz w:val="20"/>
          <w:lang w:val="en-GB" w:eastAsia="zh-CN"/>
        </w:rPr>
        <w:t xml:space="preserve">is </w:t>
      </w:r>
      <w:r w:rsidR="00884A39">
        <w:rPr>
          <w:sz w:val="20"/>
          <w:lang w:val="en-GB" w:eastAsia="zh-CN"/>
        </w:rPr>
        <w:t xml:space="preserve">to </w:t>
      </w:r>
      <w:r w:rsidR="00884A39">
        <w:rPr>
          <w:iCs/>
          <w:sz w:val="20"/>
          <w:szCs w:val="20"/>
          <w:lang w:eastAsia="zh-CN"/>
        </w:rPr>
        <w:t xml:space="preserve">provide an inside look into </w:t>
      </w:r>
      <w:r w:rsidR="0039030A" w:rsidRPr="006B33CF">
        <w:rPr>
          <w:iCs/>
          <w:sz w:val="20"/>
          <w:szCs w:val="20"/>
          <w:lang w:eastAsia="zh-CN"/>
        </w:rPr>
        <w:t>th</w:t>
      </w:r>
      <w:r w:rsidR="0039030A">
        <w:rPr>
          <w:iCs/>
          <w:sz w:val="20"/>
          <w:szCs w:val="20"/>
          <w:lang w:eastAsia="zh-CN"/>
        </w:rPr>
        <w:t xml:space="preserve">e </w:t>
      </w:r>
      <w:r w:rsidR="00884A39">
        <w:rPr>
          <w:iCs/>
          <w:sz w:val="20"/>
          <w:szCs w:val="20"/>
          <w:lang w:eastAsia="zh-CN"/>
        </w:rPr>
        <w:t xml:space="preserve">Fund’s stock </w:t>
      </w:r>
      <w:r w:rsidR="0039030A">
        <w:rPr>
          <w:iCs/>
          <w:sz w:val="20"/>
          <w:szCs w:val="20"/>
          <w:lang w:eastAsia="zh-CN"/>
        </w:rPr>
        <w:t>selection</w:t>
      </w:r>
      <w:r w:rsidR="0039030A" w:rsidRPr="006B33CF">
        <w:rPr>
          <w:iCs/>
          <w:sz w:val="20"/>
          <w:szCs w:val="20"/>
          <w:lang w:eastAsia="zh-CN"/>
        </w:rPr>
        <w:t xml:space="preserve"> process</w:t>
      </w:r>
      <w:r w:rsidR="00884A39">
        <w:rPr>
          <w:iCs/>
          <w:sz w:val="20"/>
          <w:szCs w:val="20"/>
          <w:lang w:eastAsia="zh-CN"/>
        </w:rPr>
        <w:t>, particularly</w:t>
      </w:r>
      <w:r w:rsidR="0039030A" w:rsidRPr="006B33CF">
        <w:rPr>
          <w:iCs/>
          <w:sz w:val="20"/>
          <w:szCs w:val="20"/>
          <w:lang w:eastAsia="zh-CN"/>
        </w:rPr>
        <w:t xml:space="preserve"> </w:t>
      </w:r>
      <w:r w:rsidR="00884A39">
        <w:rPr>
          <w:iCs/>
          <w:sz w:val="20"/>
          <w:szCs w:val="20"/>
          <w:lang w:eastAsia="zh-CN"/>
        </w:rPr>
        <w:t xml:space="preserve">highlighting </w:t>
      </w:r>
      <w:r w:rsidR="0039030A" w:rsidRPr="006B33CF">
        <w:rPr>
          <w:iCs/>
          <w:sz w:val="20"/>
          <w:szCs w:val="20"/>
          <w:lang w:eastAsia="zh-CN"/>
        </w:rPr>
        <w:t xml:space="preserve">the </w:t>
      </w:r>
      <w:r w:rsidR="00884A39">
        <w:rPr>
          <w:iCs/>
          <w:sz w:val="20"/>
          <w:szCs w:val="20"/>
          <w:lang w:eastAsia="zh-CN"/>
        </w:rPr>
        <w:t xml:space="preserve">meaningful </w:t>
      </w:r>
      <w:r w:rsidR="0039030A" w:rsidRPr="006B33CF">
        <w:rPr>
          <w:iCs/>
          <w:sz w:val="20"/>
          <w:szCs w:val="20"/>
          <w:lang w:eastAsia="zh-CN"/>
        </w:rPr>
        <w:t>discussion</w:t>
      </w:r>
      <w:r w:rsidR="00884A39">
        <w:rPr>
          <w:iCs/>
          <w:sz w:val="20"/>
          <w:szCs w:val="20"/>
          <w:lang w:eastAsia="zh-CN"/>
        </w:rPr>
        <w:t>s</w:t>
      </w:r>
      <w:r w:rsidR="0039030A">
        <w:rPr>
          <w:iCs/>
          <w:sz w:val="20"/>
          <w:szCs w:val="20"/>
          <w:lang w:eastAsia="zh-CN"/>
        </w:rPr>
        <w:t xml:space="preserve"> </w:t>
      </w:r>
      <w:r w:rsidR="00884A39">
        <w:rPr>
          <w:iCs/>
          <w:sz w:val="20"/>
          <w:szCs w:val="20"/>
          <w:lang w:eastAsia="zh-CN"/>
        </w:rPr>
        <w:t>held regarding</w:t>
      </w:r>
      <w:r w:rsidR="0039030A" w:rsidRPr="006B33CF">
        <w:rPr>
          <w:iCs/>
          <w:sz w:val="20"/>
          <w:szCs w:val="20"/>
          <w:lang w:eastAsia="zh-CN"/>
        </w:rPr>
        <w:t xml:space="preserve"> potential investments.</w:t>
      </w:r>
    </w:p>
    <w:p w14:paraId="6A787889" w14:textId="3E67BF4F" w:rsidR="00A6605D" w:rsidRPr="00A6605D" w:rsidRDefault="00A6605D" w:rsidP="00C32082">
      <w:pPr>
        <w:pStyle w:val="Heading2"/>
        <w:rPr>
          <w:sz w:val="20"/>
        </w:rPr>
      </w:pPr>
      <w:bookmarkStart w:id="16" w:name="_Toc19110723"/>
      <w:r w:rsidRPr="00A6605D">
        <w:t xml:space="preserve">Stock Spotlight: </w:t>
      </w:r>
      <w:r w:rsidR="00DF23D7">
        <w:t>Coca-Cola Amatil (CCL)</w:t>
      </w:r>
      <w:bookmarkEnd w:id="16"/>
    </w:p>
    <w:p w14:paraId="002C7233" w14:textId="0FF609E9" w:rsidR="00024F64" w:rsidRDefault="00024F64" w:rsidP="00024F64">
      <w:pPr>
        <w:spacing w:before="180"/>
        <w:jc w:val="both"/>
        <w:rPr>
          <w:iCs/>
          <w:sz w:val="20"/>
          <w:szCs w:val="20"/>
          <w:lang w:eastAsia="zh-CN"/>
        </w:rPr>
      </w:pPr>
      <w:r w:rsidRPr="006B33CF">
        <w:rPr>
          <w:iCs/>
          <w:sz w:val="20"/>
          <w:szCs w:val="20"/>
          <w:lang w:eastAsia="zh-CN"/>
        </w:rPr>
        <w:t>C</w:t>
      </w:r>
      <w:r>
        <w:rPr>
          <w:iCs/>
          <w:sz w:val="20"/>
          <w:szCs w:val="20"/>
          <w:lang w:eastAsia="zh-CN"/>
        </w:rPr>
        <w:t>oca-Cola Amatil</w:t>
      </w:r>
      <w:r w:rsidRPr="006B33CF">
        <w:rPr>
          <w:iCs/>
          <w:sz w:val="20"/>
          <w:szCs w:val="20"/>
          <w:lang w:eastAsia="zh-CN"/>
        </w:rPr>
        <w:t xml:space="preserve"> is a locally owned public </w:t>
      </w:r>
      <w:r>
        <w:rPr>
          <w:iCs/>
          <w:sz w:val="20"/>
          <w:szCs w:val="20"/>
          <w:lang w:eastAsia="zh-CN"/>
        </w:rPr>
        <w:t>company profiting</w:t>
      </w:r>
      <w:r w:rsidRPr="006B33CF">
        <w:rPr>
          <w:iCs/>
          <w:sz w:val="20"/>
          <w:szCs w:val="20"/>
          <w:lang w:eastAsia="zh-CN"/>
        </w:rPr>
        <w:t xml:space="preserve"> from the manufactu</w:t>
      </w:r>
      <w:r w:rsidR="00B0549D">
        <w:rPr>
          <w:iCs/>
          <w:sz w:val="20"/>
          <w:szCs w:val="20"/>
          <w:lang w:eastAsia="zh-CN"/>
        </w:rPr>
        <w:t>ring, marketing and distribution</w:t>
      </w:r>
      <w:r w:rsidRPr="006B33CF">
        <w:rPr>
          <w:iCs/>
          <w:sz w:val="20"/>
          <w:szCs w:val="20"/>
          <w:lang w:eastAsia="zh-CN"/>
        </w:rPr>
        <w:t xml:space="preserve"> of a range of beverage and food products. The company employs 13,000 people</w:t>
      </w:r>
      <w:r w:rsidR="00B0549D">
        <w:rPr>
          <w:iCs/>
          <w:sz w:val="20"/>
          <w:szCs w:val="20"/>
          <w:lang w:eastAsia="zh-CN"/>
        </w:rPr>
        <w:t>, operating</w:t>
      </w:r>
      <w:r w:rsidRPr="006B33CF">
        <w:rPr>
          <w:iCs/>
          <w:sz w:val="20"/>
          <w:szCs w:val="20"/>
          <w:lang w:eastAsia="zh-CN"/>
        </w:rPr>
        <w:t xml:space="preserve"> in Australia, New Zealand, Fiji, Papua N</w:t>
      </w:r>
      <w:r w:rsidR="00B0549D">
        <w:rPr>
          <w:iCs/>
          <w:sz w:val="20"/>
          <w:szCs w:val="20"/>
          <w:lang w:eastAsia="zh-CN"/>
        </w:rPr>
        <w:t xml:space="preserve">ew Guinea and Indonesia, and </w:t>
      </w:r>
      <w:r w:rsidRPr="006B33CF">
        <w:rPr>
          <w:iCs/>
          <w:sz w:val="20"/>
          <w:szCs w:val="20"/>
          <w:lang w:eastAsia="zh-CN"/>
        </w:rPr>
        <w:t xml:space="preserve">administered from its head office in North Sydney. </w:t>
      </w:r>
      <w:r>
        <w:rPr>
          <w:iCs/>
          <w:sz w:val="20"/>
          <w:szCs w:val="20"/>
          <w:lang w:eastAsia="zh-CN"/>
        </w:rPr>
        <w:t xml:space="preserve">The role as the bottler of Coca Cola in Australia and Indonesia is a core component of the business. </w:t>
      </w:r>
    </w:p>
    <w:p w14:paraId="4425C5E6" w14:textId="31ACFBBF" w:rsidR="00024F64" w:rsidRPr="006B33CF" w:rsidRDefault="00024F64" w:rsidP="00024F64">
      <w:pPr>
        <w:spacing w:before="180"/>
        <w:jc w:val="both"/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lang w:eastAsia="zh-CN"/>
        </w:rPr>
        <w:t xml:space="preserve">The AAE team was attracted to the stock for its </w:t>
      </w:r>
      <w:r w:rsidRPr="006B33CF">
        <w:rPr>
          <w:iCs/>
          <w:sz w:val="20"/>
          <w:szCs w:val="20"/>
          <w:lang w:eastAsia="zh-CN"/>
        </w:rPr>
        <w:t xml:space="preserve">diversified </w:t>
      </w:r>
      <w:r>
        <w:rPr>
          <w:iCs/>
          <w:sz w:val="20"/>
          <w:szCs w:val="20"/>
          <w:lang w:eastAsia="zh-CN"/>
        </w:rPr>
        <w:t xml:space="preserve">product mix </w:t>
      </w:r>
      <w:r w:rsidRPr="006B33CF">
        <w:rPr>
          <w:iCs/>
          <w:sz w:val="20"/>
          <w:szCs w:val="20"/>
          <w:lang w:eastAsia="zh-CN"/>
        </w:rPr>
        <w:t>of food and beverages</w:t>
      </w:r>
      <w:r>
        <w:rPr>
          <w:iCs/>
          <w:sz w:val="20"/>
          <w:szCs w:val="20"/>
          <w:lang w:eastAsia="zh-CN"/>
        </w:rPr>
        <w:t xml:space="preserve">, which helps </w:t>
      </w:r>
      <w:r w:rsidRPr="006B33CF">
        <w:rPr>
          <w:iCs/>
          <w:sz w:val="20"/>
          <w:szCs w:val="20"/>
          <w:lang w:eastAsia="zh-CN"/>
        </w:rPr>
        <w:t xml:space="preserve">minimise </w:t>
      </w:r>
      <w:r>
        <w:rPr>
          <w:iCs/>
          <w:sz w:val="20"/>
          <w:szCs w:val="20"/>
          <w:lang w:eastAsia="zh-CN"/>
        </w:rPr>
        <w:t>the company’s</w:t>
      </w:r>
      <w:r w:rsidRPr="006B33CF">
        <w:rPr>
          <w:iCs/>
          <w:sz w:val="20"/>
          <w:szCs w:val="20"/>
          <w:lang w:eastAsia="zh-CN"/>
        </w:rPr>
        <w:t xml:space="preserve"> exposure to </w:t>
      </w:r>
      <w:r>
        <w:rPr>
          <w:iCs/>
          <w:sz w:val="20"/>
          <w:szCs w:val="20"/>
          <w:lang w:eastAsia="zh-CN"/>
        </w:rPr>
        <w:t xml:space="preserve">risk associated with the </w:t>
      </w:r>
      <w:r w:rsidRPr="006B33CF">
        <w:rPr>
          <w:iCs/>
          <w:sz w:val="20"/>
          <w:szCs w:val="20"/>
          <w:lang w:eastAsia="zh-CN"/>
        </w:rPr>
        <w:t>declinin</w:t>
      </w:r>
      <w:r>
        <w:rPr>
          <w:iCs/>
          <w:sz w:val="20"/>
          <w:szCs w:val="20"/>
          <w:lang w:eastAsia="zh-CN"/>
        </w:rPr>
        <w:t>g high-sugar beverage</w:t>
      </w:r>
      <w:r w:rsidRPr="006B33CF">
        <w:rPr>
          <w:iCs/>
          <w:sz w:val="20"/>
          <w:szCs w:val="20"/>
          <w:lang w:eastAsia="zh-CN"/>
        </w:rPr>
        <w:t xml:space="preserve"> market </w:t>
      </w:r>
      <w:r w:rsidR="00B0549D">
        <w:rPr>
          <w:iCs/>
          <w:sz w:val="20"/>
          <w:szCs w:val="20"/>
          <w:lang w:eastAsia="zh-CN"/>
        </w:rPr>
        <w:t>related</w:t>
      </w:r>
      <w:r>
        <w:rPr>
          <w:iCs/>
          <w:sz w:val="20"/>
          <w:szCs w:val="20"/>
          <w:lang w:eastAsia="zh-CN"/>
        </w:rPr>
        <w:t xml:space="preserve"> to</w:t>
      </w:r>
      <w:r w:rsidRPr="006B33CF">
        <w:rPr>
          <w:iCs/>
          <w:sz w:val="20"/>
          <w:szCs w:val="20"/>
          <w:lang w:eastAsia="zh-CN"/>
        </w:rPr>
        <w:t xml:space="preserve"> changing consumer habits</w:t>
      </w:r>
      <w:r>
        <w:rPr>
          <w:iCs/>
          <w:sz w:val="20"/>
          <w:szCs w:val="20"/>
          <w:lang w:eastAsia="zh-CN"/>
        </w:rPr>
        <w:t xml:space="preserve">. We also liked Coca-Cola Amatil’s </w:t>
      </w:r>
      <w:r w:rsidRPr="006B33CF">
        <w:rPr>
          <w:iCs/>
          <w:sz w:val="20"/>
          <w:szCs w:val="20"/>
          <w:lang w:eastAsia="zh-CN"/>
        </w:rPr>
        <w:t>strong national brand image</w:t>
      </w:r>
      <w:r>
        <w:rPr>
          <w:iCs/>
          <w:sz w:val="20"/>
          <w:szCs w:val="20"/>
          <w:lang w:eastAsia="zh-CN"/>
        </w:rPr>
        <w:t xml:space="preserve">, its </w:t>
      </w:r>
      <w:r w:rsidRPr="006B33CF">
        <w:rPr>
          <w:iCs/>
          <w:sz w:val="20"/>
          <w:szCs w:val="20"/>
          <w:lang w:eastAsia="zh-CN"/>
        </w:rPr>
        <w:t>renowned advertising prowess</w:t>
      </w:r>
      <w:r>
        <w:rPr>
          <w:iCs/>
          <w:sz w:val="20"/>
          <w:szCs w:val="20"/>
          <w:lang w:eastAsia="zh-CN"/>
        </w:rPr>
        <w:t>,</w:t>
      </w:r>
      <w:r w:rsidRPr="006B33CF">
        <w:rPr>
          <w:iCs/>
          <w:sz w:val="20"/>
          <w:szCs w:val="20"/>
          <w:lang w:eastAsia="zh-CN"/>
        </w:rPr>
        <w:t xml:space="preserve"> </w:t>
      </w:r>
      <w:r>
        <w:rPr>
          <w:iCs/>
          <w:sz w:val="20"/>
          <w:szCs w:val="20"/>
          <w:lang w:eastAsia="zh-CN"/>
        </w:rPr>
        <w:t xml:space="preserve">the </w:t>
      </w:r>
      <w:r w:rsidRPr="006B33CF">
        <w:rPr>
          <w:iCs/>
          <w:sz w:val="20"/>
          <w:szCs w:val="20"/>
          <w:lang w:eastAsia="zh-CN"/>
        </w:rPr>
        <w:t>benefit</w:t>
      </w:r>
      <w:r>
        <w:rPr>
          <w:iCs/>
          <w:sz w:val="20"/>
          <w:szCs w:val="20"/>
          <w:lang w:eastAsia="zh-CN"/>
        </w:rPr>
        <w:t>s</w:t>
      </w:r>
      <w:r w:rsidRPr="006B33CF">
        <w:rPr>
          <w:iCs/>
          <w:sz w:val="20"/>
          <w:szCs w:val="20"/>
          <w:lang w:eastAsia="zh-CN"/>
        </w:rPr>
        <w:t xml:space="preserve"> from exposure to emerging markets such as Indonesia</w:t>
      </w:r>
      <w:r>
        <w:rPr>
          <w:iCs/>
          <w:sz w:val="20"/>
          <w:szCs w:val="20"/>
          <w:lang w:eastAsia="zh-CN"/>
        </w:rPr>
        <w:t xml:space="preserve"> and</w:t>
      </w:r>
      <w:r w:rsidRPr="006B33CF">
        <w:rPr>
          <w:iCs/>
          <w:sz w:val="20"/>
          <w:szCs w:val="20"/>
          <w:lang w:eastAsia="zh-CN"/>
        </w:rPr>
        <w:t xml:space="preserve"> increasing cost efficiencies in </w:t>
      </w:r>
      <w:r>
        <w:rPr>
          <w:iCs/>
          <w:sz w:val="20"/>
          <w:szCs w:val="20"/>
          <w:lang w:eastAsia="zh-CN"/>
        </w:rPr>
        <w:t xml:space="preserve">the </w:t>
      </w:r>
      <w:r w:rsidRPr="006B33CF">
        <w:rPr>
          <w:iCs/>
          <w:sz w:val="20"/>
          <w:szCs w:val="20"/>
          <w:lang w:eastAsia="zh-CN"/>
        </w:rPr>
        <w:t xml:space="preserve">manufacturing processes. </w:t>
      </w:r>
    </w:p>
    <w:p w14:paraId="7825EB4F" w14:textId="677908D9" w:rsidR="00024F64" w:rsidRPr="006B33CF" w:rsidRDefault="00024F64" w:rsidP="00024F64">
      <w:pPr>
        <w:spacing w:before="180"/>
        <w:jc w:val="both"/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lang w:eastAsia="zh-CN"/>
        </w:rPr>
        <w:t xml:space="preserve">The presentation to the broader SMF team was followed by an interesting and lively </w:t>
      </w:r>
      <w:r w:rsidRPr="006B33CF">
        <w:rPr>
          <w:iCs/>
          <w:sz w:val="20"/>
          <w:szCs w:val="20"/>
          <w:lang w:eastAsia="zh-CN"/>
        </w:rPr>
        <w:t>discussion</w:t>
      </w:r>
      <w:r>
        <w:rPr>
          <w:iCs/>
          <w:sz w:val="20"/>
          <w:szCs w:val="20"/>
          <w:lang w:eastAsia="zh-CN"/>
        </w:rPr>
        <w:t xml:space="preserve">, particularly over the SRI merits of the stock and the longer-term drivers of its business. </w:t>
      </w:r>
      <w:r w:rsidRPr="006B33CF">
        <w:rPr>
          <w:iCs/>
          <w:sz w:val="20"/>
          <w:szCs w:val="20"/>
          <w:lang w:eastAsia="zh-CN"/>
        </w:rPr>
        <w:t xml:space="preserve">Many </w:t>
      </w:r>
      <w:r>
        <w:rPr>
          <w:iCs/>
          <w:sz w:val="20"/>
          <w:szCs w:val="20"/>
          <w:lang w:eastAsia="zh-CN"/>
        </w:rPr>
        <w:t xml:space="preserve">SMF team members </w:t>
      </w:r>
      <w:r w:rsidRPr="006B33CF">
        <w:rPr>
          <w:iCs/>
          <w:sz w:val="20"/>
          <w:szCs w:val="20"/>
          <w:lang w:eastAsia="zh-CN"/>
        </w:rPr>
        <w:t>held the opinion that Coca-Cola’s brand equity is actually overstated in today’s climate</w:t>
      </w:r>
      <w:r w:rsidR="00E11457">
        <w:rPr>
          <w:iCs/>
          <w:sz w:val="20"/>
          <w:szCs w:val="20"/>
          <w:lang w:eastAsia="zh-CN"/>
        </w:rPr>
        <w:t>,</w:t>
      </w:r>
      <w:r w:rsidRPr="006B33CF">
        <w:rPr>
          <w:iCs/>
          <w:sz w:val="20"/>
          <w:szCs w:val="20"/>
          <w:lang w:eastAsia="zh-CN"/>
        </w:rPr>
        <w:t xml:space="preserve"> due to the shift towards health-conscious consumer decisions</w:t>
      </w:r>
      <w:r>
        <w:rPr>
          <w:iCs/>
          <w:sz w:val="20"/>
          <w:szCs w:val="20"/>
          <w:lang w:eastAsia="zh-CN"/>
        </w:rPr>
        <w:t xml:space="preserve">. The point was raised that, although the company had been awarded a </w:t>
      </w:r>
      <w:r w:rsidRPr="006B33CF">
        <w:rPr>
          <w:iCs/>
          <w:sz w:val="20"/>
          <w:szCs w:val="20"/>
          <w:lang w:eastAsia="zh-CN"/>
        </w:rPr>
        <w:t xml:space="preserve">high ESG </w:t>
      </w:r>
      <w:r>
        <w:rPr>
          <w:iCs/>
          <w:sz w:val="20"/>
          <w:szCs w:val="20"/>
          <w:lang w:eastAsia="zh-CN"/>
        </w:rPr>
        <w:t xml:space="preserve">(Environment, Social and Governance) </w:t>
      </w:r>
      <w:r w:rsidRPr="006B33CF">
        <w:rPr>
          <w:iCs/>
          <w:sz w:val="20"/>
          <w:szCs w:val="20"/>
          <w:lang w:eastAsia="zh-CN"/>
        </w:rPr>
        <w:t xml:space="preserve">score, </w:t>
      </w:r>
      <w:r w:rsidR="00B0549D">
        <w:rPr>
          <w:iCs/>
          <w:sz w:val="20"/>
          <w:szCs w:val="20"/>
          <w:lang w:eastAsia="zh-CN"/>
        </w:rPr>
        <w:t xml:space="preserve">it </w:t>
      </w:r>
      <w:r>
        <w:rPr>
          <w:iCs/>
          <w:sz w:val="20"/>
          <w:szCs w:val="20"/>
          <w:lang w:eastAsia="zh-CN"/>
        </w:rPr>
        <w:t>might be considered as causing</w:t>
      </w:r>
      <w:r w:rsidRPr="006B33CF">
        <w:rPr>
          <w:iCs/>
          <w:sz w:val="20"/>
          <w:szCs w:val="20"/>
          <w:lang w:eastAsia="zh-CN"/>
        </w:rPr>
        <w:t xml:space="preserve"> social harm</w:t>
      </w:r>
      <w:r>
        <w:rPr>
          <w:iCs/>
          <w:sz w:val="20"/>
          <w:szCs w:val="20"/>
          <w:lang w:eastAsia="zh-CN"/>
        </w:rPr>
        <w:t xml:space="preserve"> by </w:t>
      </w:r>
      <w:r w:rsidRPr="006B33CF">
        <w:rPr>
          <w:iCs/>
          <w:sz w:val="20"/>
          <w:szCs w:val="20"/>
          <w:lang w:eastAsia="zh-CN"/>
        </w:rPr>
        <w:t>contributi</w:t>
      </w:r>
      <w:r>
        <w:rPr>
          <w:iCs/>
          <w:sz w:val="20"/>
          <w:szCs w:val="20"/>
          <w:lang w:eastAsia="zh-CN"/>
        </w:rPr>
        <w:t>ng</w:t>
      </w:r>
      <w:r w:rsidRPr="006B33CF">
        <w:rPr>
          <w:iCs/>
          <w:sz w:val="20"/>
          <w:szCs w:val="20"/>
          <w:lang w:eastAsia="zh-CN"/>
        </w:rPr>
        <w:t xml:space="preserve"> to growing concern</w:t>
      </w:r>
      <w:r>
        <w:rPr>
          <w:iCs/>
          <w:sz w:val="20"/>
          <w:szCs w:val="20"/>
          <w:lang w:eastAsia="zh-CN"/>
        </w:rPr>
        <w:t>s</w:t>
      </w:r>
      <w:r w:rsidRPr="006B33CF">
        <w:rPr>
          <w:iCs/>
          <w:sz w:val="20"/>
          <w:szCs w:val="20"/>
          <w:lang w:eastAsia="zh-CN"/>
        </w:rPr>
        <w:t xml:space="preserve"> surrounding obesity and other health complications. Other </w:t>
      </w:r>
      <w:r>
        <w:rPr>
          <w:iCs/>
          <w:sz w:val="20"/>
          <w:szCs w:val="20"/>
          <w:lang w:eastAsia="zh-CN"/>
        </w:rPr>
        <w:t xml:space="preserve">SMF team </w:t>
      </w:r>
      <w:r w:rsidRPr="006B33CF">
        <w:rPr>
          <w:iCs/>
          <w:sz w:val="20"/>
          <w:szCs w:val="20"/>
          <w:lang w:eastAsia="zh-CN"/>
        </w:rPr>
        <w:t>members disagreed</w:t>
      </w:r>
      <w:r w:rsidR="006924DD">
        <w:rPr>
          <w:iCs/>
          <w:sz w:val="20"/>
          <w:szCs w:val="20"/>
          <w:lang w:eastAsia="zh-CN"/>
        </w:rPr>
        <w:t>, taking the view that the company’s</w:t>
      </w:r>
      <w:r w:rsidR="006924DD" w:rsidRPr="006B33CF">
        <w:rPr>
          <w:iCs/>
          <w:sz w:val="20"/>
          <w:szCs w:val="20"/>
          <w:lang w:eastAsia="zh-CN"/>
        </w:rPr>
        <w:t xml:space="preserve"> </w:t>
      </w:r>
      <w:r>
        <w:rPr>
          <w:iCs/>
          <w:sz w:val="20"/>
          <w:szCs w:val="20"/>
          <w:lang w:eastAsia="zh-CN"/>
        </w:rPr>
        <w:t xml:space="preserve">other </w:t>
      </w:r>
      <w:r w:rsidRPr="006B33CF">
        <w:rPr>
          <w:iCs/>
          <w:sz w:val="20"/>
          <w:szCs w:val="20"/>
          <w:lang w:eastAsia="zh-CN"/>
        </w:rPr>
        <w:t>contributions to many socially beneficial initiatives offset their negative contributio</w:t>
      </w:r>
      <w:r>
        <w:rPr>
          <w:iCs/>
          <w:sz w:val="20"/>
          <w:szCs w:val="20"/>
          <w:lang w:eastAsia="zh-CN"/>
        </w:rPr>
        <w:t>ns,</w:t>
      </w:r>
      <w:r w:rsidRPr="006B33CF">
        <w:rPr>
          <w:iCs/>
          <w:sz w:val="20"/>
          <w:szCs w:val="20"/>
          <w:lang w:eastAsia="zh-CN"/>
        </w:rPr>
        <w:t xml:space="preserve"> especially </w:t>
      </w:r>
      <w:r w:rsidR="006924DD">
        <w:rPr>
          <w:iCs/>
          <w:sz w:val="20"/>
          <w:szCs w:val="20"/>
          <w:lang w:eastAsia="zh-CN"/>
        </w:rPr>
        <w:t>as</w:t>
      </w:r>
      <w:r w:rsidR="006924DD" w:rsidRPr="006B33CF">
        <w:rPr>
          <w:iCs/>
          <w:sz w:val="20"/>
          <w:szCs w:val="20"/>
          <w:lang w:eastAsia="zh-CN"/>
        </w:rPr>
        <w:t xml:space="preserve"> </w:t>
      </w:r>
      <w:r w:rsidRPr="006B33CF">
        <w:rPr>
          <w:iCs/>
          <w:sz w:val="20"/>
          <w:szCs w:val="20"/>
          <w:lang w:eastAsia="zh-CN"/>
        </w:rPr>
        <w:t>the</w:t>
      </w:r>
      <w:r>
        <w:rPr>
          <w:iCs/>
          <w:sz w:val="20"/>
          <w:szCs w:val="20"/>
          <w:lang w:eastAsia="zh-CN"/>
        </w:rPr>
        <w:t>ir</w:t>
      </w:r>
      <w:r w:rsidRPr="006B33CF">
        <w:rPr>
          <w:iCs/>
          <w:sz w:val="20"/>
          <w:szCs w:val="20"/>
          <w:lang w:eastAsia="zh-CN"/>
        </w:rPr>
        <w:t xml:space="preserve"> diversified product range includes water and kombucha</w:t>
      </w:r>
      <w:r>
        <w:rPr>
          <w:iCs/>
          <w:sz w:val="20"/>
          <w:szCs w:val="20"/>
          <w:lang w:eastAsia="zh-CN"/>
        </w:rPr>
        <w:t xml:space="preserve"> among other products</w:t>
      </w:r>
      <w:r w:rsidRPr="006B33CF">
        <w:rPr>
          <w:iCs/>
          <w:sz w:val="20"/>
          <w:szCs w:val="20"/>
          <w:lang w:eastAsia="zh-CN"/>
        </w:rPr>
        <w:t xml:space="preserve">. </w:t>
      </w:r>
    </w:p>
    <w:p w14:paraId="61C12D5C" w14:textId="771D1597" w:rsidR="00024F64" w:rsidRPr="006B33CF" w:rsidRDefault="00024F64" w:rsidP="00024F64">
      <w:pPr>
        <w:spacing w:before="180"/>
        <w:jc w:val="both"/>
        <w:rPr>
          <w:iCs/>
          <w:sz w:val="20"/>
          <w:szCs w:val="20"/>
          <w:lang w:eastAsia="zh-CN"/>
        </w:rPr>
      </w:pPr>
      <w:r w:rsidRPr="006B33CF">
        <w:rPr>
          <w:iCs/>
          <w:sz w:val="20"/>
          <w:szCs w:val="20"/>
          <w:lang w:eastAsia="zh-CN"/>
        </w:rPr>
        <w:t xml:space="preserve">The other side of the discussion </w:t>
      </w:r>
      <w:r w:rsidR="00B0549D">
        <w:rPr>
          <w:iCs/>
          <w:sz w:val="20"/>
          <w:szCs w:val="20"/>
          <w:lang w:eastAsia="zh-CN"/>
        </w:rPr>
        <w:t xml:space="preserve">focused on </w:t>
      </w:r>
      <w:r w:rsidRPr="006B33CF">
        <w:rPr>
          <w:iCs/>
          <w:sz w:val="20"/>
          <w:szCs w:val="20"/>
          <w:lang w:eastAsia="zh-CN"/>
        </w:rPr>
        <w:t xml:space="preserve">the viability of </w:t>
      </w:r>
      <w:r>
        <w:rPr>
          <w:iCs/>
          <w:sz w:val="20"/>
          <w:szCs w:val="20"/>
          <w:lang w:eastAsia="zh-CN"/>
        </w:rPr>
        <w:t xml:space="preserve">Coca-Cola Amatil </w:t>
      </w:r>
      <w:r w:rsidRPr="006B33CF">
        <w:rPr>
          <w:iCs/>
          <w:sz w:val="20"/>
          <w:szCs w:val="20"/>
          <w:lang w:eastAsia="zh-CN"/>
        </w:rPr>
        <w:t>as a long-term investment</w:t>
      </w:r>
      <w:r>
        <w:rPr>
          <w:iCs/>
          <w:sz w:val="20"/>
          <w:szCs w:val="20"/>
          <w:lang w:eastAsia="zh-CN"/>
        </w:rPr>
        <w:t xml:space="preserve">, with some </w:t>
      </w:r>
      <w:r w:rsidRPr="006B33CF">
        <w:rPr>
          <w:iCs/>
          <w:sz w:val="20"/>
          <w:szCs w:val="20"/>
          <w:lang w:eastAsia="zh-CN"/>
        </w:rPr>
        <w:t xml:space="preserve">suggesting </w:t>
      </w:r>
      <w:r>
        <w:rPr>
          <w:iCs/>
          <w:sz w:val="20"/>
          <w:szCs w:val="20"/>
          <w:lang w:eastAsia="zh-CN"/>
        </w:rPr>
        <w:t xml:space="preserve">that </w:t>
      </w:r>
      <w:r w:rsidRPr="006B33CF">
        <w:rPr>
          <w:iCs/>
          <w:sz w:val="20"/>
          <w:szCs w:val="20"/>
          <w:lang w:eastAsia="zh-CN"/>
        </w:rPr>
        <w:t xml:space="preserve">the stock </w:t>
      </w:r>
      <w:r w:rsidR="00B0549D">
        <w:rPr>
          <w:iCs/>
          <w:sz w:val="20"/>
          <w:szCs w:val="20"/>
          <w:lang w:eastAsia="zh-CN"/>
        </w:rPr>
        <w:t xml:space="preserve">was vulnerable </w:t>
      </w:r>
      <w:r>
        <w:rPr>
          <w:iCs/>
          <w:sz w:val="20"/>
          <w:szCs w:val="20"/>
          <w:lang w:eastAsia="zh-CN"/>
        </w:rPr>
        <w:t>as a consequence of exposure to high-sugar products</w:t>
      </w:r>
      <w:r w:rsidRPr="006B33CF">
        <w:rPr>
          <w:iCs/>
          <w:sz w:val="20"/>
          <w:szCs w:val="20"/>
          <w:lang w:eastAsia="zh-CN"/>
        </w:rPr>
        <w:t xml:space="preserve">. </w:t>
      </w:r>
      <w:r>
        <w:rPr>
          <w:iCs/>
          <w:sz w:val="20"/>
          <w:szCs w:val="20"/>
          <w:lang w:eastAsia="zh-CN"/>
        </w:rPr>
        <w:t>Potential c</w:t>
      </w:r>
      <w:r w:rsidRPr="006B33CF">
        <w:rPr>
          <w:iCs/>
          <w:sz w:val="20"/>
          <w:szCs w:val="20"/>
          <w:lang w:eastAsia="zh-CN"/>
        </w:rPr>
        <w:t xml:space="preserve">annibalisation of revenues </w:t>
      </w:r>
      <w:r>
        <w:rPr>
          <w:iCs/>
          <w:sz w:val="20"/>
          <w:szCs w:val="20"/>
          <w:lang w:eastAsia="zh-CN"/>
        </w:rPr>
        <w:t>was identified as a key risk,</w:t>
      </w:r>
      <w:r w:rsidRPr="006B33CF">
        <w:rPr>
          <w:iCs/>
          <w:sz w:val="20"/>
          <w:szCs w:val="20"/>
          <w:lang w:eastAsia="zh-CN"/>
        </w:rPr>
        <w:t xml:space="preserve"> </w:t>
      </w:r>
      <w:r>
        <w:rPr>
          <w:iCs/>
          <w:sz w:val="20"/>
          <w:szCs w:val="20"/>
          <w:lang w:eastAsia="zh-CN"/>
        </w:rPr>
        <w:t xml:space="preserve">as </w:t>
      </w:r>
      <w:r w:rsidR="006924DD">
        <w:rPr>
          <w:iCs/>
          <w:sz w:val="20"/>
          <w:szCs w:val="20"/>
          <w:lang w:eastAsia="zh-CN"/>
        </w:rPr>
        <w:t>consumers</w:t>
      </w:r>
      <w:r w:rsidRPr="006B33CF">
        <w:rPr>
          <w:iCs/>
          <w:sz w:val="20"/>
          <w:szCs w:val="20"/>
          <w:lang w:eastAsia="zh-CN"/>
        </w:rPr>
        <w:t xml:space="preserve"> switching away from </w:t>
      </w:r>
      <w:r>
        <w:rPr>
          <w:iCs/>
          <w:sz w:val="20"/>
          <w:szCs w:val="20"/>
          <w:lang w:eastAsia="zh-CN"/>
        </w:rPr>
        <w:t>Coca-Cola Amatil’s</w:t>
      </w:r>
      <w:r w:rsidRPr="006B33CF">
        <w:rPr>
          <w:iCs/>
          <w:sz w:val="20"/>
          <w:szCs w:val="20"/>
          <w:lang w:eastAsia="zh-CN"/>
        </w:rPr>
        <w:t xml:space="preserve"> </w:t>
      </w:r>
      <w:r>
        <w:rPr>
          <w:iCs/>
          <w:sz w:val="20"/>
          <w:szCs w:val="20"/>
          <w:lang w:eastAsia="zh-CN"/>
        </w:rPr>
        <w:t>high-sugar</w:t>
      </w:r>
      <w:r w:rsidRPr="006B33CF">
        <w:rPr>
          <w:iCs/>
          <w:sz w:val="20"/>
          <w:szCs w:val="20"/>
          <w:lang w:eastAsia="zh-CN"/>
        </w:rPr>
        <w:t xml:space="preserve"> product</w:t>
      </w:r>
      <w:r>
        <w:rPr>
          <w:iCs/>
          <w:sz w:val="20"/>
          <w:szCs w:val="20"/>
          <w:lang w:eastAsia="zh-CN"/>
        </w:rPr>
        <w:t>s</w:t>
      </w:r>
      <w:r w:rsidRPr="006B33CF">
        <w:rPr>
          <w:iCs/>
          <w:sz w:val="20"/>
          <w:szCs w:val="20"/>
          <w:lang w:eastAsia="zh-CN"/>
        </w:rPr>
        <w:t xml:space="preserve"> </w:t>
      </w:r>
      <w:r>
        <w:rPr>
          <w:iCs/>
          <w:sz w:val="20"/>
          <w:szCs w:val="20"/>
          <w:lang w:eastAsia="zh-CN"/>
        </w:rPr>
        <w:t>to</w:t>
      </w:r>
      <w:r w:rsidR="00B0549D">
        <w:rPr>
          <w:iCs/>
          <w:sz w:val="20"/>
          <w:szCs w:val="20"/>
          <w:lang w:eastAsia="zh-CN"/>
        </w:rPr>
        <w:t xml:space="preserve"> the company’s</w:t>
      </w:r>
      <w:r w:rsidRPr="006B33CF">
        <w:rPr>
          <w:iCs/>
          <w:sz w:val="20"/>
          <w:szCs w:val="20"/>
          <w:lang w:eastAsia="zh-CN"/>
        </w:rPr>
        <w:t xml:space="preserve"> healthier alternatives </w:t>
      </w:r>
      <w:r>
        <w:rPr>
          <w:iCs/>
          <w:sz w:val="20"/>
          <w:szCs w:val="20"/>
          <w:lang w:eastAsia="zh-CN"/>
        </w:rPr>
        <w:t>could</w:t>
      </w:r>
      <w:r w:rsidRPr="006B33CF">
        <w:rPr>
          <w:iCs/>
          <w:sz w:val="20"/>
          <w:szCs w:val="20"/>
          <w:lang w:eastAsia="zh-CN"/>
        </w:rPr>
        <w:t xml:space="preserve"> limit the potential for customer and revenue growth </w:t>
      </w:r>
      <w:r>
        <w:rPr>
          <w:iCs/>
          <w:sz w:val="20"/>
          <w:szCs w:val="20"/>
          <w:lang w:eastAsia="zh-CN"/>
        </w:rPr>
        <w:t>over</w:t>
      </w:r>
      <w:r w:rsidRPr="006B33CF">
        <w:rPr>
          <w:iCs/>
          <w:sz w:val="20"/>
          <w:szCs w:val="20"/>
          <w:lang w:eastAsia="zh-CN"/>
        </w:rPr>
        <w:t xml:space="preserve"> the long term.</w:t>
      </w:r>
      <w:r>
        <w:rPr>
          <w:iCs/>
          <w:sz w:val="20"/>
          <w:szCs w:val="20"/>
          <w:lang w:eastAsia="zh-CN"/>
        </w:rPr>
        <w:t xml:space="preserve"> </w:t>
      </w:r>
      <w:r>
        <w:rPr>
          <w:rFonts w:hint="eastAsia"/>
          <w:iCs/>
          <w:sz w:val="20"/>
          <w:szCs w:val="20"/>
          <w:lang w:eastAsia="zh-CN"/>
        </w:rPr>
        <w:t>Other</w:t>
      </w:r>
      <w:r w:rsidRPr="006B33CF">
        <w:rPr>
          <w:iCs/>
          <w:sz w:val="20"/>
          <w:szCs w:val="20"/>
          <w:lang w:eastAsia="zh-CN"/>
        </w:rPr>
        <w:t xml:space="preserve"> concern</w:t>
      </w:r>
      <w:r>
        <w:rPr>
          <w:iCs/>
          <w:sz w:val="20"/>
          <w:szCs w:val="20"/>
          <w:lang w:eastAsia="zh-CN"/>
        </w:rPr>
        <w:t>s rai</w:t>
      </w:r>
      <w:r w:rsidR="00B0549D">
        <w:rPr>
          <w:iCs/>
          <w:sz w:val="20"/>
          <w:szCs w:val="20"/>
          <w:lang w:eastAsia="zh-CN"/>
        </w:rPr>
        <w:t xml:space="preserve">sed included the company’s </w:t>
      </w:r>
      <w:r>
        <w:rPr>
          <w:iCs/>
          <w:sz w:val="20"/>
          <w:szCs w:val="20"/>
          <w:lang w:eastAsia="zh-CN"/>
        </w:rPr>
        <w:t>capability to correctly predict consumer trends and get their positioning right</w:t>
      </w:r>
      <w:r w:rsidRPr="006B33CF">
        <w:rPr>
          <w:iCs/>
          <w:sz w:val="20"/>
          <w:szCs w:val="20"/>
          <w:lang w:eastAsia="zh-CN"/>
        </w:rPr>
        <w:t xml:space="preserve">, </w:t>
      </w:r>
      <w:r>
        <w:rPr>
          <w:iCs/>
          <w:sz w:val="20"/>
          <w:szCs w:val="20"/>
          <w:lang w:eastAsia="zh-CN"/>
        </w:rPr>
        <w:t>which further exacerbates the risk of</w:t>
      </w:r>
      <w:r w:rsidRPr="006B33CF">
        <w:rPr>
          <w:iCs/>
          <w:sz w:val="20"/>
          <w:szCs w:val="20"/>
          <w:lang w:eastAsia="zh-CN"/>
        </w:rPr>
        <w:t xml:space="preserve"> large</w:t>
      </w:r>
      <w:r>
        <w:rPr>
          <w:iCs/>
          <w:sz w:val="20"/>
          <w:szCs w:val="20"/>
          <w:lang w:eastAsia="zh-CN"/>
        </w:rPr>
        <w:t>-scale</w:t>
      </w:r>
      <w:r w:rsidRPr="006B33CF">
        <w:rPr>
          <w:iCs/>
          <w:sz w:val="20"/>
          <w:szCs w:val="20"/>
          <w:lang w:eastAsia="zh-CN"/>
        </w:rPr>
        <w:t xml:space="preserve"> customer</w:t>
      </w:r>
      <w:r>
        <w:rPr>
          <w:iCs/>
          <w:sz w:val="20"/>
          <w:szCs w:val="20"/>
          <w:lang w:eastAsia="zh-CN"/>
        </w:rPr>
        <w:t xml:space="preserve"> </w:t>
      </w:r>
      <w:r w:rsidR="00B0549D">
        <w:rPr>
          <w:iCs/>
          <w:sz w:val="20"/>
          <w:szCs w:val="20"/>
          <w:lang w:eastAsia="zh-CN"/>
        </w:rPr>
        <w:t xml:space="preserve">attrition </w:t>
      </w:r>
      <w:r w:rsidRPr="006B33CF">
        <w:rPr>
          <w:iCs/>
          <w:sz w:val="20"/>
          <w:szCs w:val="20"/>
          <w:lang w:eastAsia="zh-CN"/>
        </w:rPr>
        <w:t>a</w:t>
      </w:r>
      <w:r>
        <w:rPr>
          <w:iCs/>
          <w:sz w:val="20"/>
          <w:szCs w:val="20"/>
          <w:lang w:eastAsia="zh-CN"/>
        </w:rPr>
        <w:t>nd greater cannibalisation</w:t>
      </w:r>
      <w:r w:rsidRPr="006B33CF">
        <w:rPr>
          <w:iCs/>
          <w:sz w:val="20"/>
          <w:szCs w:val="20"/>
          <w:lang w:eastAsia="zh-CN"/>
        </w:rPr>
        <w:t xml:space="preserve">. </w:t>
      </w:r>
      <w:r>
        <w:rPr>
          <w:iCs/>
          <w:sz w:val="20"/>
          <w:szCs w:val="20"/>
          <w:lang w:eastAsia="zh-CN"/>
        </w:rPr>
        <w:t>As a result, it was argued that</w:t>
      </w:r>
      <w:r w:rsidRPr="006B33CF">
        <w:rPr>
          <w:iCs/>
          <w:sz w:val="20"/>
          <w:szCs w:val="20"/>
          <w:lang w:eastAsia="zh-CN"/>
        </w:rPr>
        <w:t xml:space="preserve"> the best-case scenario </w:t>
      </w:r>
      <w:r>
        <w:rPr>
          <w:iCs/>
          <w:sz w:val="20"/>
          <w:szCs w:val="20"/>
          <w:lang w:eastAsia="zh-CN"/>
        </w:rPr>
        <w:t xml:space="preserve">is </w:t>
      </w:r>
      <w:r w:rsidRPr="006B33CF">
        <w:rPr>
          <w:iCs/>
          <w:sz w:val="20"/>
          <w:szCs w:val="20"/>
          <w:lang w:eastAsia="zh-CN"/>
        </w:rPr>
        <w:t xml:space="preserve">for the company </w:t>
      </w:r>
      <w:r>
        <w:rPr>
          <w:iCs/>
          <w:sz w:val="20"/>
          <w:szCs w:val="20"/>
          <w:lang w:eastAsia="zh-CN"/>
        </w:rPr>
        <w:t>to</w:t>
      </w:r>
      <w:r w:rsidRPr="006B33CF">
        <w:rPr>
          <w:iCs/>
          <w:sz w:val="20"/>
          <w:szCs w:val="20"/>
          <w:lang w:eastAsia="zh-CN"/>
        </w:rPr>
        <w:t xml:space="preserve"> ret</w:t>
      </w:r>
      <w:r>
        <w:rPr>
          <w:iCs/>
          <w:sz w:val="20"/>
          <w:szCs w:val="20"/>
          <w:lang w:eastAsia="zh-CN"/>
        </w:rPr>
        <w:t>ain its</w:t>
      </w:r>
      <w:r w:rsidRPr="006B33CF">
        <w:rPr>
          <w:iCs/>
          <w:sz w:val="20"/>
          <w:szCs w:val="20"/>
          <w:lang w:eastAsia="zh-CN"/>
        </w:rPr>
        <w:t xml:space="preserve"> current customer base </w:t>
      </w:r>
      <w:r>
        <w:rPr>
          <w:iCs/>
          <w:sz w:val="20"/>
          <w:szCs w:val="20"/>
          <w:lang w:eastAsia="zh-CN"/>
        </w:rPr>
        <w:t xml:space="preserve">through a </w:t>
      </w:r>
      <w:r w:rsidRPr="006B33CF">
        <w:rPr>
          <w:iCs/>
          <w:sz w:val="20"/>
          <w:szCs w:val="20"/>
          <w:lang w:eastAsia="zh-CN"/>
        </w:rPr>
        <w:t xml:space="preserve">different </w:t>
      </w:r>
      <w:r>
        <w:rPr>
          <w:iCs/>
          <w:sz w:val="20"/>
          <w:szCs w:val="20"/>
          <w:lang w:eastAsia="zh-CN"/>
        </w:rPr>
        <w:t xml:space="preserve">mix of </w:t>
      </w:r>
      <w:r w:rsidRPr="006B33CF">
        <w:rPr>
          <w:iCs/>
          <w:sz w:val="20"/>
          <w:szCs w:val="20"/>
          <w:lang w:eastAsia="zh-CN"/>
        </w:rPr>
        <w:t>products</w:t>
      </w:r>
      <w:r>
        <w:rPr>
          <w:iCs/>
          <w:sz w:val="20"/>
          <w:szCs w:val="20"/>
          <w:lang w:eastAsia="zh-CN"/>
        </w:rPr>
        <w:t>, making it hard to</w:t>
      </w:r>
      <w:r w:rsidRPr="006B33CF">
        <w:rPr>
          <w:iCs/>
          <w:sz w:val="20"/>
          <w:szCs w:val="20"/>
          <w:lang w:eastAsia="zh-CN"/>
        </w:rPr>
        <w:t xml:space="preserve"> generat</w:t>
      </w:r>
      <w:r>
        <w:rPr>
          <w:iCs/>
          <w:sz w:val="20"/>
          <w:szCs w:val="20"/>
          <w:lang w:eastAsia="zh-CN"/>
        </w:rPr>
        <w:t>e</w:t>
      </w:r>
      <w:r w:rsidRPr="006B33CF">
        <w:rPr>
          <w:iCs/>
          <w:sz w:val="20"/>
          <w:szCs w:val="20"/>
          <w:lang w:eastAsia="zh-CN"/>
        </w:rPr>
        <w:t xml:space="preserve"> customer </w:t>
      </w:r>
      <w:r>
        <w:rPr>
          <w:iCs/>
          <w:sz w:val="20"/>
          <w:szCs w:val="20"/>
          <w:lang w:eastAsia="zh-CN"/>
        </w:rPr>
        <w:t xml:space="preserve">and revenue </w:t>
      </w:r>
      <w:r w:rsidRPr="006B33CF">
        <w:rPr>
          <w:iCs/>
          <w:sz w:val="20"/>
          <w:szCs w:val="20"/>
          <w:lang w:eastAsia="zh-CN"/>
        </w:rPr>
        <w:t xml:space="preserve">growth. </w:t>
      </w:r>
      <w:r>
        <w:rPr>
          <w:iCs/>
          <w:sz w:val="20"/>
          <w:szCs w:val="20"/>
          <w:lang w:eastAsia="zh-CN"/>
        </w:rPr>
        <w:t xml:space="preserve">Indonesia was seen as possibly </w:t>
      </w:r>
      <w:r w:rsidR="006924DD">
        <w:rPr>
          <w:iCs/>
          <w:sz w:val="20"/>
          <w:szCs w:val="20"/>
          <w:lang w:eastAsia="zh-CN"/>
        </w:rPr>
        <w:t>having more potential</w:t>
      </w:r>
      <w:r>
        <w:rPr>
          <w:iCs/>
          <w:sz w:val="20"/>
          <w:szCs w:val="20"/>
          <w:lang w:eastAsia="zh-CN"/>
        </w:rPr>
        <w:t xml:space="preserve"> on this front</w:t>
      </w:r>
      <w:r w:rsidR="006924DD">
        <w:rPr>
          <w:iCs/>
          <w:sz w:val="20"/>
          <w:szCs w:val="20"/>
          <w:lang w:eastAsia="zh-CN"/>
        </w:rPr>
        <w:t>,</w:t>
      </w:r>
      <w:r>
        <w:rPr>
          <w:iCs/>
          <w:sz w:val="20"/>
          <w:szCs w:val="20"/>
          <w:lang w:eastAsia="zh-CN"/>
        </w:rPr>
        <w:t xml:space="preserve"> but </w:t>
      </w:r>
      <w:r w:rsidR="006924DD">
        <w:rPr>
          <w:iCs/>
          <w:sz w:val="20"/>
          <w:szCs w:val="20"/>
          <w:lang w:eastAsia="zh-CN"/>
        </w:rPr>
        <w:t xml:space="preserve">the company’s market presence </w:t>
      </w:r>
      <w:r>
        <w:rPr>
          <w:iCs/>
          <w:sz w:val="20"/>
          <w:szCs w:val="20"/>
          <w:lang w:eastAsia="zh-CN"/>
        </w:rPr>
        <w:t xml:space="preserve">was considered too uncertain and not large enough to offset any negative trends that might emerge in the Australian business. </w:t>
      </w:r>
    </w:p>
    <w:p w14:paraId="4AF5FF68" w14:textId="670D9367" w:rsidR="00024F64" w:rsidRPr="006B33CF" w:rsidRDefault="00024F64" w:rsidP="00024F64">
      <w:pPr>
        <w:spacing w:before="180"/>
        <w:jc w:val="both"/>
        <w:rPr>
          <w:iCs/>
          <w:sz w:val="20"/>
          <w:szCs w:val="20"/>
          <w:lang w:eastAsia="zh-CN"/>
        </w:rPr>
      </w:pPr>
      <w:r w:rsidRPr="006B33CF">
        <w:rPr>
          <w:iCs/>
          <w:sz w:val="20"/>
          <w:szCs w:val="20"/>
          <w:lang w:eastAsia="zh-CN"/>
        </w:rPr>
        <w:t xml:space="preserve">Ultimately, a combination of </w:t>
      </w:r>
      <w:r>
        <w:rPr>
          <w:iCs/>
          <w:sz w:val="20"/>
          <w:szCs w:val="20"/>
          <w:lang w:eastAsia="zh-CN"/>
        </w:rPr>
        <w:t xml:space="preserve">doubts over </w:t>
      </w:r>
      <w:r w:rsidRPr="006B33CF">
        <w:rPr>
          <w:iCs/>
          <w:sz w:val="20"/>
          <w:szCs w:val="20"/>
          <w:lang w:eastAsia="zh-CN"/>
        </w:rPr>
        <w:t>C</w:t>
      </w:r>
      <w:r>
        <w:rPr>
          <w:iCs/>
          <w:sz w:val="20"/>
          <w:szCs w:val="20"/>
          <w:lang w:eastAsia="zh-CN"/>
        </w:rPr>
        <w:t>oca-Cola Amatil</w:t>
      </w:r>
      <w:r w:rsidRPr="006B33CF">
        <w:rPr>
          <w:iCs/>
          <w:sz w:val="20"/>
          <w:szCs w:val="20"/>
          <w:lang w:eastAsia="zh-CN"/>
        </w:rPr>
        <w:t xml:space="preserve">’s </w:t>
      </w:r>
      <w:r>
        <w:rPr>
          <w:iCs/>
          <w:sz w:val="20"/>
          <w:szCs w:val="20"/>
          <w:lang w:eastAsia="zh-CN"/>
        </w:rPr>
        <w:t xml:space="preserve">SRI credentials and concerns over the </w:t>
      </w:r>
      <w:r w:rsidRPr="006B33CF">
        <w:rPr>
          <w:iCs/>
          <w:sz w:val="20"/>
          <w:szCs w:val="20"/>
          <w:lang w:eastAsia="zh-CN"/>
        </w:rPr>
        <w:t>risks relat</w:t>
      </w:r>
      <w:r>
        <w:rPr>
          <w:iCs/>
          <w:sz w:val="20"/>
          <w:szCs w:val="20"/>
          <w:lang w:eastAsia="zh-CN"/>
        </w:rPr>
        <w:t>ed</w:t>
      </w:r>
      <w:r w:rsidRPr="006B33CF">
        <w:rPr>
          <w:iCs/>
          <w:sz w:val="20"/>
          <w:szCs w:val="20"/>
          <w:lang w:eastAsia="zh-CN"/>
        </w:rPr>
        <w:t xml:space="preserve"> to revenue cannibalisation </w:t>
      </w:r>
      <w:r>
        <w:rPr>
          <w:iCs/>
          <w:sz w:val="20"/>
          <w:szCs w:val="20"/>
          <w:lang w:eastAsia="zh-CN"/>
        </w:rPr>
        <w:t xml:space="preserve">and </w:t>
      </w:r>
      <w:r w:rsidRPr="006B33CF">
        <w:rPr>
          <w:iCs/>
          <w:sz w:val="20"/>
          <w:szCs w:val="20"/>
          <w:lang w:eastAsia="zh-CN"/>
        </w:rPr>
        <w:t>limit</w:t>
      </w:r>
      <w:r>
        <w:rPr>
          <w:iCs/>
          <w:sz w:val="20"/>
          <w:szCs w:val="20"/>
          <w:lang w:eastAsia="zh-CN"/>
        </w:rPr>
        <w:t>ed</w:t>
      </w:r>
      <w:r w:rsidRPr="006B33CF">
        <w:rPr>
          <w:iCs/>
          <w:sz w:val="20"/>
          <w:szCs w:val="20"/>
          <w:lang w:eastAsia="zh-CN"/>
        </w:rPr>
        <w:t xml:space="preserve"> upside </w:t>
      </w:r>
      <w:r w:rsidR="00B0549D" w:rsidRPr="006B33CF">
        <w:rPr>
          <w:iCs/>
          <w:sz w:val="20"/>
          <w:szCs w:val="20"/>
          <w:lang w:eastAsia="zh-CN"/>
        </w:rPr>
        <w:t xml:space="preserve">potential </w:t>
      </w:r>
      <w:r>
        <w:rPr>
          <w:iCs/>
          <w:sz w:val="20"/>
          <w:szCs w:val="20"/>
          <w:lang w:eastAsia="zh-CN"/>
        </w:rPr>
        <w:t xml:space="preserve">over the long term </w:t>
      </w:r>
      <w:r w:rsidRPr="006B33CF">
        <w:rPr>
          <w:iCs/>
          <w:sz w:val="20"/>
          <w:szCs w:val="20"/>
          <w:lang w:eastAsia="zh-CN"/>
        </w:rPr>
        <w:t xml:space="preserve">led to </w:t>
      </w:r>
      <w:r>
        <w:rPr>
          <w:iCs/>
          <w:sz w:val="20"/>
          <w:szCs w:val="20"/>
          <w:lang w:eastAsia="zh-CN"/>
        </w:rPr>
        <w:t>a</w:t>
      </w:r>
      <w:r w:rsidR="00B0549D">
        <w:rPr>
          <w:iCs/>
          <w:sz w:val="20"/>
          <w:szCs w:val="20"/>
          <w:lang w:eastAsia="zh-CN"/>
        </w:rPr>
        <w:t xml:space="preserve"> final decision </w:t>
      </w:r>
      <w:r w:rsidRPr="006B33CF">
        <w:rPr>
          <w:iCs/>
          <w:sz w:val="20"/>
          <w:szCs w:val="20"/>
          <w:lang w:eastAsia="zh-CN"/>
        </w:rPr>
        <w:t xml:space="preserve">not </w:t>
      </w:r>
      <w:r>
        <w:rPr>
          <w:iCs/>
          <w:sz w:val="20"/>
          <w:szCs w:val="20"/>
          <w:lang w:eastAsia="zh-CN"/>
        </w:rPr>
        <w:t xml:space="preserve">to proceed to the </w:t>
      </w:r>
      <w:r w:rsidRPr="006B33CF">
        <w:rPr>
          <w:iCs/>
          <w:sz w:val="20"/>
          <w:szCs w:val="20"/>
          <w:lang w:eastAsia="zh-CN"/>
        </w:rPr>
        <w:t xml:space="preserve">in-depth analysis stage </w:t>
      </w:r>
      <w:r>
        <w:rPr>
          <w:iCs/>
          <w:sz w:val="20"/>
          <w:szCs w:val="20"/>
          <w:lang w:eastAsia="zh-CN"/>
        </w:rPr>
        <w:t>where it would be seriously examined as a potential investment</w:t>
      </w:r>
      <w:r w:rsidRPr="006B33CF">
        <w:rPr>
          <w:iCs/>
          <w:sz w:val="20"/>
          <w:szCs w:val="20"/>
          <w:lang w:eastAsia="zh-CN"/>
        </w:rPr>
        <w:t xml:space="preserve">. </w:t>
      </w:r>
    </w:p>
    <w:p w14:paraId="55F399F5" w14:textId="26FF2ACF" w:rsidR="00A250F3" w:rsidRPr="00EE35B6" w:rsidRDefault="006B33CF" w:rsidP="005E4ACB">
      <w:pPr>
        <w:spacing w:before="240"/>
        <w:rPr>
          <w:i/>
          <w:sz w:val="20"/>
          <w:szCs w:val="20"/>
          <w:lang w:eastAsia="zh-CN"/>
        </w:rPr>
      </w:pPr>
      <w:r w:rsidRPr="00EE35B6">
        <w:rPr>
          <w:i/>
          <w:sz w:val="20"/>
          <w:szCs w:val="20"/>
          <w:lang w:eastAsia="zh-CN"/>
        </w:rPr>
        <w:t>Luke Farrar, Head of AAE</w:t>
      </w:r>
    </w:p>
    <w:p w14:paraId="534F2B09" w14:textId="18499522" w:rsidR="00A250F3" w:rsidRDefault="00A250F3" w:rsidP="00A250F3">
      <w:pPr>
        <w:rPr>
          <w:lang w:eastAsia="zh-CN"/>
        </w:rPr>
      </w:pPr>
    </w:p>
    <w:p w14:paraId="7B90CF64" w14:textId="7DB80B2B" w:rsidR="00A250F3" w:rsidRDefault="00A250F3" w:rsidP="00A250F3">
      <w:pPr>
        <w:rPr>
          <w:lang w:eastAsia="zh-CN"/>
        </w:rPr>
      </w:pPr>
    </w:p>
    <w:bookmarkEnd w:id="1"/>
    <w:p w14:paraId="13A42F18" w14:textId="77777777" w:rsidR="007546B4" w:rsidRDefault="007546B4">
      <w:pPr>
        <w:spacing w:before="120" w:after="120" w:line="312" w:lineRule="auto"/>
        <w:rPr>
          <w:rFonts w:eastAsiaTheme="minorEastAsia"/>
          <w:b/>
          <w:color w:val="4472C4"/>
          <w:spacing w:val="15"/>
          <w:sz w:val="28"/>
          <w:szCs w:val="28"/>
          <w:bdr w:val="none" w:sz="0" w:space="0" w:color="auto" w:frame="1"/>
        </w:rPr>
      </w:pPr>
      <w:r>
        <w:rPr>
          <w:color w:val="4472C4"/>
          <w:sz w:val="28"/>
          <w:szCs w:val="28"/>
          <w:bdr w:val="none" w:sz="0" w:space="0" w:color="auto" w:frame="1"/>
        </w:rPr>
        <w:br w:type="page"/>
      </w:r>
    </w:p>
    <w:p w14:paraId="55A920D5" w14:textId="4BF380B2" w:rsidR="005A612A" w:rsidRPr="00692BAC" w:rsidRDefault="005A612A" w:rsidP="00A250F3">
      <w:pPr>
        <w:pStyle w:val="Heading1"/>
        <w:spacing w:before="0" w:after="240" w:line="240" w:lineRule="auto"/>
        <w:rPr>
          <w:color w:val="4472C4"/>
          <w:sz w:val="24"/>
          <w:szCs w:val="24"/>
          <w:bdr w:val="none" w:sz="0" w:space="0" w:color="auto" w:frame="1"/>
        </w:rPr>
      </w:pPr>
      <w:bookmarkStart w:id="17" w:name="_Toc19110724"/>
      <w:r w:rsidRPr="00692BAC">
        <w:rPr>
          <w:color w:val="4472C4"/>
          <w:sz w:val="24"/>
          <w:szCs w:val="24"/>
          <w:bdr w:val="none" w:sz="0" w:space="0" w:color="auto" w:frame="1"/>
        </w:rPr>
        <w:lastRenderedPageBreak/>
        <w:t>Portfolio Overview</w:t>
      </w:r>
      <w:bookmarkEnd w:id="17"/>
    </w:p>
    <w:p w14:paraId="20578A1F" w14:textId="595A78B7" w:rsidR="00525C2A" w:rsidRPr="00525C2A" w:rsidRDefault="00525C2A" w:rsidP="00525C2A">
      <w:pPr>
        <w:pStyle w:val="Heading3"/>
        <w:spacing w:before="360"/>
        <w:rPr>
          <w:lang w:val="en-US"/>
        </w:rPr>
      </w:pPr>
      <w:bookmarkStart w:id="18" w:name="_Toc19110725"/>
      <w:r>
        <w:rPr>
          <w:lang w:val="en-US"/>
        </w:rPr>
        <w:t>Portfolio Structure</w:t>
      </w:r>
      <w:bookmarkEnd w:id="18"/>
    </w:p>
    <w:p w14:paraId="3A2F15FB" w14:textId="085FEE82" w:rsidR="00830FE3" w:rsidRPr="006E4BAB" w:rsidRDefault="00654568" w:rsidP="00FE05FE">
      <w:pPr>
        <w:spacing w:before="180" w:after="180"/>
        <w:jc w:val="both"/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9E7A01">
        <w:rPr>
          <w:color w:val="000000" w:themeColor="text1"/>
          <w:sz w:val="20"/>
        </w:rPr>
        <w:t xml:space="preserve">Asset allocation data </w:t>
      </w:r>
      <w:r w:rsidR="0032578E">
        <w:rPr>
          <w:color w:val="000000" w:themeColor="text1"/>
          <w:sz w:val="20"/>
        </w:rPr>
        <w:t>as at</w:t>
      </w:r>
      <w:r w:rsidR="00041B82">
        <w:rPr>
          <w:color w:val="000000" w:themeColor="text1"/>
          <w:sz w:val="20"/>
        </w:rPr>
        <w:t xml:space="preserve"> </w:t>
      </w:r>
      <w:r w:rsidR="00B0549D">
        <w:rPr>
          <w:color w:val="000000" w:themeColor="text1"/>
          <w:sz w:val="20"/>
        </w:rPr>
        <w:t>12</w:t>
      </w:r>
      <w:r w:rsidR="00B0549D">
        <w:rPr>
          <w:color w:val="000000" w:themeColor="text1"/>
          <w:sz w:val="20"/>
          <w:vertAlign w:val="superscript"/>
        </w:rPr>
        <w:t>th</w:t>
      </w:r>
      <w:r w:rsidR="00023088">
        <w:rPr>
          <w:color w:val="000000" w:themeColor="text1"/>
          <w:sz w:val="20"/>
        </w:rPr>
        <w:t xml:space="preserve"> </w:t>
      </w:r>
      <w:r w:rsidR="00023088" w:rsidRPr="009E7A01">
        <w:rPr>
          <w:color w:val="000000" w:themeColor="text1"/>
          <w:sz w:val="20"/>
        </w:rPr>
        <w:t>September</w:t>
      </w:r>
      <w:r w:rsidR="000C4D51">
        <w:rPr>
          <w:color w:val="000000" w:themeColor="text1"/>
          <w:sz w:val="20"/>
        </w:rPr>
        <w:t>,</w:t>
      </w:r>
      <w:r w:rsidR="009E7A01" w:rsidRPr="009E7A01">
        <w:rPr>
          <w:color w:val="000000" w:themeColor="text1"/>
          <w:sz w:val="20"/>
        </w:rPr>
        <w:t xml:space="preserve"> 2019 </w:t>
      </w:r>
      <w:r w:rsidR="006E4BAB">
        <w:rPr>
          <w:color w:val="000000" w:themeColor="text1"/>
          <w:sz w:val="20"/>
        </w:rPr>
        <w:t>is</w:t>
      </w:r>
      <w:r w:rsidRPr="009E7A01">
        <w:rPr>
          <w:color w:val="000000" w:themeColor="text1"/>
          <w:sz w:val="20"/>
        </w:rPr>
        <w:t xml:space="preserve"> </w:t>
      </w:r>
      <w:r w:rsidR="004B2535">
        <w:rPr>
          <w:color w:val="000000" w:themeColor="text1"/>
          <w:sz w:val="20"/>
        </w:rPr>
        <w:t xml:space="preserve">charted </w:t>
      </w:r>
      <w:r w:rsidRPr="009E7A01">
        <w:rPr>
          <w:color w:val="000000" w:themeColor="text1"/>
          <w:sz w:val="20"/>
        </w:rPr>
        <w:t>in Figure 1</w:t>
      </w:r>
      <w:r w:rsidR="004B2535">
        <w:rPr>
          <w:color w:val="000000" w:themeColor="text1"/>
          <w:sz w:val="20"/>
        </w:rPr>
        <w:t xml:space="preserve"> and detailed in </w:t>
      </w:r>
      <w:r w:rsidR="004B2535" w:rsidRPr="006E0BB3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Figure </w:t>
      </w:r>
      <w:r w:rsidR="004B253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2</w:t>
      </w:r>
      <w:r w:rsidR="004B2535" w:rsidRPr="006E0BB3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4B253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(see over)</w:t>
      </w:r>
      <w:r w:rsidR="0005193B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. The latter</w:t>
      </w:r>
      <w:r w:rsidR="004B253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05193B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reports</w:t>
      </w:r>
      <w:r w:rsidR="004B253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the </w:t>
      </w:r>
      <w:r w:rsidR="004B2535" w:rsidRPr="006E0BB3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values and weightings </w:t>
      </w:r>
      <w:r w:rsidR="004B253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of investments held </w:t>
      </w:r>
      <w:r w:rsidR="004B2535" w:rsidRPr="006E0BB3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within the </w:t>
      </w:r>
      <w:r w:rsidR="0005193B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overall SMF </w:t>
      </w:r>
      <w:r w:rsidR="004B2535" w:rsidRPr="006E0BB3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portfolio</w:t>
      </w:r>
      <w:r w:rsidR="0005193B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including </w:t>
      </w:r>
      <w:r w:rsidR="004B253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deviations from the reference portfolio</w:t>
      </w:r>
      <w:r w:rsidR="004B2535" w:rsidRPr="006E0BB3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.</w:t>
      </w:r>
      <w:r w:rsidR="00041B82">
        <w:rPr>
          <w:color w:val="000000" w:themeColor="text1"/>
          <w:sz w:val="20"/>
        </w:rPr>
        <w:t xml:space="preserve"> </w:t>
      </w:r>
      <w:r w:rsidR="00B11B04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T</w:t>
      </w:r>
      <w:r w:rsidR="006E4BAB" w:rsidRPr="006E0BB3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he </w:t>
      </w:r>
      <w:r w:rsidR="00B11B04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weight in Australian equities stands at 5</w:t>
      </w:r>
      <w:r w:rsidR="00D9495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8</w:t>
      </w:r>
      <w:r w:rsidR="00B11B04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.</w:t>
      </w:r>
      <w:r w:rsidR="00D9495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82</w:t>
      </w:r>
      <w:r w:rsidR="00B11B04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%, comprised of 48.</w:t>
      </w:r>
      <w:r w:rsidR="00D9495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6</w:t>
      </w:r>
      <w:r w:rsidR="00B11B04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5% in the </w:t>
      </w:r>
      <w:r w:rsidR="006E4BAB" w:rsidRPr="006E0BB3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AAE portfolio</w:t>
      </w:r>
      <w:r w:rsidR="00B11B04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4B253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(versus 50% reference weight) </w:t>
      </w:r>
      <w:r w:rsidR="00B11B04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and 10.1</w:t>
      </w:r>
      <w:r w:rsidR="00D9495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7</w:t>
      </w:r>
      <w:r w:rsidR="00B11B04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% in the S&amp;P/ASX200 ETF</w:t>
      </w:r>
      <w:r w:rsidR="006E4BAB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B11B04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held within the </w:t>
      </w:r>
      <w:r w:rsidR="004B253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asset allocation component of the portfolio. </w:t>
      </w:r>
      <w:r w:rsidR="004B2535">
        <w:rPr>
          <w:color w:val="000000" w:themeColor="text1"/>
          <w:sz w:val="20"/>
        </w:rPr>
        <w:t>The deviation</w:t>
      </w:r>
      <w:r w:rsidR="0005193B">
        <w:rPr>
          <w:color w:val="000000" w:themeColor="text1"/>
          <w:sz w:val="20"/>
        </w:rPr>
        <w:t>s</w:t>
      </w:r>
      <w:r w:rsidR="004B2535">
        <w:rPr>
          <w:color w:val="000000" w:themeColor="text1"/>
          <w:sz w:val="20"/>
        </w:rPr>
        <w:t xml:space="preserve"> from the reference weights are a consequence of relative asset class performance</w:t>
      </w:r>
      <w:r w:rsidR="0005193B">
        <w:rPr>
          <w:color w:val="000000" w:themeColor="text1"/>
          <w:sz w:val="20"/>
        </w:rPr>
        <w:t>,</w:t>
      </w:r>
      <w:r w:rsidR="004B2535">
        <w:rPr>
          <w:color w:val="000000" w:themeColor="text1"/>
          <w:sz w:val="20"/>
        </w:rPr>
        <w:t xml:space="preserve"> plus receipt of income which </w:t>
      </w:r>
      <w:r w:rsidR="0005193B">
        <w:rPr>
          <w:color w:val="000000" w:themeColor="text1"/>
          <w:sz w:val="20"/>
        </w:rPr>
        <w:t xml:space="preserve">acts to boost </w:t>
      </w:r>
      <w:r w:rsidR="004B2535">
        <w:rPr>
          <w:color w:val="000000" w:themeColor="text1"/>
          <w:sz w:val="20"/>
        </w:rPr>
        <w:t xml:space="preserve">the cash weighting. Within the AAE component of the portfolio, </w:t>
      </w:r>
      <w:r w:rsidR="005A106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the weight of </w:t>
      </w:r>
      <w:r w:rsidR="00B11B04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the </w:t>
      </w:r>
      <w:r w:rsidR="005A106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S&amp;P/ASX200 ETF </w:t>
      </w:r>
      <w:r w:rsidR="004B253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stands</w:t>
      </w:r>
      <w:r w:rsidR="005A106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4B253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at </w:t>
      </w:r>
      <w:r w:rsidR="005A106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61.6</w:t>
      </w:r>
      <w:r w:rsidR="00D9495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9</w:t>
      </w:r>
      <w:r w:rsidR="005A106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%</w:t>
      </w:r>
      <w:r w:rsidR="0005193B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,</w:t>
      </w:r>
      <w:r w:rsidR="004B253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692BAC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with active</w:t>
      </w:r>
      <w:r w:rsidR="004B253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stock positions summing 38.</w:t>
      </w:r>
      <w:r w:rsidR="00686E81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3</w:t>
      </w:r>
      <w:r w:rsidR="005E44F0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1</w:t>
      </w:r>
      <w:r w:rsidR="004B2535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%. </w:t>
      </w:r>
    </w:p>
    <w:p w14:paraId="04564230" w14:textId="68B69CC6" w:rsidR="005A612A" w:rsidRPr="00B016B8" w:rsidRDefault="0076304F" w:rsidP="007546B4">
      <w:pPr>
        <w:pStyle w:val="TableFigure"/>
        <w:spacing w:before="360" w:after="80" w:line="240" w:lineRule="auto"/>
        <w:jc w:val="left"/>
        <w:rPr>
          <w:sz w:val="22"/>
          <w:szCs w:val="22"/>
          <w:lang w:val="en-US"/>
        </w:rPr>
      </w:pPr>
      <w:r w:rsidRPr="008C790E">
        <w:rPr>
          <w:i/>
          <w:sz w:val="22"/>
          <w:szCs w:val="22"/>
          <w:lang w:val="en-US"/>
        </w:rPr>
        <w:t xml:space="preserve">Figure </w:t>
      </w:r>
      <w:r w:rsidR="00B016B8" w:rsidRPr="008C790E">
        <w:rPr>
          <w:i/>
          <w:sz w:val="22"/>
          <w:szCs w:val="22"/>
          <w:lang w:val="en-US"/>
        </w:rPr>
        <w:t>1</w:t>
      </w:r>
      <w:r w:rsidRPr="008C790E">
        <w:rPr>
          <w:i/>
          <w:sz w:val="22"/>
          <w:szCs w:val="22"/>
          <w:lang w:val="en-US"/>
        </w:rPr>
        <w:t>: Asset Allocation</w:t>
      </w:r>
      <w:r w:rsidRPr="00B016B8">
        <w:rPr>
          <w:sz w:val="22"/>
          <w:szCs w:val="22"/>
          <w:lang w:val="en-US"/>
        </w:rPr>
        <w:t xml:space="preserve"> as at </w:t>
      </w:r>
      <w:r w:rsidR="007546B4" w:rsidRPr="00B016B8">
        <w:rPr>
          <w:sz w:val="22"/>
          <w:szCs w:val="22"/>
          <w:lang w:val="en-US"/>
        </w:rPr>
        <w:t>1</w:t>
      </w:r>
      <w:r w:rsidR="00B0549D">
        <w:rPr>
          <w:sz w:val="22"/>
          <w:szCs w:val="22"/>
          <w:lang w:val="en-US"/>
        </w:rPr>
        <w:t>2</w:t>
      </w:r>
      <w:r w:rsidR="00B0549D" w:rsidRPr="00B0549D">
        <w:rPr>
          <w:sz w:val="22"/>
          <w:szCs w:val="22"/>
          <w:vertAlign w:val="superscript"/>
          <w:lang w:val="en-US"/>
        </w:rPr>
        <w:t>th</w:t>
      </w:r>
      <w:r w:rsidR="00B0549D">
        <w:rPr>
          <w:sz w:val="22"/>
          <w:szCs w:val="22"/>
          <w:lang w:val="en-US"/>
        </w:rPr>
        <w:t xml:space="preserve"> September, </w:t>
      </w:r>
      <w:r w:rsidR="009E7A01" w:rsidRPr="00B016B8">
        <w:rPr>
          <w:sz w:val="22"/>
          <w:szCs w:val="22"/>
          <w:lang w:val="en-US"/>
        </w:rPr>
        <w:t>20</w:t>
      </w:r>
      <w:r w:rsidRPr="00B016B8">
        <w:rPr>
          <w:sz w:val="22"/>
          <w:szCs w:val="22"/>
          <w:lang w:val="en-US"/>
        </w:rPr>
        <w:t>19</w:t>
      </w:r>
    </w:p>
    <w:p w14:paraId="5F10E7B1" w14:textId="1D9A405F" w:rsidR="00CF4C5D" w:rsidRDefault="00023088" w:rsidP="00A250F3">
      <w:pPr>
        <w:pStyle w:val="NormalWeb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 wp14:anchorId="14B18C9D" wp14:editId="5B249D1D">
            <wp:extent cx="6097270" cy="3097530"/>
            <wp:effectExtent l="0" t="0" r="11430" b="1397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F9ADF949-C7CD-9144-95C8-045A8C5908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546B4">
        <w:rPr>
          <w:noProof/>
          <w:lang w:val="en-AU" w:eastAsia="en-AU"/>
        </w:rPr>
        <w:t xml:space="preserve"> </w:t>
      </w:r>
    </w:p>
    <w:p w14:paraId="6C167BDB" w14:textId="4DD0E6C0" w:rsidR="00CF4C5D" w:rsidRDefault="00CF4C5D" w:rsidP="00A250F3">
      <w:pPr>
        <w:pStyle w:val="NormalWeb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</w:p>
    <w:p w14:paraId="62312BCA" w14:textId="77777777" w:rsidR="00AB7FAE" w:rsidRDefault="00AB7FAE" w:rsidP="00A250F3">
      <w:pPr>
        <w:pStyle w:val="NormalWeb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</w:p>
    <w:p w14:paraId="286CD06B" w14:textId="7957A8A5" w:rsidR="00AB7FAE" w:rsidRPr="00AB7FAE" w:rsidRDefault="00AB7FAE" w:rsidP="00A250F3">
      <w:pPr>
        <w:pStyle w:val="NormalWeb"/>
        <w:spacing w:before="0" w:beforeAutospacing="0" w:after="0" w:afterAutospacing="0"/>
        <w:jc w:val="both"/>
        <w:rPr>
          <w:b/>
          <w:color w:val="000000"/>
          <w:sz w:val="20"/>
          <w:szCs w:val="20"/>
          <w:lang w:val="en-AU"/>
        </w:rPr>
      </w:pPr>
      <w:r>
        <w:rPr>
          <w:noProof/>
          <w:lang w:val="en-AU" w:eastAsia="en-AU"/>
        </w:rPr>
        <mc:AlternateContent>
          <mc:Choice Requires="cx1">
            <w:drawing>
              <wp:inline distT="0" distB="0" distL="0" distR="0" wp14:anchorId="32EDC285" wp14:editId="7B6A866A">
                <wp:extent cx="6097270" cy="2818356"/>
                <wp:effectExtent l="0" t="0" r="11430" b="1270"/>
                <wp:docPr id="2" name="Char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C39CF0-2A1F-394A-8863-267908B9C8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5"/>
                  </a:graphicData>
                </a:graphic>
              </wp:inline>
            </w:drawing>
          </mc:Choice>
          <mc:Fallback>
            <w:drawing>
              <wp:inline distT="0" distB="0" distL="0" distR="0" wp14:anchorId="5A1BC5C4" wp14:editId="7B6A866A">
                <wp:extent cx="6097270" cy="2818356"/>
                <wp:effectExtent l="0" t="0" r="11430" b="1270"/>
                <wp:docPr id="2139005613" name="Char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C39CF0-2A1F-394A-8863-267908B9C8A9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hart 2">
                          <a:extLst>
                            <a:ext uri="{FF2B5EF4-FFF2-40B4-BE49-F238E27FC236}">
                              <a16:creationId xmlns:a16="http://schemas.microsoft.com/office/drawing/2014/main" id="{87C39CF0-2A1F-394A-8863-267908B9C8A9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7270" cy="2818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31986BD5" w14:textId="77777777" w:rsidR="00B0549D" w:rsidRDefault="00B0549D">
      <w:pPr>
        <w:spacing w:before="120" w:after="120" w:line="312" w:lineRule="auto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br w:type="page"/>
      </w:r>
    </w:p>
    <w:p w14:paraId="09C488D2" w14:textId="3D6B4008" w:rsidR="0096546E" w:rsidRPr="00AC697D" w:rsidRDefault="0096546E" w:rsidP="0012519F">
      <w:pPr>
        <w:spacing w:before="240" w:after="60"/>
        <w:jc w:val="both"/>
        <w:rPr>
          <w:b/>
          <w:sz w:val="22"/>
          <w:szCs w:val="22"/>
          <w:lang w:val="en-US"/>
        </w:rPr>
      </w:pPr>
      <w:r w:rsidRPr="007A3ACE">
        <w:rPr>
          <w:b/>
          <w:sz w:val="22"/>
          <w:szCs w:val="22"/>
          <w:lang w:val="en-US"/>
        </w:rPr>
        <w:lastRenderedPageBreak/>
        <w:t xml:space="preserve">Figure </w:t>
      </w:r>
      <w:r w:rsidR="00F064F9">
        <w:rPr>
          <w:b/>
          <w:sz w:val="22"/>
          <w:szCs w:val="22"/>
          <w:lang w:val="en-US"/>
        </w:rPr>
        <w:t>2</w:t>
      </w:r>
      <w:r w:rsidRPr="007A3ACE">
        <w:rPr>
          <w:b/>
          <w:sz w:val="22"/>
          <w:szCs w:val="22"/>
          <w:lang w:val="en-US"/>
        </w:rPr>
        <w:t xml:space="preserve">: </w:t>
      </w:r>
      <w:r w:rsidR="00B34536" w:rsidRPr="00AB1473">
        <w:rPr>
          <w:b/>
          <w:sz w:val="22"/>
          <w:szCs w:val="22"/>
        </w:rPr>
        <w:t>Portfolio Structure</w:t>
      </w:r>
      <w:r w:rsidR="00B34536">
        <w:rPr>
          <w:b/>
          <w:sz w:val="22"/>
          <w:szCs w:val="22"/>
        </w:rPr>
        <w:t xml:space="preserve"> as at </w:t>
      </w:r>
      <w:r w:rsidR="00B34536" w:rsidRPr="00AB1473">
        <w:rPr>
          <w:b/>
          <w:sz w:val="22"/>
          <w:szCs w:val="22"/>
        </w:rPr>
        <w:t>1</w:t>
      </w:r>
      <w:r w:rsidR="00B0549D">
        <w:rPr>
          <w:b/>
          <w:sz w:val="22"/>
          <w:szCs w:val="22"/>
        </w:rPr>
        <w:t>2</w:t>
      </w:r>
      <w:r w:rsidR="00B34536" w:rsidRPr="005060DD">
        <w:rPr>
          <w:b/>
          <w:sz w:val="22"/>
          <w:szCs w:val="22"/>
          <w:vertAlign w:val="superscript"/>
        </w:rPr>
        <w:t>t</w:t>
      </w:r>
      <w:r w:rsidR="00B0549D">
        <w:rPr>
          <w:b/>
          <w:sz w:val="22"/>
          <w:szCs w:val="22"/>
          <w:vertAlign w:val="superscript"/>
        </w:rPr>
        <w:t>h</w:t>
      </w:r>
      <w:r w:rsidR="00B34536" w:rsidRPr="00AB1473">
        <w:rPr>
          <w:b/>
          <w:sz w:val="22"/>
          <w:szCs w:val="22"/>
        </w:rPr>
        <w:t xml:space="preserve"> </w:t>
      </w:r>
      <w:r w:rsidR="00CC5A72">
        <w:rPr>
          <w:b/>
          <w:sz w:val="22"/>
          <w:szCs w:val="22"/>
        </w:rPr>
        <w:t>September,</w:t>
      </w:r>
      <w:bookmarkStart w:id="19" w:name="_GoBack"/>
      <w:bookmarkEnd w:id="19"/>
      <w:r w:rsidR="00B34536" w:rsidRPr="00AB1473">
        <w:rPr>
          <w:b/>
          <w:sz w:val="22"/>
          <w:szCs w:val="22"/>
        </w:rPr>
        <w:t xml:space="preserve"> 2019</w:t>
      </w:r>
    </w:p>
    <w:tbl>
      <w:tblPr>
        <w:tblW w:w="9557" w:type="dxa"/>
        <w:tblLook w:val="04A0" w:firstRow="1" w:lastRow="0" w:firstColumn="1" w:lastColumn="0" w:noHBand="0" w:noVBand="1"/>
      </w:tblPr>
      <w:tblGrid>
        <w:gridCol w:w="2849"/>
        <w:gridCol w:w="2412"/>
        <w:gridCol w:w="1253"/>
        <w:gridCol w:w="1016"/>
        <w:gridCol w:w="1042"/>
        <w:gridCol w:w="985"/>
      </w:tblGrid>
      <w:tr w:rsidR="0005193B" w:rsidRPr="005060DD" w14:paraId="2684019F" w14:textId="77777777" w:rsidTr="00A27527">
        <w:trPr>
          <w:trHeight w:val="786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FEAF6"/>
            <w:vAlign w:val="center"/>
            <w:hideMark/>
          </w:tcPr>
          <w:p w14:paraId="6D79C099" w14:textId="77777777" w:rsidR="0005193B" w:rsidRPr="005060DD" w:rsidRDefault="0005193B" w:rsidP="00A161BB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Portfolio Component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FEAF6"/>
            <w:vAlign w:val="center"/>
            <w:hideMark/>
          </w:tcPr>
          <w:p w14:paraId="72DEAC82" w14:textId="77777777" w:rsidR="0005193B" w:rsidRPr="005060DD" w:rsidRDefault="0005193B" w:rsidP="00A161B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Benchmark ETF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FEAF6"/>
            <w:vAlign w:val="center"/>
            <w:hideMark/>
          </w:tcPr>
          <w:p w14:paraId="638CEC0A" w14:textId="21D120DB" w:rsidR="0005193B" w:rsidRPr="005060DD" w:rsidRDefault="0005193B" w:rsidP="00A161B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Asset Values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FEAF6"/>
            <w:vAlign w:val="center"/>
            <w:hideMark/>
          </w:tcPr>
          <w:p w14:paraId="30481C5E" w14:textId="77777777" w:rsidR="0005193B" w:rsidRPr="005060DD" w:rsidRDefault="0005193B" w:rsidP="00A161B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SMF Portfolio Weight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FEAF6"/>
            <w:vAlign w:val="center"/>
            <w:hideMark/>
          </w:tcPr>
          <w:p w14:paraId="597508BB" w14:textId="77777777" w:rsidR="0005193B" w:rsidRPr="005060DD" w:rsidRDefault="0005193B" w:rsidP="00A161B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Reference Portfolio Weight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FEAF6"/>
            <w:vAlign w:val="center"/>
            <w:hideMark/>
          </w:tcPr>
          <w:p w14:paraId="79DCCBD1" w14:textId="77777777" w:rsidR="0005193B" w:rsidRPr="005060DD" w:rsidRDefault="0005193B" w:rsidP="00A161B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Over (Under) Weight</w:t>
            </w:r>
          </w:p>
        </w:tc>
      </w:tr>
      <w:tr w:rsidR="0005193B" w:rsidRPr="005060DD" w14:paraId="6BE1F12E" w14:textId="77777777" w:rsidTr="00A27527">
        <w:trPr>
          <w:trHeight w:val="301"/>
        </w:trPr>
        <w:tc>
          <w:tcPr>
            <w:tcW w:w="2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FEAF6"/>
            <w:vAlign w:val="center"/>
            <w:hideMark/>
          </w:tcPr>
          <w:p w14:paraId="313EEB6F" w14:textId="77777777" w:rsidR="0005193B" w:rsidRPr="005060DD" w:rsidRDefault="0005193B" w:rsidP="00A161BB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DFEAF6"/>
            <w:vAlign w:val="center"/>
            <w:hideMark/>
          </w:tcPr>
          <w:p w14:paraId="55DABD6A" w14:textId="77777777" w:rsidR="0005193B" w:rsidRPr="005060DD" w:rsidRDefault="0005193B" w:rsidP="00A161B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FEAF6"/>
            <w:vAlign w:val="center"/>
            <w:hideMark/>
          </w:tcPr>
          <w:p w14:paraId="43A17F46" w14:textId="127A4A27" w:rsidR="0005193B" w:rsidRPr="005060DD" w:rsidRDefault="0005193B" w:rsidP="00A161B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$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DFEAF6"/>
            <w:vAlign w:val="center"/>
            <w:hideMark/>
          </w:tcPr>
          <w:p w14:paraId="259C6C42" w14:textId="77777777" w:rsidR="0005193B" w:rsidRPr="005060DD" w:rsidRDefault="0005193B" w:rsidP="00A161B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DFEAF6"/>
            <w:vAlign w:val="center"/>
            <w:hideMark/>
          </w:tcPr>
          <w:p w14:paraId="7CF1F2EB" w14:textId="77777777" w:rsidR="0005193B" w:rsidRPr="005060DD" w:rsidRDefault="0005193B" w:rsidP="00A161B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FEAF6"/>
            <w:vAlign w:val="center"/>
            <w:hideMark/>
          </w:tcPr>
          <w:p w14:paraId="6901247E" w14:textId="77777777" w:rsidR="0005193B" w:rsidRPr="005060DD" w:rsidRDefault="0005193B" w:rsidP="00A161B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%</w:t>
            </w:r>
          </w:p>
        </w:tc>
      </w:tr>
      <w:tr w:rsidR="0005193B" w:rsidRPr="005060DD" w14:paraId="17B2D284" w14:textId="77777777" w:rsidTr="00A27527">
        <w:trPr>
          <w:trHeight w:val="301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E51C5" w14:textId="77777777" w:rsidR="0005193B" w:rsidRPr="005060DD" w:rsidRDefault="0005193B" w:rsidP="00A161BB">
            <w:pPr>
              <w:rPr>
                <w:b/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u w:val="single"/>
                <w:lang w:eastAsia="zh-CN"/>
              </w:rPr>
              <w:t>Active Australian Equities Portfolio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3C750" w14:textId="35CD7AB6" w:rsidR="0005193B" w:rsidRPr="005060DD" w:rsidRDefault="0005193B" w:rsidP="00A161B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20C40" w14:textId="77777777" w:rsidR="0005193B" w:rsidRPr="005060DD" w:rsidRDefault="0005193B" w:rsidP="00A161B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CB1F6" w14:textId="77777777" w:rsidR="0005193B" w:rsidRPr="005060DD" w:rsidRDefault="0005193B" w:rsidP="00A161B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42BD8" w14:textId="77777777" w:rsidR="0005193B" w:rsidRPr="005060DD" w:rsidRDefault="0005193B" w:rsidP="00A161B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215714" w:rsidRPr="005060DD" w14:paraId="06A1FCE3" w14:textId="77777777" w:rsidTr="00A27527">
        <w:trPr>
          <w:trHeight w:val="301"/>
        </w:trPr>
        <w:tc>
          <w:tcPr>
            <w:tcW w:w="2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2CBA6" w14:textId="77777777" w:rsidR="00215714" w:rsidRPr="005060DD" w:rsidRDefault="00215714" w:rsidP="00215714">
            <w:pPr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Bingo Industries Limited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B73E7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A1B2A" w14:textId="00703CB0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24,582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10794" w14:textId="3D18BC5B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 xml:space="preserve">3.54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C9320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3513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215714" w:rsidRPr="005060DD" w14:paraId="71E94D9C" w14:textId="77777777" w:rsidTr="00A27527">
        <w:trPr>
          <w:trHeight w:val="322"/>
        </w:trPr>
        <w:tc>
          <w:tcPr>
            <w:tcW w:w="2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F41EC" w14:textId="77777777" w:rsidR="00215714" w:rsidRPr="005060DD" w:rsidRDefault="00215714" w:rsidP="00215714">
            <w:pPr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Inghams Group Limited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0A9B7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BA70C" w14:textId="5F0C8CA4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25,919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61D6" w14:textId="62802CD8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 xml:space="preserve">3.73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A067D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C8A6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215714" w:rsidRPr="005060DD" w14:paraId="54F69ACE" w14:textId="77777777" w:rsidTr="00A27527">
        <w:trPr>
          <w:trHeight w:val="301"/>
        </w:trPr>
        <w:tc>
          <w:tcPr>
            <w:tcW w:w="2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35A8D" w14:textId="77777777" w:rsidR="00215714" w:rsidRPr="005060DD" w:rsidRDefault="00215714" w:rsidP="00215714">
            <w:pPr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iShares Core S&amp;P/ASX 200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596E1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A36C3" w14:textId="0107D1EC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208,324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3CEF3" w14:textId="1E3F94CC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 xml:space="preserve">30.01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720B6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EB732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215714" w:rsidRPr="005060DD" w14:paraId="3EE02F29" w14:textId="77777777" w:rsidTr="00A27527">
        <w:trPr>
          <w:trHeight w:val="301"/>
        </w:trPr>
        <w:tc>
          <w:tcPr>
            <w:tcW w:w="2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DC008" w14:textId="77777777" w:rsidR="00215714" w:rsidRPr="005060DD" w:rsidRDefault="00215714" w:rsidP="00215714">
            <w:pPr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Rio Tinto Limited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CBBAA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82A8C" w14:textId="04D0C401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10,566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502C4" w14:textId="7D314140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 xml:space="preserve">1.52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80519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87F80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215714" w:rsidRPr="005060DD" w14:paraId="3E53079F" w14:textId="77777777" w:rsidTr="00A27527">
        <w:trPr>
          <w:trHeight w:val="301"/>
        </w:trPr>
        <w:tc>
          <w:tcPr>
            <w:tcW w:w="2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E13AF" w14:textId="77777777" w:rsidR="00215714" w:rsidRPr="005060DD" w:rsidRDefault="00215714" w:rsidP="00215714">
            <w:pPr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Telstra Corporation Limited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5E79B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306A4" w14:textId="74017C56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32,439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2998B" w14:textId="7B7AEAEA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 xml:space="preserve">4.67 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94CC7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3B9E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215714" w:rsidRPr="005060DD" w14:paraId="7A700092" w14:textId="77777777" w:rsidTr="00A27527">
        <w:trPr>
          <w:trHeight w:val="281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5835D5" w14:textId="77777777" w:rsidR="00215714" w:rsidRPr="005060DD" w:rsidRDefault="00215714" w:rsidP="00215714">
            <w:pPr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Westpac Banking Corporation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15E267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9B61D6" w14:textId="678B4265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35,859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050F1C" w14:textId="79090B71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 xml:space="preserve">5.17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2159C5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C80A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05193B" w:rsidRPr="005060DD" w14:paraId="1406F83D" w14:textId="77777777" w:rsidTr="00A27527">
        <w:trPr>
          <w:trHeight w:val="281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35D2D22F" w14:textId="77777777" w:rsidR="0005193B" w:rsidRPr="005060DD" w:rsidRDefault="0005193B" w:rsidP="00A161BB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 xml:space="preserve">Total AAE Portfolio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73D61356" w14:textId="77777777" w:rsidR="0005193B" w:rsidRPr="005060DD" w:rsidRDefault="0005193B" w:rsidP="00A161BB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iShares Core S&amp;P/ASX 200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76B0C845" w14:textId="0402E18D" w:rsidR="0005193B" w:rsidRPr="005060DD" w:rsidRDefault="0005193B" w:rsidP="00A161B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33</w:t>
            </w:r>
            <w:r w:rsidR="00215714">
              <w:rPr>
                <w:b/>
                <w:bCs/>
                <w:color w:val="000000"/>
                <w:sz w:val="18"/>
                <w:szCs w:val="18"/>
                <w:lang w:eastAsia="zh-CN"/>
              </w:rPr>
              <w:t>7,688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76FFECFC" w14:textId="2309BD87" w:rsidR="0005193B" w:rsidRPr="005060DD" w:rsidRDefault="0005193B" w:rsidP="00A161B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48.</w:t>
            </w:r>
            <w:r w:rsidR="00215714">
              <w:rPr>
                <w:b/>
                <w:bCs/>
                <w:color w:val="000000"/>
                <w:sz w:val="18"/>
                <w:szCs w:val="18"/>
                <w:lang w:eastAsia="zh-CN"/>
              </w:rPr>
              <w:t>6</w:t>
            </w: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53336B5E" w14:textId="77777777" w:rsidR="0005193B" w:rsidRPr="005060DD" w:rsidRDefault="0005193B" w:rsidP="00A161B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EAF6"/>
            <w:vAlign w:val="center"/>
            <w:hideMark/>
          </w:tcPr>
          <w:p w14:paraId="76AADDAC" w14:textId="10F28B79" w:rsidR="0005193B" w:rsidRPr="005060DD" w:rsidRDefault="0005193B" w:rsidP="00A161B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-1.</w:t>
            </w:r>
            <w:r w:rsidR="00215714">
              <w:rPr>
                <w:b/>
                <w:bCs/>
                <w:color w:val="000000"/>
                <w:sz w:val="18"/>
                <w:szCs w:val="18"/>
                <w:lang w:eastAsia="zh-CN"/>
              </w:rPr>
              <w:t>3</w:t>
            </w: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5</w:t>
            </w:r>
          </w:p>
        </w:tc>
      </w:tr>
      <w:tr w:rsidR="0005193B" w:rsidRPr="005060DD" w14:paraId="582025E6" w14:textId="77777777" w:rsidTr="00A27527">
        <w:trPr>
          <w:trHeight w:val="281"/>
        </w:trPr>
        <w:tc>
          <w:tcPr>
            <w:tcW w:w="52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DED3C" w14:textId="77777777" w:rsidR="0005193B" w:rsidRPr="005060DD" w:rsidRDefault="0005193B" w:rsidP="00A161BB">
            <w:pPr>
              <w:rPr>
                <w:b/>
                <w:bCs/>
                <w:color w:val="000000"/>
                <w:sz w:val="18"/>
                <w:szCs w:val="18"/>
                <w:u w:val="single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u w:val="single"/>
                <w:lang w:eastAsia="zh-CN"/>
              </w:rPr>
              <w:t>Asset Allocation Portfolio Holdings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31607" w14:textId="5CF288C5" w:rsidR="0005193B" w:rsidRPr="005060DD" w:rsidRDefault="0005193B" w:rsidP="00A161B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0CE5A" w14:textId="77777777" w:rsidR="0005193B" w:rsidRPr="005060DD" w:rsidRDefault="0005193B" w:rsidP="00A161BB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93B4C" w14:textId="77777777" w:rsidR="0005193B" w:rsidRPr="005060DD" w:rsidRDefault="0005193B" w:rsidP="00A161B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49BF6" w14:textId="77777777" w:rsidR="0005193B" w:rsidRPr="005060DD" w:rsidRDefault="0005193B" w:rsidP="00A161BB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215714" w:rsidRPr="005060DD" w14:paraId="0B0B458A" w14:textId="77777777" w:rsidTr="00A27527">
        <w:trPr>
          <w:trHeight w:val="281"/>
        </w:trPr>
        <w:tc>
          <w:tcPr>
            <w:tcW w:w="2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ADA5E" w14:textId="77777777" w:rsidR="00215714" w:rsidRPr="005060DD" w:rsidRDefault="00215714" w:rsidP="00215714">
            <w:pPr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 xml:space="preserve">Australian Equities 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844FC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B1C2F" w14:textId="03DCC9D2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70,576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53075" w14:textId="0939B6A9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10.17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0DC3C" w14:textId="43730F72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BA92" w14:textId="010AB012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0.17</w:t>
            </w:r>
          </w:p>
        </w:tc>
      </w:tr>
      <w:tr w:rsidR="00215714" w:rsidRPr="00215714" w14:paraId="7C16B865" w14:textId="77777777" w:rsidTr="00A27527">
        <w:trPr>
          <w:trHeight w:val="28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4A777215" w14:textId="77777777" w:rsidR="00215714" w:rsidRPr="005060DD" w:rsidRDefault="00215714" w:rsidP="00215714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Total Australian Equities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63607D3F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iShares Core S&amp;P/ASX 200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07B1D021" w14:textId="0FA485D8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408,264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4B8A273A" w14:textId="246DEFD9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58.82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0E0FC07A" w14:textId="46C499EC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EAF6"/>
            <w:vAlign w:val="center"/>
            <w:hideMark/>
          </w:tcPr>
          <w:p w14:paraId="0D57CB16" w14:textId="7F13C13A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-1.18</w:t>
            </w:r>
          </w:p>
        </w:tc>
      </w:tr>
      <w:tr w:rsidR="00215714" w:rsidRPr="005060DD" w14:paraId="09056177" w14:textId="77777777" w:rsidTr="00A27527">
        <w:trPr>
          <w:trHeight w:val="523"/>
        </w:trPr>
        <w:tc>
          <w:tcPr>
            <w:tcW w:w="2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CFDBF" w14:textId="77777777" w:rsidR="00215714" w:rsidRPr="005060DD" w:rsidRDefault="00215714" w:rsidP="00215714">
            <w:pPr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International Equities,</w:t>
            </w:r>
            <w:r w:rsidRPr="005060DD">
              <w:rPr>
                <w:color w:val="000000"/>
                <w:sz w:val="18"/>
                <w:szCs w:val="18"/>
                <w:lang w:eastAsia="zh-CN"/>
              </w:rPr>
              <w:br/>
              <w:t>Hedged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F3007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Vanguard International</w:t>
            </w:r>
            <w:r w:rsidRPr="005060DD">
              <w:rPr>
                <w:color w:val="000000"/>
                <w:sz w:val="18"/>
                <w:szCs w:val="18"/>
                <w:lang w:eastAsia="zh-CN"/>
              </w:rPr>
              <w:br/>
              <w:t>Shares Index, Hedged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23365" w14:textId="73B4F6D7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68,657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A5BAB" w14:textId="29C351E7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9.89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B8EE0" w14:textId="6EFE1467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52CD2" w14:textId="52741519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-0.11</w:t>
            </w:r>
          </w:p>
        </w:tc>
      </w:tr>
      <w:tr w:rsidR="00215714" w:rsidRPr="005060DD" w14:paraId="34DCCB6E" w14:textId="77777777" w:rsidTr="00A27527">
        <w:trPr>
          <w:trHeight w:val="523"/>
        </w:trPr>
        <w:tc>
          <w:tcPr>
            <w:tcW w:w="2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8B85F" w14:textId="77777777" w:rsidR="00215714" w:rsidRPr="005060DD" w:rsidRDefault="00215714" w:rsidP="00215714">
            <w:pPr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International Equities, Unhedged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5D972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Vanguard International</w:t>
            </w:r>
            <w:r w:rsidRPr="005060DD">
              <w:rPr>
                <w:color w:val="000000"/>
                <w:sz w:val="18"/>
                <w:szCs w:val="18"/>
                <w:lang w:eastAsia="zh-CN"/>
              </w:rPr>
              <w:br/>
              <w:t>Shares Index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3C873" w14:textId="037DF820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72,775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DBC0B" w14:textId="4E068079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10.49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3CACA" w14:textId="1DC7B89A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643A" w14:textId="6807ED75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0.49</w:t>
            </w:r>
          </w:p>
        </w:tc>
      </w:tr>
      <w:tr w:rsidR="00215714" w:rsidRPr="005060DD" w14:paraId="626CBD83" w14:textId="77777777" w:rsidTr="00A27527">
        <w:trPr>
          <w:trHeight w:val="281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7503F2" w14:textId="77777777" w:rsidR="00215714" w:rsidRPr="005060DD" w:rsidRDefault="00215714" w:rsidP="00215714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Total International Equities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250B3E" w14:textId="77777777" w:rsidR="00215714" w:rsidRPr="005060DD" w:rsidRDefault="00215714" w:rsidP="0021571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2D296F" w14:textId="5F66069B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141,432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9B4DFC" w14:textId="06A8923B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20.38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0B7B0A" w14:textId="3E9577FC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F4D7" w14:textId="42F9D70B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0.38</w:t>
            </w:r>
          </w:p>
        </w:tc>
      </w:tr>
      <w:tr w:rsidR="00215714" w:rsidRPr="005060DD" w14:paraId="49CBF084" w14:textId="77777777" w:rsidTr="00A27527">
        <w:trPr>
          <w:trHeight w:val="442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00AF2987" w14:textId="77777777" w:rsidR="00215714" w:rsidRPr="005060DD" w:rsidRDefault="00215714" w:rsidP="00215714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Total Equities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5AD8D8D6" w14:textId="77777777" w:rsidR="00215714" w:rsidRPr="005060DD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4C037DCF" w14:textId="0BAB18D6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549,696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3CFE3B00" w14:textId="0311AE98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79.20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002A4FD0" w14:textId="057B3774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EAF6"/>
            <w:vAlign w:val="center"/>
            <w:hideMark/>
          </w:tcPr>
          <w:p w14:paraId="724485BF" w14:textId="3816AB44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-0.80</w:t>
            </w:r>
          </w:p>
        </w:tc>
      </w:tr>
      <w:tr w:rsidR="00215714" w:rsidRPr="005060DD" w14:paraId="55E9F387" w14:textId="77777777" w:rsidTr="00A27527">
        <w:trPr>
          <w:trHeight w:val="523"/>
        </w:trPr>
        <w:tc>
          <w:tcPr>
            <w:tcW w:w="2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6D10B" w14:textId="77777777" w:rsidR="00215714" w:rsidRPr="005060DD" w:rsidRDefault="00215714" w:rsidP="00215714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Australian Fixed Income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E6BB6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Vanguard Australian</w:t>
            </w:r>
            <w:r w:rsidRPr="005060DD">
              <w:rPr>
                <w:color w:val="000000"/>
                <w:sz w:val="18"/>
                <w:szCs w:val="18"/>
                <w:lang w:eastAsia="zh-CN"/>
              </w:rPr>
              <w:br/>
              <w:t>Government Bond Index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7015B" w14:textId="7ED1CFBA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101,048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BCA89" w14:textId="74AEBC09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14.56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5D8BE" w14:textId="6FABE59B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8A4E0" w14:textId="4560FB34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-0.44</w:t>
            </w:r>
          </w:p>
        </w:tc>
      </w:tr>
      <w:tr w:rsidR="00215714" w:rsidRPr="005060DD" w14:paraId="3F48D8FC" w14:textId="77777777" w:rsidTr="00A27527">
        <w:trPr>
          <w:trHeight w:val="281"/>
        </w:trPr>
        <w:tc>
          <w:tcPr>
            <w:tcW w:w="2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05DD5" w14:textId="77777777" w:rsidR="00215714" w:rsidRPr="005060DD" w:rsidRDefault="00215714" w:rsidP="00215714">
            <w:pPr>
              <w:rPr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Australian Cash &amp; Accruals: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C7B69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74C79" w14:textId="5A1E16F9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DBC48" w14:textId="5427F237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D1FF4" w14:textId="3385B89B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889D" w14:textId="475A1B35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5714" w:rsidRPr="005060DD" w14:paraId="658B9A08" w14:textId="77777777" w:rsidTr="00A27527">
        <w:trPr>
          <w:trHeight w:val="523"/>
        </w:trPr>
        <w:tc>
          <w:tcPr>
            <w:tcW w:w="2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91AC7" w14:textId="77777777" w:rsidR="00215714" w:rsidRPr="005060DD" w:rsidRDefault="00215714" w:rsidP="00215714">
            <w:pPr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 xml:space="preserve">BetaShares Australia </w:t>
            </w:r>
            <w:r w:rsidRPr="005060DD">
              <w:rPr>
                <w:color w:val="000000"/>
                <w:sz w:val="18"/>
                <w:szCs w:val="18"/>
                <w:lang w:eastAsia="zh-CN"/>
              </w:rPr>
              <w:br/>
              <w:t xml:space="preserve">High Interest Cash 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53F54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B36BC" w14:textId="3AFADF09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16,680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F8D22" w14:textId="6F201C18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2.40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62C18" w14:textId="3E7B9123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46EC" w14:textId="163762B4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5714" w:rsidRPr="005060DD" w14:paraId="738F194E" w14:textId="77777777" w:rsidTr="00A27527">
        <w:trPr>
          <w:trHeight w:val="281"/>
        </w:trPr>
        <w:tc>
          <w:tcPr>
            <w:tcW w:w="2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11DFE" w14:textId="77777777" w:rsidR="00215714" w:rsidRPr="005060DD" w:rsidRDefault="00215714" w:rsidP="00215714">
            <w:pPr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BT Cash Management Trust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86121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3103F" w14:textId="50A1D10D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21,631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311E1" w14:textId="570ABC26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3.12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1F281" w14:textId="397E6976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0BD1" w14:textId="487A755D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5714" w:rsidRPr="005060DD" w14:paraId="40030B62" w14:textId="77777777" w:rsidTr="00A27527">
        <w:trPr>
          <w:trHeight w:val="281"/>
        </w:trPr>
        <w:tc>
          <w:tcPr>
            <w:tcW w:w="2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AB102" w14:textId="77777777" w:rsidR="00215714" w:rsidRPr="005060DD" w:rsidRDefault="00215714" w:rsidP="00215714">
            <w:pPr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Accrued Interest &amp; Dividends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57451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C120D" w14:textId="073D04D2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1,323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D79A2" w14:textId="4014ECA2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FE775" w14:textId="50E505C8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68C5" w14:textId="2B307038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5714" w:rsidRPr="005060DD" w14:paraId="4674DFB2" w14:textId="77777777" w:rsidTr="00A27527">
        <w:trPr>
          <w:trHeight w:val="281"/>
        </w:trPr>
        <w:tc>
          <w:tcPr>
            <w:tcW w:w="2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882D2" w14:textId="77777777" w:rsidR="00215714" w:rsidRPr="005060DD" w:rsidRDefault="00215714" w:rsidP="00215714">
            <w:pPr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Accrued Franking Credits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F926C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114CD" w14:textId="544457EB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3,693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7AE99" w14:textId="269DD227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21147" w14:textId="35FC26AA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DA7A4" w14:textId="0DAEB927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15714" w:rsidRPr="005060DD" w14:paraId="273CBC44" w14:textId="77777777" w:rsidTr="00A27527">
        <w:trPr>
          <w:trHeight w:val="523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B69472" w14:textId="77777777" w:rsidR="00215714" w:rsidRPr="005060DD" w:rsidRDefault="00215714" w:rsidP="00215714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Total Cash &amp; Accruals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6998A7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 xml:space="preserve">BetaShares Australia </w:t>
            </w:r>
            <w:r w:rsidRPr="005060DD">
              <w:rPr>
                <w:color w:val="000000"/>
                <w:sz w:val="18"/>
                <w:szCs w:val="18"/>
                <w:lang w:eastAsia="zh-CN"/>
              </w:rPr>
              <w:br/>
              <w:t>High Interest Cash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122433" w14:textId="77A3F074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43,327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0370B9" w14:textId="7C4FC867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6.24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084BE3" w14:textId="66EE588B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425D9" w14:textId="68C60612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1.24</w:t>
            </w:r>
          </w:p>
        </w:tc>
      </w:tr>
      <w:tr w:rsidR="00215714" w:rsidRPr="005060DD" w14:paraId="48DF23B8" w14:textId="77777777" w:rsidTr="00A27527">
        <w:trPr>
          <w:trHeight w:val="281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600F4CA6" w14:textId="77777777" w:rsidR="00215714" w:rsidRPr="005060DD" w:rsidRDefault="00215714" w:rsidP="00215714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 xml:space="preserve">Total Fixed Income &amp; Cash 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45FC753D" w14:textId="77777777" w:rsidR="00215714" w:rsidRPr="005060DD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012A8572" w14:textId="3462887F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144,376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574E298C" w14:textId="09E062C3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20.80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FEAF6"/>
            <w:vAlign w:val="center"/>
            <w:hideMark/>
          </w:tcPr>
          <w:p w14:paraId="6C9CD678" w14:textId="3A4CFE50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EAF6"/>
            <w:vAlign w:val="center"/>
            <w:hideMark/>
          </w:tcPr>
          <w:p w14:paraId="57DCB380" w14:textId="4306C912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0.80</w:t>
            </w:r>
          </w:p>
        </w:tc>
      </w:tr>
      <w:tr w:rsidR="00215714" w:rsidRPr="005060DD" w14:paraId="052003A1" w14:textId="77777777" w:rsidTr="00A27527">
        <w:trPr>
          <w:trHeight w:val="240"/>
        </w:trPr>
        <w:tc>
          <w:tcPr>
            <w:tcW w:w="28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A2B1A" w14:textId="77777777" w:rsidR="00215714" w:rsidRPr="005060DD" w:rsidRDefault="00215714" w:rsidP="00215714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45572" w14:textId="77777777" w:rsidR="00215714" w:rsidRPr="005060DD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EB774" w14:textId="58E5E08A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0AA18" w14:textId="128395ED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A231A" w14:textId="7ED0FDAC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161C2" w14:textId="58C8CCF6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215714" w:rsidRPr="005060DD" w14:paraId="7AD85376" w14:textId="77777777" w:rsidTr="00A27527">
        <w:trPr>
          <w:trHeight w:val="281"/>
        </w:trPr>
        <w:tc>
          <w:tcPr>
            <w:tcW w:w="52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7FB26" w14:textId="77777777" w:rsidR="00215714" w:rsidRPr="005060DD" w:rsidRDefault="00215714" w:rsidP="00215714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Total Value of SMF Assets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ABB78" w14:textId="4A022B50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  <w:lang w:eastAsia="zh-CN"/>
              </w:rPr>
              <w:t>688,670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6BC30" w14:textId="05D486F5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694,072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E7639" w14:textId="43D3F84D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A3B0E" w14:textId="567F6BEB" w:rsidR="00215714" w:rsidRPr="00215714" w:rsidRDefault="00215714" w:rsidP="00215714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215714" w:rsidRPr="005060DD" w14:paraId="72A221F2" w14:textId="77777777" w:rsidTr="00A27527">
        <w:trPr>
          <w:trHeight w:val="281"/>
        </w:trPr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06CBBA" w14:textId="77777777" w:rsidR="00215714" w:rsidRPr="005060DD" w:rsidRDefault="00215714" w:rsidP="00215714">
            <w:pPr>
              <w:rPr>
                <w:b/>
                <w:bCs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sz w:val="18"/>
                <w:szCs w:val="18"/>
                <w:lang w:eastAsia="zh-CN"/>
              </w:rPr>
              <w:t>Total Portfolio Value as Reported in BT Panorama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C29423" w14:textId="6BCB2357" w:rsidR="00215714" w:rsidRPr="00215714" w:rsidRDefault="00215714" w:rsidP="00215714">
            <w:pPr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sz w:val="18"/>
                <w:szCs w:val="18"/>
                <w:lang w:eastAsia="zh-CN"/>
              </w:rPr>
              <w:t>684,977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B9B5F8" w14:textId="70DE64FB" w:rsidR="00215714" w:rsidRPr="00215714" w:rsidRDefault="00215714" w:rsidP="00215714">
            <w:pPr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sz w:val="18"/>
                <w:szCs w:val="18"/>
              </w:rPr>
              <w:t>690,378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86A7DC" w14:textId="6AF52C6F" w:rsidR="00215714" w:rsidRPr="00215714" w:rsidRDefault="00215714" w:rsidP="00215714">
            <w:pPr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288AD" w14:textId="26DEC18E" w:rsidR="00215714" w:rsidRPr="00215714" w:rsidRDefault="00215714" w:rsidP="00215714">
            <w:pPr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15714" w:rsidRPr="005060DD" w14:paraId="7D3D7CFD" w14:textId="77777777" w:rsidTr="00A27527">
        <w:trPr>
          <w:trHeight w:val="281"/>
        </w:trPr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FD3D98" w14:textId="77777777" w:rsidR="00215714" w:rsidRPr="005060DD" w:rsidRDefault="00215714" w:rsidP="00215714">
            <w:pPr>
              <w:rPr>
                <w:sz w:val="18"/>
                <w:szCs w:val="18"/>
                <w:lang w:eastAsia="zh-CN"/>
              </w:rPr>
            </w:pPr>
            <w:r w:rsidRPr="005060DD">
              <w:rPr>
                <w:sz w:val="18"/>
                <w:szCs w:val="18"/>
                <w:lang w:eastAsia="zh-CN"/>
              </w:rPr>
              <w:t>Accrued Franking Credits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30D3A7" w14:textId="77777777" w:rsidR="00215714" w:rsidRPr="005060DD" w:rsidRDefault="00215714" w:rsidP="00215714">
            <w:pPr>
              <w:jc w:val="center"/>
              <w:rPr>
                <w:sz w:val="18"/>
                <w:szCs w:val="18"/>
                <w:lang w:eastAsia="zh-CN"/>
              </w:rPr>
            </w:pPr>
            <w:r w:rsidRPr="005060DD">
              <w:rPr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346291" w14:textId="7ACC86D1" w:rsidR="00215714" w:rsidRPr="00215714" w:rsidRDefault="00215714" w:rsidP="00215714">
            <w:pPr>
              <w:jc w:val="center"/>
              <w:rPr>
                <w:sz w:val="18"/>
                <w:szCs w:val="18"/>
                <w:lang w:eastAsia="zh-CN"/>
              </w:rPr>
            </w:pPr>
            <w:r w:rsidRPr="00215714">
              <w:rPr>
                <w:sz w:val="18"/>
                <w:szCs w:val="18"/>
              </w:rPr>
              <w:t>3,693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B637A8" w14:textId="70A7317F" w:rsidR="00215714" w:rsidRPr="00215714" w:rsidRDefault="00215714" w:rsidP="00215714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15714">
              <w:rPr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81FFD8" w14:textId="25657EB3" w:rsidR="00215714" w:rsidRPr="00215714" w:rsidRDefault="00215714" w:rsidP="00215714">
            <w:pPr>
              <w:jc w:val="center"/>
              <w:rPr>
                <w:sz w:val="18"/>
                <w:szCs w:val="18"/>
                <w:lang w:eastAsia="zh-CN"/>
              </w:rPr>
            </w:pPr>
            <w:r w:rsidRPr="00215714">
              <w:rPr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0FD2C" w14:textId="27CA2C59" w:rsidR="00215714" w:rsidRPr="00215714" w:rsidRDefault="00215714" w:rsidP="00215714">
            <w:pPr>
              <w:rPr>
                <w:sz w:val="18"/>
                <w:szCs w:val="18"/>
                <w:lang w:eastAsia="zh-CN"/>
              </w:rPr>
            </w:pPr>
            <w:r w:rsidRPr="00215714">
              <w:rPr>
                <w:sz w:val="18"/>
                <w:szCs w:val="18"/>
              </w:rPr>
              <w:t> </w:t>
            </w:r>
          </w:p>
        </w:tc>
      </w:tr>
      <w:tr w:rsidR="00215714" w:rsidRPr="005060DD" w14:paraId="5E734C05" w14:textId="77777777" w:rsidTr="00A27527">
        <w:trPr>
          <w:trHeight w:val="281"/>
        </w:trPr>
        <w:tc>
          <w:tcPr>
            <w:tcW w:w="5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F0E75A" w14:textId="77777777" w:rsidR="00215714" w:rsidRPr="005060DD" w:rsidRDefault="00215714" w:rsidP="00215714">
            <w:pPr>
              <w:rPr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060DD">
              <w:rPr>
                <w:b/>
                <w:bCs/>
                <w:color w:val="000000"/>
                <w:sz w:val="18"/>
                <w:szCs w:val="18"/>
                <w:lang w:eastAsia="zh-CN"/>
              </w:rPr>
              <w:t>Total Value of SMF Assets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E841D5" w14:textId="3B6BBA4C" w:rsidR="00215714" w:rsidRPr="00215714" w:rsidRDefault="00215714" w:rsidP="00215714">
            <w:pPr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sz w:val="18"/>
                <w:szCs w:val="18"/>
                <w:lang w:eastAsia="zh-CN"/>
              </w:rPr>
              <w:t>688,670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3275EC" w14:textId="2ACFC715" w:rsidR="00215714" w:rsidRPr="00215714" w:rsidRDefault="00215714" w:rsidP="00215714">
            <w:pPr>
              <w:jc w:val="center"/>
              <w:rPr>
                <w:b/>
                <w:bCs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sz w:val="18"/>
                <w:szCs w:val="18"/>
              </w:rPr>
              <w:t>694,072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E2CE01" w14:textId="4711063B" w:rsidR="00215714" w:rsidRPr="00215714" w:rsidRDefault="00215714" w:rsidP="00215714">
            <w:pPr>
              <w:rPr>
                <w:b/>
                <w:bCs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5CC17" w14:textId="7FFC5767" w:rsidR="00215714" w:rsidRPr="00215714" w:rsidRDefault="00215714" w:rsidP="00215714">
            <w:pPr>
              <w:rPr>
                <w:b/>
                <w:bCs/>
                <w:sz w:val="18"/>
                <w:szCs w:val="18"/>
                <w:lang w:eastAsia="zh-CN"/>
              </w:rPr>
            </w:pPr>
            <w:r w:rsidRPr="00215714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14:paraId="64372C65" w14:textId="77777777" w:rsidR="00003F60" w:rsidRDefault="00003F60" w:rsidP="00003F60">
      <w:pPr>
        <w:pStyle w:val="Heading3"/>
        <w:spacing w:before="360"/>
        <w:rPr>
          <w:lang w:val="en-US"/>
        </w:rPr>
      </w:pPr>
      <w:bookmarkStart w:id="20" w:name="_Toc13642410"/>
    </w:p>
    <w:p w14:paraId="5DA906BC" w14:textId="77777777" w:rsidR="00003F60" w:rsidRDefault="00003F60" w:rsidP="00003F60">
      <w:pPr>
        <w:pStyle w:val="Heading3"/>
        <w:spacing w:before="360"/>
        <w:rPr>
          <w:lang w:val="en-US"/>
        </w:rPr>
      </w:pPr>
    </w:p>
    <w:p w14:paraId="063157F5" w14:textId="77777777" w:rsidR="00003F60" w:rsidRDefault="00003F60">
      <w:pPr>
        <w:spacing w:before="120" w:after="120" w:line="312" w:lineRule="auto"/>
        <w:rPr>
          <w:rFonts w:eastAsiaTheme="minorEastAsia"/>
          <w:b/>
          <w:color w:val="4472C4" w:themeColor="accent1"/>
          <w:spacing w:val="15"/>
          <w:sz w:val="22"/>
          <w:szCs w:val="22"/>
          <w:lang w:val="en-US" w:eastAsia="zh-CN"/>
        </w:rPr>
      </w:pPr>
      <w:r>
        <w:rPr>
          <w:lang w:val="en-US"/>
        </w:rPr>
        <w:br w:type="page"/>
      </w:r>
    </w:p>
    <w:p w14:paraId="6E3D8032" w14:textId="7A46B8ED" w:rsidR="00003F60" w:rsidRPr="00F846F0" w:rsidRDefault="00003F60" w:rsidP="00003F60">
      <w:pPr>
        <w:pStyle w:val="Heading3"/>
        <w:spacing w:before="360"/>
        <w:rPr>
          <w:lang w:val="en-US"/>
        </w:rPr>
      </w:pPr>
      <w:bookmarkStart w:id="21" w:name="_Toc19110726"/>
      <w:r>
        <w:rPr>
          <w:lang w:val="en-US"/>
        </w:rPr>
        <w:lastRenderedPageBreak/>
        <w:t>Portfolio Performance</w:t>
      </w:r>
      <w:bookmarkEnd w:id="20"/>
      <w:bookmarkEnd w:id="21"/>
    </w:p>
    <w:p w14:paraId="0BACFEC6" w14:textId="57EF3761" w:rsidR="005E44F0" w:rsidRDefault="005E44F0" w:rsidP="005E44F0">
      <w:pPr>
        <w:spacing w:before="180" w:after="180"/>
        <w:jc w:val="both"/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Figure 3 reports the Fund’s </w:t>
      </w:r>
      <w:r w:rsidRPr="006E0BB3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performance 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during 2018 and year-to-date 2019, as well as performance </w:t>
      </w:r>
      <w:r w:rsidRPr="006E0BB3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since inception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as an accumulation of returns from each year</w:t>
      </w:r>
      <w:r w:rsidRPr="006E0BB3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The Fund has experienced a strong return of 16</w:t>
      </w:r>
      <w:r w:rsidRPr="006E0BB3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.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03</w:t>
      </w:r>
      <w:r w:rsidRPr="006E0BB3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% 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since inception. This is +7.39% above </w:t>
      </w:r>
      <w:r w:rsidRPr="006E0BB3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the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6E0BB3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return target of </w:t>
      </w:r>
      <w:r w:rsidR="000C4D51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8.64% over the period: the target comprises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the </w:t>
      </w:r>
      <w:r w:rsidRPr="006E0BB3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4.5% distribution rate 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plus realised</w:t>
      </w:r>
      <w:r w:rsidRPr="006E0BB3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inflation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. Such a solid result exceeds the investment objective of maintaining the Fund’s long-term real </w:t>
      </w:r>
      <w:r w:rsidR="00CC5A72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value, and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provides support for our philanthropic activities related to the RSFAS Student Managed Fund Equity Scholarship.</w:t>
      </w:r>
    </w:p>
    <w:p w14:paraId="06B6B299" w14:textId="4C5AF17D" w:rsidR="005E44F0" w:rsidRDefault="005E44F0" w:rsidP="005E44F0">
      <w:pPr>
        <w:spacing w:before="180" w:after="180"/>
        <w:jc w:val="both"/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sz w:val="20"/>
          <w:szCs w:val="20"/>
        </w:rPr>
        <w:t>However, the Fund</w:t>
      </w:r>
      <w:r w:rsidR="000C4D51">
        <w:rPr>
          <w:sz w:val="20"/>
          <w:szCs w:val="20"/>
        </w:rPr>
        <w:t xml:space="preserve"> has</w:t>
      </w:r>
      <w:r>
        <w:rPr>
          <w:sz w:val="20"/>
          <w:szCs w:val="20"/>
        </w:rPr>
        <w:t xml:space="preserve"> underperformed </w:t>
      </w:r>
      <w:r w:rsidR="000C4D51">
        <w:rPr>
          <w:sz w:val="20"/>
          <w:szCs w:val="20"/>
        </w:rPr>
        <w:t xml:space="preserve">its reference </w:t>
      </w:r>
      <w:r>
        <w:rPr>
          <w:sz w:val="20"/>
          <w:szCs w:val="20"/>
        </w:rPr>
        <w:t xml:space="preserve">portfolio by -2.19% since inception, comprising of relative returns of -1.11% during 2018 and -0.89% in 2019 year-to-date. With the asset allocation set broadly in accordance with the reference portfolio weights, the underperformance is largely attributable to the performance of the AAE portfolio relative to the benchmark S&amp;P/ASX200 ETF. The sources of the associated performance are detailed in the attribution analysis </w:t>
      </w:r>
      <w:r w:rsidR="00CC5A72">
        <w:rPr>
          <w:sz w:val="20"/>
          <w:szCs w:val="20"/>
        </w:rPr>
        <w:t>below, and</w:t>
      </w:r>
      <w:r>
        <w:rPr>
          <w:sz w:val="20"/>
          <w:szCs w:val="20"/>
        </w:rPr>
        <w:t xml:space="preserve"> can be largely traced to Bingo Industries and Inghams Group.</w:t>
      </w:r>
    </w:p>
    <w:p w14:paraId="0132D278" w14:textId="5B7D8BE2" w:rsidR="009235EB" w:rsidRPr="009235EB" w:rsidRDefault="009235EB" w:rsidP="009235EB">
      <w:pPr>
        <w:spacing w:before="180" w:after="60"/>
        <w:jc w:val="both"/>
        <w:rPr>
          <w:b/>
          <w:sz w:val="22"/>
          <w:szCs w:val="22"/>
          <w:lang w:val="en-US"/>
        </w:rPr>
      </w:pPr>
      <w:r w:rsidRPr="00AC697D">
        <w:rPr>
          <w:b/>
          <w:sz w:val="22"/>
          <w:szCs w:val="22"/>
          <w:lang w:val="en-US"/>
        </w:rPr>
        <w:t xml:space="preserve">Figure </w:t>
      </w:r>
      <w:r>
        <w:rPr>
          <w:b/>
          <w:sz w:val="22"/>
          <w:szCs w:val="22"/>
          <w:lang w:val="en-US"/>
        </w:rPr>
        <w:t>3</w:t>
      </w:r>
      <w:r w:rsidRPr="00AC697D">
        <w:rPr>
          <w:b/>
          <w:sz w:val="22"/>
          <w:szCs w:val="22"/>
          <w:lang w:val="en-US"/>
        </w:rPr>
        <w:t xml:space="preserve">: </w:t>
      </w:r>
      <w:r>
        <w:rPr>
          <w:b/>
          <w:sz w:val="22"/>
          <w:szCs w:val="22"/>
          <w:lang w:val="en-US"/>
        </w:rPr>
        <w:t>Portfolio Performance Since Inception</w:t>
      </w:r>
      <w:r w:rsidRPr="00AC697D">
        <w:rPr>
          <w:b/>
          <w:sz w:val="22"/>
          <w:szCs w:val="22"/>
          <w:lang w:val="en-US"/>
        </w:rPr>
        <w:t xml:space="preserve"> </w:t>
      </w:r>
    </w:p>
    <w:tbl>
      <w:tblPr>
        <w:tblW w:w="9532" w:type="dxa"/>
        <w:tblLook w:val="04A0" w:firstRow="1" w:lastRow="0" w:firstColumn="1" w:lastColumn="0" w:noHBand="0" w:noVBand="1"/>
      </w:tblPr>
      <w:tblGrid>
        <w:gridCol w:w="4174"/>
        <w:gridCol w:w="1949"/>
        <w:gridCol w:w="1661"/>
        <w:gridCol w:w="1748"/>
      </w:tblGrid>
      <w:tr w:rsidR="007B4DB8" w:rsidRPr="007B4DB8" w14:paraId="510A7B65" w14:textId="77777777" w:rsidTr="007B4DB8">
        <w:trPr>
          <w:trHeight w:val="333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1E9F6"/>
            <w:noWrap/>
            <w:vAlign w:val="center"/>
            <w:hideMark/>
          </w:tcPr>
          <w:p w14:paraId="51BFDFC7" w14:textId="77777777" w:rsidR="007B4DB8" w:rsidRPr="007B4DB8" w:rsidRDefault="007B4DB8" w:rsidP="007B4DB8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sz w:val="20"/>
                <w:szCs w:val="20"/>
                <w:lang w:eastAsia="zh-CN"/>
              </w:rPr>
              <w:t>Year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9F6"/>
            <w:vAlign w:val="center"/>
            <w:hideMark/>
          </w:tcPr>
          <w:p w14:paraId="48F8C84F" w14:textId="77777777" w:rsidR="007B4DB8" w:rsidRPr="007B4DB8" w:rsidRDefault="007B4DB8" w:rsidP="007B4DB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2018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1E9F6"/>
            <w:noWrap/>
            <w:vAlign w:val="center"/>
            <w:hideMark/>
          </w:tcPr>
          <w:p w14:paraId="0B295193" w14:textId="77777777" w:rsidR="007B4DB8" w:rsidRPr="007B4DB8" w:rsidRDefault="007B4DB8" w:rsidP="007B4DB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2019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1E9F6"/>
            <w:vAlign w:val="center"/>
            <w:hideMark/>
          </w:tcPr>
          <w:p w14:paraId="4B2B23D5" w14:textId="77777777" w:rsidR="007B4DB8" w:rsidRPr="007B4DB8" w:rsidRDefault="007B4DB8" w:rsidP="007B4DB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Performance Since Inception</w:t>
            </w:r>
          </w:p>
        </w:tc>
      </w:tr>
      <w:tr w:rsidR="007B4DB8" w:rsidRPr="007B4DB8" w14:paraId="20F534E1" w14:textId="77777777" w:rsidTr="007B4DB8">
        <w:trPr>
          <w:trHeight w:val="480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1E9F6"/>
            <w:noWrap/>
            <w:vAlign w:val="center"/>
            <w:hideMark/>
          </w:tcPr>
          <w:p w14:paraId="1A2CA371" w14:textId="77777777" w:rsidR="007B4DB8" w:rsidRPr="007B4DB8" w:rsidRDefault="007B4DB8" w:rsidP="007B4DB8">
            <w:pPr>
              <w:rPr>
                <w:b/>
                <w:bCs/>
                <w:i/>
                <w:iCs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i/>
                <w:iCs/>
                <w:sz w:val="20"/>
                <w:szCs w:val="20"/>
                <w:lang w:eastAsia="zh-CN"/>
              </w:rPr>
              <w:t>Period Covered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9F6"/>
            <w:vAlign w:val="center"/>
            <w:hideMark/>
          </w:tcPr>
          <w:p w14:paraId="3D86E00C" w14:textId="77777777" w:rsidR="007B4DB8" w:rsidRPr="007B4DB8" w:rsidRDefault="007B4DB8" w:rsidP="007B4DB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Since inception on 10/4/2018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1E9F6"/>
            <w:vAlign w:val="center"/>
            <w:hideMark/>
          </w:tcPr>
          <w:p w14:paraId="7A4DF676" w14:textId="75980F8F" w:rsidR="007B4DB8" w:rsidRPr="007B4DB8" w:rsidRDefault="007B4DB8" w:rsidP="007B4DB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Ends 1</w:t>
            </w:r>
            <w:r w:rsidR="005E44F0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2</w:t>
            </w:r>
            <w:r w:rsidRPr="007B4DB8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/9/2019</w:t>
            </w:r>
          </w:p>
        </w:tc>
        <w:tc>
          <w:tcPr>
            <w:tcW w:w="174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4FF5C" w14:textId="77777777" w:rsidR="007B4DB8" w:rsidRPr="007B4DB8" w:rsidRDefault="007B4DB8" w:rsidP="007B4DB8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</w:tr>
      <w:tr w:rsidR="007B4DB8" w:rsidRPr="007B4DB8" w14:paraId="162AFCA2" w14:textId="77777777" w:rsidTr="007B4DB8">
        <w:trPr>
          <w:trHeight w:val="292"/>
        </w:trPr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FA6803" w14:textId="77777777" w:rsidR="007B4DB8" w:rsidRPr="007B4DB8" w:rsidRDefault="007B4DB8" w:rsidP="007B4DB8">
            <w:pPr>
              <w:rPr>
                <w:b/>
                <w:bCs/>
                <w:sz w:val="20"/>
                <w:szCs w:val="20"/>
                <w:u w:val="single"/>
                <w:lang w:eastAsia="zh-CN"/>
              </w:rPr>
            </w:pPr>
            <w:r w:rsidRPr="007B4DB8">
              <w:rPr>
                <w:b/>
                <w:bCs/>
                <w:sz w:val="20"/>
                <w:szCs w:val="20"/>
                <w:u w:val="single"/>
                <w:lang w:eastAsia="zh-CN"/>
              </w:rPr>
              <w:t>POTFOLIO VALUES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537D9" w14:textId="77777777" w:rsidR="007B4DB8" w:rsidRPr="007B4DB8" w:rsidRDefault="007B4DB8" w:rsidP="007B4DB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C43F2" w14:textId="77777777" w:rsidR="007B4DB8" w:rsidRPr="007B4DB8" w:rsidRDefault="007B4DB8" w:rsidP="007B4DB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752A9" w14:textId="77777777" w:rsidR="007B4DB8" w:rsidRPr="007B4DB8" w:rsidRDefault="007B4DB8" w:rsidP="007B4DB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7B4DB8" w:rsidRPr="007B4DB8" w14:paraId="143DB8D1" w14:textId="77777777" w:rsidTr="007B4DB8">
        <w:trPr>
          <w:trHeight w:val="333"/>
        </w:trPr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A8129" w14:textId="77777777" w:rsidR="007B4DB8" w:rsidRPr="007B4DB8" w:rsidRDefault="007B4DB8" w:rsidP="007B4DB8">
            <w:pPr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Opening Portfolio Value in BT Panorama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9BF1D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$618,225.41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157E5F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$609,898.45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DDD41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B4DB8" w:rsidRPr="007B4DB8" w14:paraId="7301AEE3" w14:textId="77777777" w:rsidTr="007B4DB8">
        <w:trPr>
          <w:trHeight w:val="271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7F83A" w14:textId="77777777" w:rsidR="007B4DB8" w:rsidRPr="007B4DB8" w:rsidRDefault="007B4DB8" w:rsidP="007B4DB8">
            <w:pPr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 xml:space="preserve">  - Less distribution related to prior period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2A9BCB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A7829B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$19,762.38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A2F35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B4DB8" w:rsidRPr="007B4DB8" w14:paraId="0DA8089F" w14:textId="77777777" w:rsidTr="007B4DB8">
        <w:trPr>
          <w:trHeight w:val="33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9F21DF" w14:textId="77777777" w:rsidR="007B4DB8" w:rsidRPr="007B4DB8" w:rsidRDefault="007B4DB8" w:rsidP="007B4DB8">
            <w:pPr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Adjusted Opening Portfolio Value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E325AD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$618,225.41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294A7F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$590,136.07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BAC26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B4DB8" w:rsidRPr="007B4DB8" w14:paraId="2F5212D7" w14:textId="77777777" w:rsidTr="007B4DB8">
        <w:trPr>
          <w:trHeight w:val="333"/>
        </w:trPr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F74F0" w14:textId="77777777" w:rsidR="007B4DB8" w:rsidRPr="007B4DB8" w:rsidRDefault="007B4DB8" w:rsidP="007B4DB8">
            <w:pPr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Closing Portfolio Value in BT Panorama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15BF01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$608,598.58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D5C77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$684,976.62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0F634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B4DB8" w:rsidRPr="007B4DB8" w14:paraId="741483AD" w14:textId="77777777" w:rsidTr="007B4DB8">
        <w:trPr>
          <w:trHeight w:val="333"/>
        </w:trPr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995F2" w14:textId="77777777" w:rsidR="007B4DB8" w:rsidRPr="007B4DB8" w:rsidRDefault="007B4DB8" w:rsidP="007B4DB8">
            <w:pPr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 xml:space="preserve">  + Franking Credits Accrued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A6EEE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$1,299.87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E90C6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$3,693.42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506DA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B4DB8" w:rsidRPr="007B4DB8" w14:paraId="4563341D" w14:textId="77777777" w:rsidTr="007B4DB8">
        <w:trPr>
          <w:trHeight w:val="333"/>
        </w:trPr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4213F" w14:textId="77777777" w:rsidR="007B4DB8" w:rsidRPr="007B4DB8" w:rsidRDefault="007B4DB8" w:rsidP="007B4DB8">
            <w:pPr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 xml:space="preserve">  - Contributions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7C428D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$0.00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12252B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$0.00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8A589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B4DB8" w:rsidRPr="007B4DB8" w14:paraId="326DAC0C" w14:textId="77777777" w:rsidTr="007B4DB8">
        <w:trPr>
          <w:trHeight w:val="35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D310FC" w14:textId="3B4405D1" w:rsidR="007B4DB8" w:rsidRPr="007B4DB8" w:rsidRDefault="007B4DB8" w:rsidP="007B4DB8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Total Portfolio Value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3F3BDD" w14:textId="77777777" w:rsidR="007B4DB8" w:rsidRPr="007B4DB8" w:rsidRDefault="007B4DB8" w:rsidP="007B4DB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$609,898.45</w:t>
            </w:r>
          </w:p>
        </w:tc>
        <w:tc>
          <w:tcPr>
            <w:tcW w:w="16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E8361E" w14:textId="77777777" w:rsidR="007B4DB8" w:rsidRPr="007B4DB8" w:rsidRDefault="007B4DB8" w:rsidP="007B4DB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$688,670.04</w:t>
            </w:r>
          </w:p>
        </w:tc>
        <w:tc>
          <w:tcPr>
            <w:tcW w:w="17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11CE0" w14:textId="77777777" w:rsidR="007B4DB8" w:rsidRPr="007B4DB8" w:rsidRDefault="007B4DB8" w:rsidP="007B4DB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 </w:t>
            </w:r>
          </w:p>
        </w:tc>
      </w:tr>
      <w:tr w:rsidR="007B4DB8" w:rsidRPr="007B4DB8" w14:paraId="6BEFB627" w14:textId="77777777" w:rsidTr="007B4DB8">
        <w:trPr>
          <w:trHeight w:val="354"/>
        </w:trPr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E06C7" w14:textId="77777777" w:rsidR="007B4DB8" w:rsidRPr="007B4DB8" w:rsidRDefault="007B4DB8" w:rsidP="007B4DB8">
            <w:pPr>
              <w:rPr>
                <w:b/>
                <w:bCs/>
                <w:sz w:val="20"/>
                <w:szCs w:val="20"/>
                <w:u w:val="single"/>
                <w:lang w:eastAsia="zh-CN"/>
              </w:rPr>
            </w:pPr>
            <w:r w:rsidRPr="007B4DB8">
              <w:rPr>
                <w:b/>
                <w:bCs/>
                <w:sz w:val="20"/>
                <w:szCs w:val="20"/>
                <w:u w:val="single"/>
                <w:lang w:eastAsia="zh-CN"/>
              </w:rPr>
              <w:t>RETURNS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6BF87" w14:textId="77777777" w:rsidR="007B4DB8" w:rsidRPr="007B4DB8" w:rsidRDefault="007B4DB8" w:rsidP="007B4DB8">
            <w:pPr>
              <w:jc w:val="center"/>
              <w:rPr>
                <w:sz w:val="20"/>
                <w:szCs w:val="20"/>
                <w:lang w:eastAsia="zh-CN"/>
              </w:rPr>
            </w:pPr>
            <w:r w:rsidRPr="007B4DB8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EA9F0" w14:textId="77777777" w:rsidR="007B4DB8" w:rsidRPr="007B4DB8" w:rsidRDefault="007B4DB8" w:rsidP="007B4DB8">
            <w:pPr>
              <w:jc w:val="center"/>
              <w:rPr>
                <w:sz w:val="20"/>
                <w:szCs w:val="20"/>
                <w:lang w:eastAsia="zh-CN"/>
              </w:rPr>
            </w:pPr>
            <w:r w:rsidRPr="007B4DB8">
              <w:rPr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A1475" w14:textId="77777777" w:rsidR="007B4DB8" w:rsidRPr="007B4DB8" w:rsidRDefault="007B4DB8" w:rsidP="007B4DB8">
            <w:pPr>
              <w:jc w:val="center"/>
              <w:rPr>
                <w:sz w:val="20"/>
                <w:szCs w:val="20"/>
                <w:lang w:eastAsia="zh-CN"/>
              </w:rPr>
            </w:pPr>
            <w:r w:rsidRPr="007B4DB8">
              <w:rPr>
                <w:sz w:val="20"/>
                <w:szCs w:val="20"/>
                <w:lang w:eastAsia="zh-CN"/>
              </w:rPr>
              <w:t> </w:t>
            </w:r>
          </w:p>
        </w:tc>
      </w:tr>
      <w:tr w:rsidR="007B4DB8" w:rsidRPr="007B4DB8" w14:paraId="5FC709EF" w14:textId="77777777" w:rsidTr="007B4DB8">
        <w:trPr>
          <w:trHeight w:val="292"/>
        </w:trPr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BD45A" w14:textId="77777777" w:rsidR="007B4DB8" w:rsidRPr="007B4DB8" w:rsidRDefault="007B4DB8" w:rsidP="007B4DB8">
            <w:pPr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Total Portfolio Return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E66F9" w14:textId="77777777" w:rsidR="007B4DB8" w:rsidRPr="007B4DB8" w:rsidRDefault="007B4DB8" w:rsidP="007B4DB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-1.35%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135FA" w14:textId="5B4A50D3" w:rsidR="007B4DB8" w:rsidRPr="007B4DB8" w:rsidRDefault="007B4DB8" w:rsidP="007B4DB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  <w:r w:rsidR="0043425E">
              <w:rPr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  <w:r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43425E">
              <w:rPr>
                <w:b/>
                <w:bCs/>
                <w:color w:val="000000"/>
                <w:sz w:val="20"/>
                <w:szCs w:val="20"/>
                <w:lang w:eastAsia="zh-CN"/>
              </w:rPr>
              <w:t>61</w:t>
            </w:r>
            <w:r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0714A" w14:textId="10E5893B" w:rsidR="007B4DB8" w:rsidRPr="007B4DB8" w:rsidRDefault="007B4DB8" w:rsidP="007B4DB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1</w:t>
            </w:r>
            <w:r w:rsidR="0043425E">
              <w:rPr>
                <w:b/>
                <w:bCs/>
                <w:color w:val="000000"/>
                <w:sz w:val="20"/>
                <w:szCs w:val="20"/>
                <w:lang w:eastAsia="zh-CN"/>
              </w:rPr>
              <w:t>6</w:t>
            </w:r>
            <w:r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 w:rsidR="0043425E">
              <w:rPr>
                <w:b/>
                <w:bCs/>
                <w:color w:val="000000"/>
                <w:sz w:val="20"/>
                <w:szCs w:val="20"/>
                <w:lang w:eastAsia="zh-CN"/>
              </w:rPr>
              <w:t>0</w:t>
            </w:r>
            <w:r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3%</w:t>
            </w:r>
          </w:p>
        </w:tc>
      </w:tr>
      <w:tr w:rsidR="007B4DB8" w:rsidRPr="007B4DB8" w14:paraId="30C34F06" w14:textId="77777777" w:rsidTr="007B4DB8">
        <w:trPr>
          <w:trHeight w:val="354"/>
        </w:trPr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4FECC" w14:textId="77777777" w:rsidR="007B4DB8" w:rsidRPr="007B4DB8" w:rsidRDefault="007B4DB8" w:rsidP="007B4DB8">
            <w:pPr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Target Return (Estimated CPI + 4.5%)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3FC44F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4.56%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AC945" w14:textId="418CE4BC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3.</w:t>
            </w:r>
            <w:r w:rsidR="0043425E">
              <w:rPr>
                <w:color w:val="000000"/>
                <w:sz w:val="20"/>
                <w:szCs w:val="20"/>
                <w:lang w:eastAsia="zh-CN"/>
              </w:rPr>
              <w:t>90</w:t>
            </w:r>
            <w:r w:rsidRPr="007B4DB8">
              <w:rPr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802E2" w14:textId="28FC47CC" w:rsidR="007B4DB8" w:rsidRPr="007B4DB8" w:rsidRDefault="007B4DB8" w:rsidP="007B4DB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8.</w:t>
            </w:r>
            <w:r w:rsidR="0043425E">
              <w:rPr>
                <w:b/>
                <w:bCs/>
                <w:color w:val="000000"/>
                <w:sz w:val="20"/>
                <w:szCs w:val="20"/>
                <w:lang w:eastAsia="zh-CN"/>
              </w:rPr>
              <w:t>64</w:t>
            </w:r>
            <w:r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%</w:t>
            </w:r>
          </w:p>
        </w:tc>
      </w:tr>
      <w:tr w:rsidR="007B4DB8" w:rsidRPr="007B4DB8" w14:paraId="62A1A2B7" w14:textId="77777777" w:rsidTr="007B4DB8">
        <w:trPr>
          <w:trHeight w:val="187"/>
        </w:trPr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B787D" w14:textId="77777777" w:rsidR="007B4DB8" w:rsidRPr="007B4DB8" w:rsidRDefault="007B4DB8" w:rsidP="007B4DB8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SMF Return vs. Target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A2F0C" w14:textId="77777777" w:rsidR="007B4DB8" w:rsidRPr="007B4DB8" w:rsidRDefault="007B4DB8" w:rsidP="007B4DB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-5.91%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BBED2" w14:textId="48D6B2BC" w:rsidR="007B4DB8" w:rsidRPr="007B4DB8" w:rsidRDefault="007B4DB8" w:rsidP="007B4DB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1</w:t>
            </w:r>
            <w:r w:rsidR="0043425E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3</w:t>
            </w:r>
            <w:r w:rsidRPr="007B4DB8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="0043425E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71</w:t>
            </w:r>
            <w:r w:rsidRPr="007B4DB8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44180" w14:textId="0F9A570C" w:rsidR="007B4DB8" w:rsidRPr="007B4DB8" w:rsidRDefault="0043425E" w:rsidP="007B4DB8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zh-CN"/>
              </w:rPr>
              <w:t>7</w:t>
            </w:r>
            <w:r w:rsidR="007B4DB8"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eastAsia="zh-CN"/>
              </w:rPr>
              <w:t>39</w:t>
            </w:r>
            <w:r w:rsidR="007B4DB8" w:rsidRPr="007B4DB8">
              <w:rPr>
                <w:b/>
                <w:bCs/>
                <w:color w:val="000000"/>
                <w:sz w:val="20"/>
                <w:szCs w:val="20"/>
                <w:lang w:eastAsia="zh-CN"/>
              </w:rPr>
              <w:t>%</w:t>
            </w:r>
          </w:p>
        </w:tc>
      </w:tr>
      <w:tr w:rsidR="007B4DB8" w:rsidRPr="007B4DB8" w14:paraId="512198C1" w14:textId="77777777" w:rsidTr="007B4DB8">
        <w:trPr>
          <w:trHeight w:val="313"/>
        </w:trPr>
        <w:tc>
          <w:tcPr>
            <w:tcW w:w="4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EC30CD" w14:textId="77777777" w:rsidR="007B4DB8" w:rsidRPr="007B4DB8" w:rsidRDefault="007B4DB8" w:rsidP="007B4DB8">
            <w:pPr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Reference Portfolio Return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91F03" w14:textId="77777777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-0.24%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77759" w14:textId="62975E4E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1</w:t>
            </w:r>
            <w:r w:rsidR="0043425E">
              <w:rPr>
                <w:color w:val="000000"/>
                <w:sz w:val="20"/>
                <w:szCs w:val="20"/>
                <w:lang w:eastAsia="zh-CN"/>
              </w:rPr>
              <w:t>8</w:t>
            </w:r>
            <w:r w:rsidRPr="007B4DB8">
              <w:rPr>
                <w:color w:val="000000"/>
                <w:sz w:val="20"/>
                <w:szCs w:val="20"/>
                <w:lang w:eastAsia="zh-CN"/>
              </w:rPr>
              <w:t>.</w:t>
            </w:r>
            <w:r w:rsidR="0043425E">
              <w:rPr>
                <w:color w:val="000000"/>
                <w:sz w:val="20"/>
                <w:szCs w:val="20"/>
                <w:lang w:eastAsia="zh-CN"/>
              </w:rPr>
              <w:t>51</w:t>
            </w:r>
            <w:r w:rsidRPr="007B4DB8">
              <w:rPr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A998D" w14:textId="778CFDE9" w:rsidR="007B4DB8" w:rsidRPr="007B4DB8" w:rsidRDefault="007B4DB8" w:rsidP="007B4DB8">
            <w:pPr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color w:val="000000"/>
                <w:sz w:val="20"/>
                <w:szCs w:val="20"/>
                <w:lang w:eastAsia="zh-CN"/>
              </w:rPr>
              <w:t>1</w:t>
            </w:r>
            <w:r w:rsidR="00DF4BEC">
              <w:rPr>
                <w:color w:val="000000"/>
                <w:sz w:val="20"/>
                <w:szCs w:val="20"/>
                <w:lang w:eastAsia="zh-CN"/>
              </w:rPr>
              <w:t>8</w:t>
            </w:r>
            <w:r w:rsidRPr="007B4DB8">
              <w:rPr>
                <w:color w:val="000000"/>
                <w:sz w:val="20"/>
                <w:szCs w:val="20"/>
                <w:lang w:eastAsia="zh-CN"/>
              </w:rPr>
              <w:t>.2</w:t>
            </w:r>
            <w:r w:rsidR="00DF4BEC">
              <w:rPr>
                <w:color w:val="000000"/>
                <w:sz w:val="20"/>
                <w:szCs w:val="20"/>
                <w:lang w:eastAsia="zh-CN"/>
              </w:rPr>
              <w:t>2</w:t>
            </w:r>
            <w:r w:rsidRPr="007B4DB8">
              <w:rPr>
                <w:color w:val="000000"/>
                <w:sz w:val="20"/>
                <w:szCs w:val="20"/>
                <w:lang w:eastAsia="zh-CN"/>
              </w:rPr>
              <w:t>%</w:t>
            </w:r>
          </w:p>
        </w:tc>
      </w:tr>
      <w:tr w:rsidR="007B4DB8" w:rsidRPr="007B4DB8" w14:paraId="687064F6" w14:textId="77777777" w:rsidTr="007B4DB8">
        <w:trPr>
          <w:trHeight w:val="333"/>
        </w:trPr>
        <w:tc>
          <w:tcPr>
            <w:tcW w:w="4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EDF87C" w14:textId="77777777" w:rsidR="007B4DB8" w:rsidRPr="007B4DB8" w:rsidRDefault="007B4DB8" w:rsidP="007B4DB8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SMF Return vs. Reference Portfolio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6274C2" w14:textId="77777777" w:rsidR="007B4DB8" w:rsidRPr="007B4DB8" w:rsidRDefault="007B4DB8" w:rsidP="007B4DB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-1.11%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25E370" w14:textId="62A740CB" w:rsidR="007B4DB8" w:rsidRPr="007B4DB8" w:rsidRDefault="007B4DB8" w:rsidP="007B4DB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-0.</w:t>
            </w:r>
            <w:r w:rsidR="0043425E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8</w:t>
            </w:r>
            <w:r w:rsidRPr="007B4DB8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9%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2F290" w14:textId="47E3BF20" w:rsidR="007B4DB8" w:rsidRPr="007B4DB8" w:rsidRDefault="007B4DB8" w:rsidP="007B4DB8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7B4DB8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-2.</w:t>
            </w:r>
            <w:r w:rsidR="00DF4BEC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19</w:t>
            </w:r>
            <w:r w:rsidRPr="007B4DB8">
              <w:rPr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%</w:t>
            </w:r>
          </w:p>
        </w:tc>
      </w:tr>
    </w:tbl>
    <w:p w14:paraId="1326AD88" w14:textId="3151860F" w:rsidR="004125C9" w:rsidRPr="00692BAC" w:rsidRDefault="00285D30" w:rsidP="008C790E">
      <w:pPr>
        <w:pStyle w:val="Heading1"/>
        <w:spacing w:before="360"/>
        <w:rPr>
          <w:sz w:val="24"/>
          <w:szCs w:val="24"/>
        </w:rPr>
      </w:pPr>
      <w:bookmarkStart w:id="22" w:name="_Toc19110727"/>
      <w:r w:rsidRPr="00692BAC">
        <w:rPr>
          <w:sz w:val="24"/>
          <w:szCs w:val="24"/>
        </w:rPr>
        <w:t>Attribution Analysis</w:t>
      </w:r>
      <w:bookmarkEnd w:id="22"/>
    </w:p>
    <w:p w14:paraId="219EA9CE" w14:textId="4F1C2C3B" w:rsidR="00797C58" w:rsidRPr="00132FAE" w:rsidRDefault="00573DAA" w:rsidP="00797C58">
      <w:pPr>
        <w:pStyle w:val="TableFigure"/>
        <w:widowControl/>
        <w:spacing w:before="180" w:after="180"/>
        <w:rPr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The performance attribution analysis </w:t>
      </w:r>
      <w:r w:rsidR="00233FE9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is </w:t>
      </w:r>
      <w:r w:rsidR="00CA76B4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presented in </w:t>
      </w:r>
      <w:r w:rsidR="00997F7D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F</w:t>
      </w:r>
      <w:r w:rsidR="00CA76B4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igure </w:t>
      </w:r>
      <w:r w:rsidR="009235EB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4 (</w:t>
      </w:r>
      <w:r w:rsidR="00797C5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see over)</w:t>
      </w:r>
      <w:r w:rsidR="00233FE9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. This analysis is conducted by the R&amp;C team </w:t>
      </w:r>
      <w:r w:rsidR="00CA76B4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with the aim of </w:t>
      </w:r>
      <w:r w:rsidR="00673B80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gaining a better understanding of the key drivers of performance versus the reference portfolio</w:t>
      </w:r>
      <w:r w:rsidR="00797C58"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="00767345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Per</w:t>
      </w:r>
      <w:r w:rsidR="001D1385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f</w:t>
      </w:r>
      <w:r w:rsidR="00767345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ormance relative to</w:t>
      </w:r>
      <w:r w:rsidR="001D1385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the reference portfolio has been decomposed into</w:t>
      </w:r>
      <w:r w:rsidR="00797C58"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contributions from asset allocation, security selection and other effects. The second section of Figure </w:t>
      </w:r>
      <w:r w:rsidR="00797C5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4 </w:t>
      </w:r>
      <w:r w:rsidR="00A974D0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presents</w:t>
      </w:r>
      <w:r w:rsidR="00797C58"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the contributions of each stock held in the AAE portfolio relative to the benchmark S&amp;P/ASX200 ETF. </w:t>
      </w:r>
      <w:r w:rsidR="00797C5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Since inception, </w:t>
      </w:r>
      <w:r w:rsidR="00797C58"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positive contributions </w:t>
      </w:r>
      <w:r w:rsidR="00797C5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have been</w:t>
      </w:r>
      <w:r w:rsidR="00797C58"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made by Telstra </w:t>
      </w:r>
      <w:r w:rsidR="00DD0F71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Corporation Limited </w:t>
      </w:r>
      <w:r w:rsidR="00797C58"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(+</w:t>
      </w:r>
      <w:r w:rsidR="00A57A7C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1.75</w:t>
      </w:r>
      <w:r w:rsidR="00797C58"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%)</w:t>
      </w:r>
      <w:r w:rsidR="000C4D51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and</w:t>
      </w:r>
      <w:r w:rsidR="00797C58"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Rio Tinto</w:t>
      </w:r>
      <w:r w:rsidR="00DD0F71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Limited</w:t>
      </w:r>
      <w:r w:rsidR="00797C58"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(+0.</w:t>
      </w:r>
      <w:r w:rsidR="008F0855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37</w:t>
      </w:r>
      <w:r w:rsidR="00797C58"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%)</w:t>
      </w:r>
      <w:r w:rsidR="009E1B11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="00797C5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Bingo</w:t>
      </w:r>
      <w:r w:rsidR="001D660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Industries</w:t>
      </w:r>
      <w:r w:rsidR="00797C5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and Inghams Group </w:t>
      </w:r>
      <w:r w:rsidR="00797C58"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deliv</w:t>
      </w:r>
      <w:r w:rsidR="009E1B11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ered</w:t>
      </w:r>
      <w:r w:rsidR="00797C58"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negative performance</w:t>
      </w:r>
      <w:r w:rsidR="00797C5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s</w:t>
      </w:r>
      <w:r w:rsidR="00797C58"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with</w:t>
      </w:r>
      <w:r w:rsidR="00797C5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contributions </w:t>
      </w:r>
      <w:r w:rsidR="009235EB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of </w:t>
      </w:r>
      <w:r w:rsidR="00132FAE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-</w:t>
      </w:r>
      <w:r w:rsidR="009E1B11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3.06</w:t>
      </w:r>
      <w:r w:rsidR="00797C5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%</w:t>
      </w:r>
      <w:r w:rsidR="00D93FA4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and</w:t>
      </w:r>
      <w:r w:rsidR="00797C5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-2.</w:t>
      </w:r>
      <w:r w:rsidR="009E1B11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86</w:t>
      </w:r>
      <w:r w:rsidR="00797C5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% respectively</w:t>
      </w:r>
      <w:r w:rsidR="000C4D51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; with </w:t>
      </w:r>
      <w:r w:rsidR="000C4D51"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Westpac </w:t>
      </w:r>
      <w:r w:rsidR="000C4D51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Banking Corporation also contributing </w:t>
      </w:r>
      <w:r w:rsidR="000C4D51"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-0.</w:t>
      </w:r>
      <w:r w:rsidR="000C4D51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34% to performance versus the </w:t>
      </w:r>
      <w:r w:rsidR="000C4D51"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S&amp;P/ASX200 ETF</w:t>
      </w:r>
      <w:r w:rsidR="000C4D51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="00E81DDD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Despite the negative contributions of Bingo Industries and Inghams Group, </w:t>
      </w:r>
      <w:r w:rsidR="00B63BD7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the </w:t>
      </w:r>
      <w:r w:rsidR="00997F7D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F</w:t>
      </w:r>
      <w:r w:rsidR="00B63BD7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und’s views on the long-term cash</w:t>
      </w:r>
      <w:r w:rsidR="00997F7D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B63BD7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flows </w:t>
      </w:r>
      <w:r w:rsidR="00BD6DE6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of these stocks </w:t>
      </w:r>
      <w:r w:rsidR="00997F7D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are unchanged</w:t>
      </w:r>
      <w:r w:rsidR="00015925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="00D9184C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Given </w:t>
      </w:r>
      <w:r w:rsidR="00015925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the long-term nature of the </w:t>
      </w:r>
      <w:r w:rsidR="00997F7D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F</w:t>
      </w:r>
      <w:r w:rsidR="00015925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und</w:t>
      </w:r>
      <w:r w:rsidR="00BD6DE6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, we have greater tolerance for </w:t>
      </w:r>
      <w:r w:rsidR="00D9184C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market volatility than most investors. </w:t>
      </w:r>
      <w:r w:rsidR="00D9184C" w:rsidRPr="00D9184C">
        <w:rPr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The calculations include any franking credits received, with the SMF returns and AAE contributions having benefitted from holding stocks that pay relatively high fully franked dividends (notably Ri</w:t>
      </w:r>
      <w:r w:rsidR="000C4D51">
        <w:rPr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o Tinto and</w:t>
      </w:r>
      <w:r w:rsidR="00132FAE">
        <w:rPr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Telstra</w:t>
      </w:r>
      <w:r w:rsidR="000C4D51">
        <w:rPr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,</w:t>
      </w:r>
      <w:r w:rsidR="00132FAE">
        <w:rPr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and Westpac</w:t>
      </w:r>
      <w:r w:rsidR="000C4D51">
        <w:rPr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looking forward</w:t>
      </w:r>
      <w:r w:rsidR="00132FAE">
        <w:rPr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). </w:t>
      </w:r>
    </w:p>
    <w:p w14:paraId="5EE4FE6E" w14:textId="3C1E94CD" w:rsidR="00797C58" w:rsidRDefault="00797C58" w:rsidP="00797C58">
      <w:pPr>
        <w:pStyle w:val="TableFigure"/>
        <w:widowControl/>
        <w:spacing w:before="180" w:after="180"/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The </w:t>
      </w:r>
      <w:r w:rsidR="00091F03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final </w:t>
      </w:r>
      <w:r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section of Figure 4 details the various contributions from the cash portfolio relative to the benchmark cash ETF. This section </w:t>
      </w:r>
      <w:r w:rsidR="00B65586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reveals</w:t>
      </w:r>
      <w:r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that</w:t>
      </w:r>
      <w:r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 relatively small negative contribution arose from the cash portfolio </w:t>
      </w:r>
      <w:r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a</w:t>
      </w:r>
      <w:r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s a result of holding liquidity within the BT Cash Management Trust, which offers a lower return than that achieved by the benchmark Betashares </w:t>
      </w:r>
      <w:r w:rsidRPr="003771C5">
        <w:rPr>
          <w:b w:val="0"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Cash</w:t>
      </w:r>
      <w:r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ETF. This applies to only a small portion of the total portfolio, with the overall cash contributions amounting to -0.</w:t>
      </w:r>
      <w:r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03</w:t>
      </w:r>
      <w:r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%</w:t>
      </w:r>
      <w:r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at the total portfolio level since inception</w:t>
      </w:r>
      <w:r w:rsidRPr="00182448">
        <w:rPr>
          <w:b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</w:p>
    <w:p w14:paraId="7C0D77A5" w14:textId="1945AEC4" w:rsidR="00F01DC2" w:rsidRPr="00AC697D" w:rsidRDefault="00F01DC2" w:rsidP="00AC697D">
      <w:pPr>
        <w:spacing w:before="180" w:after="60"/>
        <w:jc w:val="both"/>
        <w:rPr>
          <w:b/>
          <w:sz w:val="22"/>
          <w:szCs w:val="22"/>
          <w:lang w:val="en-US"/>
        </w:rPr>
      </w:pPr>
      <w:r w:rsidRPr="00AC697D">
        <w:rPr>
          <w:b/>
          <w:sz w:val="22"/>
          <w:szCs w:val="22"/>
          <w:lang w:val="en-US"/>
        </w:rPr>
        <w:lastRenderedPageBreak/>
        <w:t xml:space="preserve">Figure </w:t>
      </w:r>
      <w:r w:rsidR="002B07EA">
        <w:rPr>
          <w:b/>
          <w:sz w:val="22"/>
          <w:szCs w:val="22"/>
          <w:lang w:val="en-US"/>
        </w:rPr>
        <w:t>4</w:t>
      </w:r>
      <w:r w:rsidRPr="00AC697D">
        <w:rPr>
          <w:b/>
          <w:sz w:val="22"/>
          <w:szCs w:val="22"/>
          <w:lang w:val="en-US"/>
        </w:rPr>
        <w:t xml:space="preserve">: Attribution Analysis </w:t>
      </w:r>
    </w:p>
    <w:tbl>
      <w:tblPr>
        <w:tblStyle w:val="TableGrid"/>
        <w:tblW w:w="4984" w:type="pct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9"/>
        <w:gridCol w:w="2052"/>
        <w:gridCol w:w="1712"/>
        <w:gridCol w:w="1838"/>
      </w:tblGrid>
      <w:tr w:rsidR="00797C58" w:rsidRPr="004D0272" w14:paraId="29057BA4" w14:textId="77777777" w:rsidTr="00551262">
        <w:trPr>
          <w:trHeight w:val="315"/>
        </w:trPr>
        <w:tc>
          <w:tcPr>
            <w:tcW w:w="2068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DFEAF6"/>
            <w:noWrap/>
          </w:tcPr>
          <w:p w14:paraId="7E21040D" w14:textId="77777777" w:rsidR="00797C58" w:rsidRPr="004D0272" w:rsidRDefault="00797C58" w:rsidP="00551262">
            <w:pPr>
              <w:spacing w:before="40" w:after="2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69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FEAF6"/>
            <w:noWrap/>
          </w:tcPr>
          <w:p w14:paraId="53A5686C" w14:textId="77777777" w:rsidR="00797C58" w:rsidRPr="004D0272" w:rsidRDefault="00797C58" w:rsidP="00551262">
            <w:pPr>
              <w:spacing w:before="40" w:after="4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b/>
                <w:bCs/>
                <w:color w:val="000000"/>
                <w:sz w:val="20"/>
                <w:szCs w:val="20"/>
              </w:rPr>
              <w:t>Contributions to Performance vs. Reference Portfolio by Sub-Period</w:t>
            </w:r>
          </w:p>
        </w:tc>
        <w:tc>
          <w:tcPr>
            <w:tcW w:w="963" w:type="pc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DFEAF6"/>
            <w:noWrap/>
          </w:tcPr>
          <w:p w14:paraId="0BA3E143" w14:textId="77777777" w:rsidR="00797C58" w:rsidRPr="00DC130A" w:rsidRDefault="00797C58" w:rsidP="00551262">
            <w:pPr>
              <w:spacing w:before="40" w:after="4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DC130A">
              <w:rPr>
                <w:b/>
                <w:bCs/>
                <w:color w:val="000000"/>
                <w:sz w:val="20"/>
                <w:szCs w:val="20"/>
                <w:u w:val="single"/>
              </w:rPr>
              <w:t>Cumulative Return</w:t>
            </w:r>
          </w:p>
        </w:tc>
      </w:tr>
      <w:tr w:rsidR="00797C58" w:rsidRPr="004D0272" w14:paraId="05130478" w14:textId="77777777" w:rsidTr="00551262">
        <w:trPr>
          <w:trHeight w:val="315"/>
        </w:trPr>
        <w:tc>
          <w:tcPr>
            <w:tcW w:w="2068" w:type="pct"/>
            <w:tcBorders>
              <w:top w:val="single" w:sz="6" w:space="0" w:color="auto"/>
              <w:left w:val="single" w:sz="8" w:space="0" w:color="auto"/>
            </w:tcBorders>
            <w:noWrap/>
            <w:hideMark/>
          </w:tcPr>
          <w:p w14:paraId="5265142D" w14:textId="77777777" w:rsidR="00797C58" w:rsidRPr="004D0272" w:rsidRDefault="00797C58" w:rsidP="00551262">
            <w:pPr>
              <w:spacing w:before="40" w:after="2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0272">
              <w:rPr>
                <w:b/>
                <w:bCs/>
                <w:i/>
                <w:iCs/>
                <w:color w:val="000000"/>
                <w:sz w:val="20"/>
                <w:szCs w:val="20"/>
              </w:rPr>
              <w:t>Period Start</w:t>
            </w:r>
          </w:p>
        </w:tc>
        <w:tc>
          <w:tcPr>
            <w:tcW w:w="1074" w:type="pct"/>
            <w:tcBorders>
              <w:top w:val="single" w:sz="6" w:space="0" w:color="auto"/>
            </w:tcBorders>
            <w:noWrap/>
            <w:hideMark/>
          </w:tcPr>
          <w:p w14:paraId="0AC3D4C6" w14:textId="0807ED17" w:rsidR="00797C58" w:rsidRPr="004D0272" w:rsidRDefault="00A12BB8" w:rsidP="00A12BB8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10-Apr-</w:t>
            </w:r>
            <w:r w:rsidR="00797C58" w:rsidRPr="004D027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96" w:type="pct"/>
            <w:tcBorders>
              <w:top w:val="single" w:sz="6" w:space="0" w:color="auto"/>
            </w:tcBorders>
            <w:noWrap/>
            <w:hideMark/>
          </w:tcPr>
          <w:p w14:paraId="15C65BEA" w14:textId="1B255801" w:rsidR="00797C58" w:rsidRPr="004D0272" w:rsidRDefault="00A12BB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</w:t>
            </w:r>
            <w:r w:rsidR="00113AEE">
              <w:rPr>
                <w:color w:val="000000"/>
                <w:sz w:val="20"/>
                <w:szCs w:val="20"/>
              </w:rPr>
              <w:t>Jan</w:t>
            </w:r>
            <w:r>
              <w:rPr>
                <w:color w:val="000000"/>
                <w:sz w:val="20"/>
                <w:szCs w:val="20"/>
              </w:rPr>
              <w:t>-</w:t>
            </w:r>
            <w:r w:rsidR="00797C58" w:rsidRPr="004D0272">
              <w:rPr>
                <w:color w:val="000000"/>
                <w:sz w:val="20"/>
                <w:szCs w:val="20"/>
              </w:rPr>
              <w:t>1</w:t>
            </w:r>
            <w:r w:rsidR="00113AE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3" w:type="pct"/>
            <w:tcBorders>
              <w:top w:val="single" w:sz="6" w:space="0" w:color="auto"/>
              <w:right w:val="single" w:sz="8" w:space="0" w:color="auto"/>
            </w:tcBorders>
            <w:noWrap/>
            <w:hideMark/>
          </w:tcPr>
          <w:p w14:paraId="75C0EB62" w14:textId="1D2F5F47" w:rsidR="00797C58" w:rsidRPr="004D0272" w:rsidRDefault="00A12BB8" w:rsidP="00A12BB8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10-Apr-</w:t>
            </w:r>
            <w:r w:rsidR="00797C58" w:rsidRPr="004D0272">
              <w:rPr>
                <w:color w:val="000000"/>
                <w:sz w:val="20"/>
                <w:szCs w:val="20"/>
              </w:rPr>
              <w:t>18</w:t>
            </w:r>
          </w:p>
        </w:tc>
      </w:tr>
      <w:tr w:rsidR="00797C58" w:rsidRPr="004D0272" w14:paraId="6C64B7FE" w14:textId="77777777" w:rsidTr="00551262">
        <w:trPr>
          <w:trHeight w:val="315"/>
        </w:trPr>
        <w:tc>
          <w:tcPr>
            <w:tcW w:w="2068" w:type="pct"/>
            <w:tcBorders>
              <w:left w:val="single" w:sz="8" w:space="0" w:color="auto"/>
            </w:tcBorders>
            <w:noWrap/>
            <w:hideMark/>
          </w:tcPr>
          <w:p w14:paraId="459F186E" w14:textId="77777777" w:rsidR="00797C58" w:rsidRPr="004D0272" w:rsidRDefault="00797C58" w:rsidP="00551262">
            <w:pPr>
              <w:spacing w:before="40" w:after="20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0272">
              <w:rPr>
                <w:b/>
                <w:bCs/>
                <w:i/>
                <w:iCs/>
                <w:color w:val="000000"/>
                <w:sz w:val="20"/>
                <w:szCs w:val="20"/>
              </w:rPr>
              <w:t>Period End</w:t>
            </w:r>
          </w:p>
        </w:tc>
        <w:tc>
          <w:tcPr>
            <w:tcW w:w="1074" w:type="pct"/>
            <w:noWrap/>
            <w:hideMark/>
          </w:tcPr>
          <w:p w14:paraId="03790D94" w14:textId="531A8CBE" w:rsidR="00797C58" w:rsidRPr="004D0272" w:rsidRDefault="00A12BB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31-Dec-</w:t>
            </w:r>
            <w:r w:rsidR="00797C58" w:rsidRPr="004D027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96" w:type="pct"/>
            <w:noWrap/>
            <w:hideMark/>
          </w:tcPr>
          <w:p w14:paraId="560AA388" w14:textId="42E16DB0" w:rsidR="00797C58" w:rsidRPr="004D0272" w:rsidRDefault="00797C58" w:rsidP="00A12BB8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152C6">
              <w:rPr>
                <w:color w:val="000000"/>
                <w:sz w:val="20"/>
                <w:szCs w:val="20"/>
              </w:rPr>
              <w:t>2</w:t>
            </w:r>
            <w:r w:rsidR="00A12BB8">
              <w:rPr>
                <w:color w:val="000000"/>
                <w:sz w:val="20"/>
                <w:szCs w:val="20"/>
              </w:rPr>
              <w:t>-Sep-</w:t>
            </w:r>
            <w:r w:rsidRPr="004D027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63" w:type="pct"/>
            <w:tcBorders>
              <w:right w:val="single" w:sz="8" w:space="0" w:color="auto"/>
            </w:tcBorders>
            <w:noWrap/>
            <w:hideMark/>
          </w:tcPr>
          <w:p w14:paraId="71307E28" w14:textId="02ADCE79" w:rsidR="00797C58" w:rsidRPr="004D0272" w:rsidRDefault="00797C58" w:rsidP="00A12BB8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113AEE">
              <w:rPr>
                <w:color w:val="000000"/>
                <w:sz w:val="20"/>
                <w:szCs w:val="20"/>
              </w:rPr>
              <w:t>2</w:t>
            </w:r>
            <w:r w:rsidR="00A12BB8">
              <w:rPr>
                <w:color w:val="000000"/>
                <w:sz w:val="20"/>
                <w:szCs w:val="20"/>
              </w:rPr>
              <w:t>-Sep-</w:t>
            </w:r>
            <w:r w:rsidRPr="004D0272">
              <w:rPr>
                <w:color w:val="000000"/>
                <w:sz w:val="20"/>
                <w:szCs w:val="20"/>
              </w:rPr>
              <w:t>19</w:t>
            </w:r>
          </w:p>
        </w:tc>
      </w:tr>
      <w:tr w:rsidR="00797C58" w:rsidRPr="004D0272" w14:paraId="0F334A6C" w14:textId="77777777" w:rsidTr="00551262">
        <w:trPr>
          <w:trHeight w:val="50"/>
        </w:trPr>
        <w:tc>
          <w:tcPr>
            <w:tcW w:w="2068" w:type="pct"/>
            <w:tcBorders>
              <w:left w:val="single" w:sz="8" w:space="0" w:color="auto"/>
            </w:tcBorders>
            <w:noWrap/>
            <w:hideMark/>
          </w:tcPr>
          <w:p w14:paraId="6EF38807" w14:textId="77777777" w:rsidR="00797C58" w:rsidRPr="004D0272" w:rsidRDefault="00797C58" w:rsidP="00551262">
            <w:pPr>
              <w:spacing w:before="60" w:after="60"/>
              <w:rPr>
                <w:color w:val="000000"/>
                <w:sz w:val="12"/>
                <w:szCs w:val="12"/>
              </w:rPr>
            </w:pPr>
            <w:r w:rsidRPr="004D027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74" w:type="pct"/>
            <w:noWrap/>
            <w:hideMark/>
          </w:tcPr>
          <w:p w14:paraId="0FB65F05" w14:textId="77777777" w:rsidR="00797C58" w:rsidRPr="004D0272" w:rsidRDefault="00797C58" w:rsidP="00551262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896" w:type="pct"/>
            <w:noWrap/>
            <w:hideMark/>
          </w:tcPr>
          <w:p w14:paraId="6267FAA3" w14:textId="77777777" w:rsidR="00797C58" w:rsidRPr="004D0272" w:rsidRDefault="00797C58" w:rsidP="00551262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963" w:type="pct"/>
            <w:tcBorders>
              <w:right w:val="single" w:sz="8" w:space="0" w:color="auto"/>
            </w:tcBorders>
            <w:noWrap/>
            <w:hideMark/>
          </w:tcPr>
          <w:p w14:paraId="4A07256B" w14:textId="77777777" w:rsidR="00797C58" w:rsidRPr="004D0272" w:rsidRDefault="00797C58" w:rsidP="00551262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</w:tr>
      <w:tr w:rsidR="00797C58" w:rsidRPr="004D0272" w14:paraId="2B85B41A" w14:textId="77777777" w:rsidTr="00551262">
        <w:trPr>
          <w:trHeight w:val="315"/>
        </w:trPr>
        <w:tc>
          <w:tcPr>
            <w:tcW w:w="2068" w:type="pct"/>
            <w:tcBorders>
              <w:left w:val="single" w:sz="8" w:space="0" w:color="auto"/>
            </w:tcBorders>
            <w:noWrap/>
            <w:hideMark/>
          </w:tcPr>
          <w:p w14:paraId="3DBACED3" w14:textId="77777777" w:rsidR="00797C58" w:rsidRPr="004D0272" w:rsidRDefault="00797C58" w:rsidP="00551262">
            <w:pPr>
              <w:spacing w:before="40" w:after="20"/>
              <w:rPr>
                <w:b/>
                <w:bCs/>
                <w:color w:val="000000"/>
                <w:sz w:val="20"/>
                <w:szCs w:val="20"/>
              </w:rPr>
            </w:pPr>
            <w:r w:rsidRPr="004D0272">
              <w:rPr>
                <w:b/>
                <w:bCs/>
                <w:color w:val="000000"/>
                <w:sz w:val="20"/>
                <w:szCs w:val="20"/>
              </w:rPr>
              <w:t>SMF Portfolio vs. Reference Portfolio</w:t>
            </w:r>
          </w:p>
        </w:tc>
        <w:tc>
          <w:tcPr>
            <w:tcW w:w="1074" w:type="pct"/>
            <w:noWrap/>
            <w:hideMark/>
          </w:tcPr>
          <w:p w14:paraId="429D5A55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noWrap/>
            <w:hideMark/>
          </w:tcPr>
          <w:p w14:paraId="299F3503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right w:val="single" w:sz="8" w:space="0" w:color="auto"/>
            </w:tcBorders>
            <w:noWrap/>
            <w:hideMark/>
          </w:tcPr>
          <w:p w14:paraId="5BC18E87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7C58" w:rsidRPr="004D0272" w14:paraId="225745BA" w14:textId="77777777" w:rsidTr="00551262">
        <w:trPr>
          <w:trHeight w:val="315"/>
        </w:trPr>
        <w:tc>
          <w:tcPr>
            <w:tcW w:w="2068" w:type="pct"/>
            <w:tcBorders>
              <w:left w:val="single" w:sz="8" w:space="0" w:color="auto"/>
            </w:tcBorders>
            <w:noWrap/>
            <w:hideMark/>
          </w:tcPr>
          <w:p w14:paraId="435B01DE" w14:textId="77777777" w:rsidR="00797C58" w:rsidRPr="004D0272" w:rsidRDefault="00797C58" w:rsidP="00551262">
            <w:pPr>
              <w:spacing w:before="40" w:after="20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Asset Allocation</w:t>
            </w:r>
          </w:p>
        </w:tc>
        <w:tc>
          <w:tcPr>
            <w:tcW w:w="1074" w:type="pct"/>
            <w:noWrap/>
            <w:hideMark/>
          </w:tcPr>
          <w:p w14:paraId="156372E0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0.01%</w:t>
            </w:r>
          </w:p>
        </w:tc>
        <w:tc>
          <w:tcPr>
            <w:tcW w:w="896" w:type="pct"/>
            <w:noWrap/>
            <w:hideMark/>
          </w:tcPr>
          <w:p w14:paraId="233AAAF5" w14:textId="24426C9B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-0.</w:t>
            </w:r>
            <w:r>
              <w:rPr>
                <w:color w:val="000000"/>
                <w:sz w:val="20"/>
                <w:szCs w:val="20"/>
              </w:rPr>
              <w:t>0</w:t>
            </w:r>
            <w:r w:rsidR="00113AEE">
              <w:rPr>
                <w:color w:val="000000"/>
                <w:sz w:val="20"/>
                <w:szCs w:val="20"/>
              </w:rPr>
              <w:t>7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3" w:type="pct"/>
            <w:tcBorders>
              <w:right w:val="single" w:sz="8" w:space="0" w:color="auto"/>
            </w:tcBorders>
            <w:noWrap/>
            <w:hideMark/>
          </w:tcPr>
          <w:p w14:paraId="1CBD3998" w14:textId="6736BCEA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-0.</w:t>
            </w:r>
            <w:r>
              <w:rPr>
                <w:color w:val="000000"/>
                <w:sz w:val="20"/>
                <w:szCs w:val="20"/>
              </w:rPr>
              <w:t>0</w:t>
            </w:r>
            <w:r w:rsidR="00113AEE">
              <w:rPr>
                <w:color w:val="000000"/>
                <w:sz w:val="20"/>
                <w:szCs w:val="20"/>
              </w:rPr>
              <w:t>6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</w:tr>
      <w:tr w:rsidR="00797C58" w:rsidRPr="004D0272" w14:paraId="7186AB49" w14:textId="77777777" w:rsidTr="00551262">
        <w:trPr>
          <w:trHeight w:val="315"/>
        </w:trPr>
        <w:tc>
          <w:tcPr>
            <w:tcW w:w="2068" w:type="pct"/>
            <w:tcBorders>
              <w:left w:val="single" w:sz="8" w:space="0" w:color="auto"/>
            </w:tcBorders>
            <w:noWrap/>
            <w:hideMark/>
          </w:tcPr>
          <w:p w14:paraId="091AAB51" w14:textId="77777777" w:rsidR="00797C58" w:rsidRPr="004D0272" w:rsidRDefault="00797C58" w:rsidP="00551262">
            <w:pPr>
              <w:spacing w:before="40" w:after="20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 xml:space="preserve">Security Selection - AAE Portfolio </w:t>
            </w:r>
          </w:p>
        </w:tc>
        <w:tc>
          <w:tcPr>
            <w:tcW w:w="1074" w:type="pct"/>
            <w:noWrap/>
            <w:hideMark/>
          </w:tcPr>
          <w:p w14:paraId="5F2B057C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-1.00%</w:t>
            </w:r>
          </w:p>
        </w:tc>
        <w:tc>
          <w:tcPr>
            <w:tcW w:w="896" w:type="pct"/>
            <w:noWrap/>
            <w:hideMark/>
          </w:tcPr>
          <w:p w14:paraId="107E55B1" w14:textId="4D75FC03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4D0272">
              <w:rPr>
                <w:color w:val="000000"/>
                <w:sz w:val="20"/>
                <w:szCs w:val="20"/>
              </w:rPr>
              <w:t>0.</w:t>
            </w:r>
            <w:r w:rsidR="00113AEE">
              <w:rPr>
                <w:color w:val="000000"/>
                <w:sz w:val="20"/>
                <w:szCs w:val="20"/>
              </w:rPr>
              <w:t>88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3" w:type="pct"/>
            <w:tcBorders>
              <w:right w:val="single" w:sz="8" w:space="0" w:color="auto"/>
            </w:tcBorders>
            <w:noWrap/>
            <w:hideMark/>
          </w:tcPr>
          <w:p w14:paraId="59AA3380" w14:textId="1CE9B88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</w:t>
            </w:r>
            <w:r w:rsidRPr="004D0272">
              <w:rPr>
                <w:color w:val="000000"/>
                <w:sz w:val="20"/>
                <w:szCs w:val="20"/>
              </w:rPr>
              <w:t>.</w:t>
            </w:r>
            <w:r w:rsidR="00113AEE">
              <w:rPr>
                <w:color w:val="000000"/>
                <w:sz w:val="20"/>
                <w:szCs w:val="20"/>
              </w:rPr>
              <w:t>87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</w:tr>
      <w:tr w:rsidR="00797C58" w:rsidRPr="004D0272" w14:paraId="4CA058DA" w14:textId="77777777" w:rsidTr="00551262">
        <w:trPr>
          <w:trHeight w:val="315"/>
        </w:trPr>
        <w:tc>
          <w:tcPr>
            <w:tcW w:w="2068" w:type="pct"/>
            <w:tcBorders>
              <w:left w:val="single" w:sz="8" w:space="0" w:color="auto"/>
              <w:bottom w:val="single" w:sz="4" w:space="0" w:color="auto"/>
            </w:tcBorders>
            <w:noWrap/>
            <w:hideMark/>
          </w:tcPr>
          <w:p w14:paraId="5665FE0A" w14:textId="77777777" w:rsidR="00797C58" w:rsidRPr="004D0272" w:rsidRDefault="00797C58" w:rsidP="00551262">
            <w:pPr>
              <w:spacing w:before="40" w:after="20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Security Selection - Cash Portfolio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noWrap/>
            <w:hideMark/>
          </w:tcPr>
          <w:p w14:paraId="21CF9C7A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-0.01%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noWrap/>
            <w:hideMark/>
          </w:tcPr>
          <w:p w14:paraId="34B2BBCE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-0.0</w:t>
            </w:r>
            <w:r>
              <w:rPr>
                <w:color w:val="000000"/>
                <w:sz w:val="20"/>
                <w:szCs w:val="20"/>
              </w:rPr>
              <w:t>2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3" w:type="pct"/>
            <w:tcBorders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7DB8C40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-0.0</w:t>
            </w:r>
            <w:r>
              <w:rPr>
                <w:color w:val="000000"/>
                <w:sz w:val="20"/>
                <w:szCs w:val="20"/>
              </w:rPr>
              <w:t>3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</w:tr>
      <w:tr w:rsidR="00797C58" w:rsidRPr="004D0272" w14:paraId="29BC1F7B" w14:textId="77777777" w:rsidTr="00551262">
        <w:trPr>
          <w:trHeight w:val="315"/>
        </w:trPr>
        <w:tc>
          <w:tcPr>
            <w:tcW w:w="20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hideMark/>
          </w:tcPr>
          <w:p w14:paraId="3E7D88B9" w14:textId="77777777" w:rsidR="00797C58" w:rsidRPr="004D0272" w:rsidRDefault="00797C58" w:rsidP="00551262">
            <w:pPr>
              <w:spacing w:before="40" w:after="20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Contribution from Positions Held</w:t>
            </w:r>
          </w:p>
        </w:tc>
        <w:tc>
          <w:tcPr>
            <w:tcW w:w="107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F2FFC4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-1.00%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4AE4E2" w14:textId="7F266765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4D0272">
              <w:rPr>
                <w:color w:val="000000"/>
                <w:sz w:val="20"/>
                <w:szCs w:val="20"/>
              </w:rPr>
              <w:t>0.</w:t>
            </w:r>
            <w:r w:rsidR="00F14131">
              <w:rPr>
                <w:color w:val="000000"/>
                <w:sz w:val="20"/>
                <w:szCs w:val="20"/>
              </w:rPr>
              <w:t>97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53B947C" w14:textId="38382784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1</w:t>
            </w:r>
            <w:r w:rsidRPr="004D0272">
              <w:rPr>
                <w:color w:val="000000"/>
                <w:sz w:val="20"/>
                <w:szCs w:val="20"/>
              </w:rPr>
              <w:t>.</w:t>
            </w:r>
            <w:r w:rsidR="00F14131">
              <w:rPr>
                <w:color w:val="000000"/>
                <w:sz w:val="20"/>
                <w:szCs w:val="20"/>
              </w:rPr>
              <w:t>96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</w:tr>
      <w:tr w:rsidR="00797C58" w:rsidRPr="004D0272" w14:paraId="2FCA1464" w14:textId="77777777" w:rsidTr="00551262">
        <w:trPr>
          <w:trHeight w:val="315"/>
        </w:trPr>
        <w:tc>
          <w:tcPr>
            <w:tcW w:w="20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hideMark/>
          </w:tcPr>
          <w:p w14:paraId="311081A2" w14:textId="77777777" w:rsidR="00797C58" w:rsidRPr="004D0272" w:rsidRDefault="00797C58" w:rsidP="00551262">
            <w:pPr>
              <w:spacing w:before="40" w:after="20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Interaction, aggregation, trading effects</w:t>
            </w:r>
          </w:p>
        </w:tc>
        <w:tc>
          <w:tcPr>
            <w:tcW w:w="107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49F66C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-0.11%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7F6D84" w14:textId="00CA4E0B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0.</w:t>
            </w:r>
            <w:r>
              <w:rPr>
                <w:color w:val="000000"/>
                <w:sz w:val="20"/>
                <w:szCs w:val="20"/>
              </w:rPr>
              <w:t>0</w:t>
            </w:r>
            <w:r w:rsidR="00F14131">
              <w:rPr>
                <w:color w:val="000000"/>
                <w:sz w:val="20"/>
                <w:szCs w:val="20"/>
              </w:rPr>
              <w:t>7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C994A74" w14:textId="3A4C6569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0.2</w:t>
            </w:r>
            <w:r w:rsidR="00F14131">
              <w:rPr>
                <w:color w:val="000000"/>
                <w:sz w:val="20"/>
                <w:szCs w:val="20"/>
              </w:rPr>
              <w:t>3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</w:tr>
      <w:tr w:rsidR="00797C58" w:rsidRPr="004D0272" w14:paraId="603D003E" w14:textId="77777777" w:rsidTr="00551262">
        <w:trPr>
          <w:trHeight w:val="315"/>
        </w:trPr>
        <w:tc>
          <w:tcPr>
            <w:tcW w:w="20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hideMark/>
          </w:tcPr>
          <w:p w14:paraId="767D0868" w14:textId="77777777" w:rsidR="00797C58" w:rsidRPr="004D0272" w:rsidRDefault="00797C58" w:rsidP="00551262">
            <w:pPr>
              <w:spacing w:before="40" w:after="20"/>
              <w:rPr>
                <w:b/>
                <w:bCs/>
                <w:color w:val="000000"/>
                <w:sz w:val="20"/>
                <w:szCs w:val="20"/>
              </w:rPr>
            </w:pPr>
            <w:r w:rsidRPr="004D0272">
              <w:rPr>
                <w:b/>
                <w:bCs/>
                <w:color w:val="000000"/>
                <w:sz w:val="20"/>
                <w:szCs w:val="20"/>
              </w:rPr>
              <w:t>Total Relative Performance</w:t>
            </w:r>
          </w:p>
        </w:tc>
        <w:tc>
          <w:tcPr>
            <w:tcW w:w="107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B873F2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-1.11%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44CFA1" w14:textId="29E8213A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4D0272">
              <w:rPr>
                <w:color w:val="000000"/>
                <w:sz w:val="20"/>
                <w:szCs w:val="20"/>
              </w:rPr>
              <w:t>0.</w:t>
            </w:r>
            <w:r w:rsidR="00CB06FD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9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ADDF641" w14:textId="2F4AF191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2.</w:t>
            </w:r>
            <w:r w:rsidR="00CB06FD">
              <w:rPr>
                <w:color w:val="000000"/>
                <w:sz w:val="20"/>
                <w:szCs w:val="20"/>
              </w:rPr>
              <w:t>19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</w:tr>
      <w:tr w:rsidR="00797C58" w:rsidRPr="004D0272" w14:paraId="3BAC6224" w14:textId="77777777" w:rsidTr="00551262">
        <w:trPr>
          <w:trHeight w:val="135"/>
        </w:trPr>
        <w:tc>
          <w:tcPr>
            <w:tcW w:w="2068" w:type="pct"/>
            <w:tcBorders>
              <w:top w:val="single" w:sz="4" w:space="0" w:color="auto"/>
              <w:left w:val="single" w:sz="8" w:space="0" w:color="auto"/>
            </w:tcBorders>
            <w:noWrap/>
            <w:hideMark/>
          </w:tcPr>
          <w:p w14:paraId="1F3F30A7" w14:textId="77777777" w:rsidR="00797C58" w:rsidRPr="004D0272" w:rsidRDefault="00797C58" w:rsidP="00551262">
            <w:pPr>
              <w:spacing w:before="60" w:after="60"/>
              <w:rPr>
                <w:color w:val="000000"/>
                <w:sz w:val="12"/>
                <w:szCs w:val="12"/>
              </w:rPr>
            </w:pPr>
            <w:r w:rsidRPr="004D027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74" w:type="pct"/>
            <w:tcBorders>
              <w:top w:val="single" w:sz="4" w:space="0" w:color="auto"/>
            </w:tcBorders>
            <w:noWrap/>
            <w:hideMark/>
          </w:tcPr>
          <w:p w14:paraId="563A403F" w14:textId="77777777" w:rsidR="00797C58" w:rsidRPr="004D0272" w:rsidRDefault="00797C58" w:rsidP="00551262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896" w:type="pct"/>
            <w:tcBorders>
              <w:top w:val="single" w:sz="4" w:space="0" w:color="auto"/>
            </w:tcBorders>
            <w:noWrap/>
            <w:hideMark/>
          </w:tcPr>
          <w:p w14:paraId="13BF98F7" w14:textId="77777777" w:rsidR="00797C58" w:rsidRPr="004D0272" w:rsidRDefault="00797C58" w:rsidP="00551262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963" w:type="pct"/>
            <w:tcBorders>
              <w:top w:val="single" w:sz="4" w:space="0" w:color="auto"/>
              <w:right w:val="single" w:sz="8" w:space="0" w:color="auto"/>
            </w:tcBorders>
            <w:noWrap/>
            <w:hideMark/>
          </w:tcPr>
          <w:p w14:paraId="385BFAAC" w14:textId="77777777" w:rsidR="00797C58" w:rsidRPr="004D0272" w:rsidRDefault="00797C58" w:rsidP="00551262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</w:tr>
      <w:tr w:rsidR="00797C58" w:rsidRPr="004D0272" w14:paraId="71184C0D" w14:textId="77777777" w:rsidTr="00551262">
        <w:trPr>
          <w:trHeight w:val="315"/>
        </w:trPr>
        <w:tc>
          <w:tcPr>
            <w:tcW w:w="2068" w:type="pct"/>
            <w:tcBorders>
              <w:left w:val="single" w:sz="8" w:space="0" w:color="auto"/>
            </w:tcBorders>
            <w:noWrap/>
            <w:hideMark/>
          </w:tcPr>
          <w:p w14:paraId="5F3DC7C2" w14:textId="77777777" w:rsidR="00797C58" w:rsidRPr="004D0272" w:rsidRDefault="00797C58" w:rsidP="00551262">
            <w:pPr>
              <w:spacing w:before="40" w:after="20"/>
              <w:rPr>
                <w:b/>
                <w:bCs/>
                <w:color w:val="000000"/>
                <w:sz w:val="20"/>
                <w:szCs w:val="20"/>
              </w:rPr>
            </w:pPr>
            <w:r w:rsidRPr="004D0272">
              <w:rPr>
                <w:b/>
                <w:bCs/>
                <w:color w:val="000000"/>
                <w:sz w:val="20"/>
                <w:szCs w:val="20"/>
              </w:rPr>
              <w:t>AAE Portfolio vs. S&amp;P/ASX200 ETF</w:t>
            </w:r>
          </w:p>
        </w:tc>
        <w:tc>
          <w:tcPr>
            <w:tcW w:w="1074" w:type="pct"/>
            <w:noWrap/>
            <w:hideMark/>
          </w:tcPr>
          <w:p w14:paraId="60253EA8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noWrap/>
            <w:hideMark/>
          </w:tcPr>
          <w:p w14:paraId="0FE1A36D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right w:val="single" w:sz="8" w:space="0" w:color="auto"/>
            </w:tcBorders>
            <w:noWrap/>
            <w:hideMark/>
          </w:tcPr>
          <w:p w14:paraId="5E4751C1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7C58" w:rsidRPr="004D0272" w14:paraId="2D242EC2" w14:textId="77777777" w:rsidTr="00551262">
        <w:trPr>
          <w:trHeight w:val="315"/>
        </w:trPr>
        <w:tc>
          <w:tcPr>
            <w:tcW w:w="2068" w:type="pct"/>
            <w:tcBorders>
              <w:left w:val="single" w:sz="8" w:space="0" w:color="auto"/>
            </w:tcBorders>
            <w:noWrap/>
            <w:hideMark/>
          </w:tcPr>
          <w:p w14:paraId="4C2A80FD" w14:textId="77777777" w:rsidR="00797C58" w:rsidRPr="004D0272" w:rsidRDefault="00797C58" w:rsidP="00551262">
            <w:pPr>
              <w:spacing w:before="40" w:after="20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Bingo Industries Limited</w:t>
            </w:r>
          </w:p>
        </w:tc>
        <w:tc>
          <w:tcPr>
            <w:tcW w:w="1074" w:type="pct"/>
            <w:noWrap/>
            <w:hideMark/>
          </w:tcPr>
          <w:p w14:paraId="15A343E7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-2.81%</w:t>
            </w:r>
          </w:p>
        </w:tc>
        <w:tc>
          <w:tcPr>
            <w:tcW w:w="896" w:type="pct"/>
            <w:noWrap/>
            <w:hideMark/>
          </w:tcPr>
          <w:p w14:paraId="3370AE2A" w14:textId="5962A8BB" w:rsidR="00797C58" w:rsidRPr="004D0272" w:rsidRDefault="00935932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797C58">
              <w:rPr>
                <w:color w:val="000000"/>
                <w:sz w:val="20"/>
                <w:szCs w:val="20"/>
              </w:rPr>
              <w:t>0.</w:t>
            </w:r>
            <w:r>
              <w:rPr>
                <w:color w:val="000000"/>
                <w:sz w:val="20"/>
                <w:szCs w:val="20"/>
              </w:rPr>
              <w:t>26</w:t>
            </w:r>
            <w:r w:rsidR="00797C58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3" w:type="pct"/>
            <w:tcBorders>
              <w:right w:val="single" w:sz="8" w:space="0" w:color="auto"/>
            </w:tcBorders>
            <w:noWrap/>
            <w:hideMark/>
          </w:tcPr>
          <w:p w14:paraId="04D65269" w14:textId="015E4EEF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</w:t>
            </w:r>
            <w:r w:rsidR="00935932">
              <w:rPr>
                <w:color w:val="000000"/>
                <w:sz w:val="20"/>
                <w:szCs w:val="20"/>
              </w:rPr>
              <w:t>3</w:t>
            </w:r>
            <w:r w:rsidRPr="004D0272">
              <w:rPr>
                <w:color w:val="000000"/>
                <w:sz w:val="20"/>
                <w:szCs w:val="20"/>
              </w:rPr>
              <w:t>.</w:t>
            </w:r>
            <w:r w:rsidR="00935932">
              <w:rPr>
                <w:color w:val="000000"/>
                <w:sz w:val="20"/>
                <w:szCs w:val="20"/>
              </w:rPr>
              <w:t>06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</w:tr>
      <w:tr w:rsidR="00797C58" w:rsidRPr="004D0272" w14:paraId="495C2BC5" w14:textId="77777777" w:rsidTr="00551262">
        <w:trPr>
          <w:trHeight w:val="315"/>
        </w:trPr>
        <w:tc>
          <w:tcPr>
            <w:tcW w:w="2068" w:type="pct"/>
            <w:tcBorders>
              <w:left w:val="single" w:sz="8" w:space="0" w:color="auto"/>
            </w:tcBorders>
            <w:noWrap/>
          </w:tcPr>
          <w:p w14:paraId="60228D2F" w14:textId="77777777" w:rsidR="00797C58" w:rsidRPr="004D0272" w:rsidRDefault="00797C58" w:rsidP="00551262">
            <w:pPr>
              <w:spacing w:before="40" w:after="20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Inghams Group Limited</w:t>
            </w:r>
          </w:p>
        </w:tc>
        <w:tc>
          <w:tcPr>
            <w:tcW w:w="1074" w:type="pct"/>
            <w:noWrap/>
          </w:tcPr>
          <w:p w14:paraId="288F3392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896" w:type="pct"/>
            <w:noWrap/>
          </w:tcPr>
          <w:p w14:paraId="18BA264F" w14:textId="5C762D9E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  <w:r w:rsidRPr="004D0272">
              <w:rPr>
                <w:color w:val="000000"/>
                <w:sz w:val="20"/>
                <w:szCs w:val="20"/>
              </w:rPr>
              <w:t>.</w:t>
            </w:r>
            <w:r w:rsidR="00F31FEC">
              <w:rPr>
                <w:color w:val="000000"/>
                <w:sz w:val="20"/>
                <w:szCs w:val="20"/>
              </w:rPr>
              <w:t>86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3" w:type="pct"/>
            <w:tcBorders>
              <w:right w:val="single" w:sz="8" w:space="0" w:color="auto"/>
            </w:tcBorders>
            <w:noWrap/>
          </w:tcPr>
          <w:p w14:paraId="385C5601" w14:textId="54A022D6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</w:t>
            </w:r>
            <w:r w:rsidR="00F31FEC">
              <w:rPr>
                <w:color w:val="000000"/>
                <w:sz w:val="20"/>
                <w:szCs w:val="20"/>
              </w:rPr>
              <w:t>86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</w:tr>
      <w:tr w:rsidR="00797C58" w:rsidRPr="004D0272" w14:paraId="5CCCB9EC" w14:textId="77777777" w:rsidTr="00551262">
        <w:trPr>
          <w:trHeight w:val="315"/>
        </w:trPr>
        <w:tc>
          <w:tcPr>
            <w:tcW w:w="2068" w:type="pct"/>
            <w:tcBorders>
              <w:left w:val="single" w:sz="8" w:space="0" w:color="auto"/>
            </w:tcBorders>
            <w:noWrap/>
          </w:tcPr>
          <w:p w14:paraId="70080260" w14:textId="77777777" w:rsidR="00797C58" w:rsidRPr="004D0272" w:rsidRDefault="00797C58" w:rsidP="00551262">
            <w:pPr>
              <w:spacing w:before="40" w:after="20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iShares Core S&amp;P/ASX 200 ETF</w:t>
            </w:r>
          </w:p>
        </w:tc>
        <w:tc>
          <w:tcPr>
            <w:tcW w:w="1074" w:type="pct"/>
            <w:noWrap/>
          </w:tcPr>
          <w:p w14:paraId="7E500698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896" w:type="pct"/>
            <w:noWrap/>
          </w:tcPr>
          <w:p w14:paraId="5F1A00CF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963" w:type="pct"/>
            <w:tcBorders>
              <w:right w:val="single" w:sz="8" w:space="0" w:color="auto"/>
            </w:tcBorders>
            <w:noWrap/>
          </w:tcPr>
          <w:p w14:paraId="039DEE54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0.00%</w:t>
            </w:r>
          </w:p>
        </w:tc>
      </w:tr>
      <w:tr w:rsidR="00797C58" w:rsidRPr="004D0272" w14:paraId="38310FBB" w14:textId="77777777" w:rsidTr="00551262">
        <w:trPr>
          <w:trHeight w:val="315"/>
        </w:trPr>
        <w:tc>
          <w:tcPr>
            <w:tcW w:w="2068" w:type="pct"/>
            <w:tcBorders>
              <w:left w:val="single" w:sz="8" w:space="0" w:color="auto"/>
            </w:tcBorders>
            <w:noWrap/>
            <w:hideMark/>
          </w:tcPr>
          <w:p w14:paraId="35056F6C" w14:textId="77777777" w:rsidR="00797C58" w:rsidRPr="004D0272" w:rsidRDefault="00797C58" w:rsidP="00551262">
            <w:pPr>
              <w:spacing w:before="40" w:after="20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 xml:space="preserve">Rio Tinto Limited </w:t>
            </w:r>
          </w:p>
        </w:tc>
        <w:tc>
          <w:tcPr>
            <w:tcW w:w="1074" w:type="pct"/>
            <w:noWrap/>
            <w:hideMark/>
          </w:tcPr>
          <w:p w14:paraId="2C905029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-0.03%</w:t>
            </w:r>
          </w:p>
        </w:tc>
        <w:tc>
          <w:tcPr>
            <w:tcW w:w="896" w:type="pct"/>
            <w:noWrap/>
            <w:hideMark/>
          </w:tcPr>
          <w:p w14:paraId="37600B23" w14:textId="70299F0B" w:rsidR="00797C58" w:rsidRPr="004D0272" w:rsidRDefault="00F31FEC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0.40</w:t>
            </w:r>
            <w:r w:rsidR="00797C58" w:rsidRPr="004D02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3" w:type="pct"/>
            <w:tcBorders>
              <w:right w:val="single" w:sz="8" w:space="0" w:color="auto"/>
            </w:tcBorders>
            <w:noWrap/>
            <w:hideMark/>
          </w:tcPr>
          <w:p w14:paraId="7A981A2C" w14:textId="582CB583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0.</w:t>
            </w:r>
            <w:r w:rsidR="00F31FEC">
              <w:rPr>
                <w:color w:val="000000"/>
                <w:sz w:val="20"/>
                <w:szCs w:val="20"/>
              </w:rPr>
              <w:t>37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</w:tr>
      <w:tr w:rsidR="00797C58" w:rsidRPr="004D0272" w14:paraId="770DD1E2" w14:textId="77777777" w:rsidTr="00551262">
        <w:trPr>
          <w:trHeight w:val="315"/>
        </w:trPr>
        <w:tc>
          <w:tcPr>
            <w:tcW w:w="2068" w:type="pct"/>
            <w:tcBorders>
              <w:left w:val="single" w:sz="8" w:space="0" w:color="auto"/>
            </w:tcBorders>
            <w:noWrap/>
            <w:hideMark/>
          </w:tcPr>
          <w:p w14:paraId="4D355B9D" w14:textId="77777777" w:rsidR="00797C58" w:rsidRPr="004D0272" w:rsidRDefault="00797C58" w:rsidP="00551262">
            <w:pPr>
              <w:spacing w:before="40" w:after="20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 xml:space="preserve">Telstra Corporation Limited </w:t>
            </w:r>
          </w:p>
        </w:tc>
        <w:tc>
          <w:tcPr>
            <w:tcW w:w="1074" w:type="pct"/>
            <w:noWrap/>
            <w:hideMark/>
          </w:tcPr>
          <w:p w14:paraId="13087858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0.79%</w:t>
            </w:r>
          </w:p>
        </w:tc>
        <w:tc>
          <w:tcPr>
            <w:tcW w:w="896" w:type="pct"/>
            <w:noWrap/>
            <w:hideMark/>
          </w:tcPr>
          <w:p w14:paraId="46FD876F" w14:textId="5EA25BCC" w:rsidR="00797C58" w:rsidRPr="004D0272" w:rsidRDefault="00425DBF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0.95</w:t>
            </w:r>
            <w:r w:rsidR="00797C58" w:rsidRPr="004D02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3" w:type="pct"/>
            <w:tcBorders>
              <w:right w:val="single" w:sz="8" w:space="0" w:color="auto"/>
            </w:tcBorders>
            <w:noWrap/>
            <w:hideMark/>
          </w:tcPr>
          <w:p w14:paraId="07418166" w14:textId="47760A2B" w:rsidR="00797C58" w:rsidRPr="004D0272" w:rsidRDefault="00425DBF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1.75</w:t>
            </w:r>
            <w:r w:rsidR="00797C58" w:rsidRPr="004D0272">
              <w:rPr>
                <w:color w:val="000000"/>
                <w:sz w:val="20"/>
                <w:szCs w:val="20"/>
              </w:rPr>
              <w:t>%</w:t>
            </w:r>
          </w:p>
        </w:tc>
      </w:tr>
      <w:tr w:rsidR="00797C58" w:rsidRPr="004D0272" w14:paraId="4A9F8F74" w14:textId="77777777" w:rsidTr="00551262">
        <w:trPr>
          <w:trHeight w:val="315"/>
        </w:trPr>
        <w:tc>
          <w:tcPr>
            <w:tcW w:w="2068" w:type="pct"/>
            <w:tcBorders>
              <w:left w:val="single" w:sz="8" w:space="0" w:color="auto"/>
            </w:tcBorders>
            <w:noWrap/>
          </w:tcPr>
          <w:p w14:paraId="6839D544" w14:textId="77777777" w:rsidR="00797C58" w:rsidRPr="004D0272" w:rsidRDefault="00797C58" w:rsidP="00551262">
            <w:pPr>
              <w:spacing w:before="40" w:after="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Westpac Banking Corporation</w:t>
            </w:r>
          </w:p>
        </w:tc>
        <w:tc>
          <w:tcPr>
            <w:tcW w:w="1074" w:type="pct"/>
            <w:noWrap/>
          </w:tcPr>
          <w:p w14:paraId="0DB78FD0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896" w:type="pct"/>
            <w:noWrap/>
          </w:tcPr>
          <w:p w14:paraId="5614C693" w14:textId="5235008A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</w:t>
            </w:r>
            <w:r w:rsidR="00935932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4%</w:t>
            </w:r>
          </w:p>
        </w:tc>
        <w:tc>
          <w:tcPr>
            <w:tcW w:w="963" w:type="pct"/>
            <w:tcBorders>
              <w:right w:val="single" w:sz="8" w:space="0" w:color="auto"/>
            </w:tcBorders>
            <w:noWrap/>
          </w:tcPr>
          <w:p w14:paraId="7612CF17" w14:textId="491734C3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</w:t>
            </w:r>
            <w:r w:rsidR="0086779E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4%</w:t>
            </w:r>
          </w:p>
        </w:tc>
      </w:tr>
      <w:tr w:rsidR="00797C58" w:rsidRPr="004D0272" w14:paraId="191824FE" w14:textId="77777777" w:rsidTr="00551262">
        <w:trPr>
          <w:trHeight w:val="315"/>
        </w:trPr>
        <w:tc>
          <w:tcPr>
            <w:tcW w:w="2068" w:type="pct"/>
            <w:tcBorders>
              <w:left w:val="single" w:sz="8" w:space="0" w:color="auto"/>
              <w:bottom w:val="single" w:sz="4" w:space="0" w:color="auto"/>
            </w:tcBorders>
            <w:noWrap/>
            <w:hideMark/>
          </w:tcPr>
          <w:p w14:paraId="664F36C5" w14:textId="77777777" w:rsidR="00797C58" w:rsidRPr="004D0272" w:rsidRDefault="00797C58" w:rsidP="00551262">
            <w:pPr>
              <w:spacing w:before="40" w:after="20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 xml:space="preserve">Time Aggregation Effect 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noWrap/>
            <w:hideMark/>
          </w:tcPr>
          <w:p w14:paraId="07F51769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-0.02%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noWrap/>
            <w:hideMark/>
          </w:tcPr>
          <w:p w14:paraId="608FC393" w14:textId="075E5268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4D0272">
              <w:rPr>
                <w:color w:val="000000"/>
                <w:sz w:val="20"/>
                <w:szCs w:val="20"/>
              </w:rPr>
              <w:t>0.</w:t>
            </w:r>
            <w:r>
              <w:rPr>
                <w:color w:val="000000"/>
                <w:sz w:val="20"/>
                <w:szCs w:val="20"/>
              </w:rPr>
              <w:t>0</w:t>
            </w:r>
            <w:r w:rsidR="0086779E">
              <w:rPr>
                <w:color w:val="000000"/>
                <w:sz w:val="20"/>
                <w:szCs w:val="20"/>
              </w:rPr>
              <w:t>2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3" w:type="pct"/>
            <w:tcBorders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64ED398" w14:textId="401964AB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-0.</w:t>
            </w:r>
            <w:r>
              <w:rPr>
                <w:color w:val="000000"/>
                <w:sz w:val="20"/>
                <w:szCs w:val="20"/>
              </w:rPr>
              <w:t>0</w:t>
            </w:r>
            <w:r w:rsidR="0086779E">
              <w:rPr>
                <w:color w:val="000000"/>
                <w:sz w:val="20"/>
                <w:szCs w:val="20"/>
              </w:rPr>
              <w:t>2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</w:tr>
      <w:tr w:rsidR="00797C58" w:rsidRPr="004D0272" w14:paraId="5C015EAD" w14:textId="77777777" w:rsidTr="005E44F0">
        <w:trPr>
          <w:trHeight w:val="315"/>
        </w:trPr>
        <w:tc>
          <w:tcPr>
            <w:tcW w:w="2068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noWrap/>
            <w:hideMark/>
          </w:tcPr>
          <w:p w14:paraId="4E4FF5A5" w14:textId="77777777" w:rsidR="00797C58" w:rsidRPr="004D0272" w:rsidRDefault="00797C58" w:rsidP="00551262">
            <w:pPr>
              <w:spacing w:before="40" w:after="20"/>
              <w:rPr>
                <w:b/>
                <w:bCs/>
                <w:color w:val="000000"/>
                <w:sz w:val="20"/>
                <w:szCs w:val="20"/>
              </w:rPr>
            </w:pPr>
            <w:r w:rsidRPr="004D0272">
              <w:rPr>
                <w:b/>
                <w:bCs/>
                <w:color w:val="000000"/>
                <w:sz w:val="20"/>
                <w:szCs w:val="20"/>
              </w:rPr>
              <w:t>Total Relative Performance</w:t>
            </w:r>
          </w:p>
        </w:tc>
        <w:tc>
          <w:tcPr>
            <w:tcW w:w="1074" w:type="pct"/>
            <w:tcBorders>
              <w:top w:val="single" w:sz="4" w:space="0" w:color="auto"/>
              <w:bottom w:val="single" w:sz="6" w:space="0" w:color="auto"/>
            </w:tcBorders>
            <w:noWrap/>
            <w:hideMark/>
          </w:tcPr>
          <w:p w14:paraId="6C8F9ED2" w14:textId="77777777" w:rsidR="00797C58" w:rsidRPr="004D0272" w:rsidRDefault="00797C58" w:rsidP="00551262">
            <w:pPr>
              <w:spacing w:before="4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0272">
              <w:rPr>
                <w:b/>
                <w:bCs/>
                <w:color w:val="000000"/>
                <w:sz w:val="20"/>
                <w:szCs w:val="20"/>
              </w:rPr>
              <w:t>-2.07%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6" w:space="0" w:color="auto"/>
            </w:tcBorders>
            <w:noWrap/>
            <w:hideMark/>
          </w:tcPr>
          <w:p w14:paraId="5CCCBCFF" w14:textId="35460CE8" w:rsidR="00797C58" w:rsidRPr="004D0272" w:rsidRDefault="00797C58" w:rsidP="00551262">
            <w:pPr>
              <w:spacing w:before="4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-1.</w:t>
            </w:r>
            <w:r w:rsidR="0086779E">
              <w:rPr>
                <w:b/>
                <w:bCs/>
                <w:color w:val="000000"/>
                <w:sz w:val="20"/>
                <w:szCs w:val="20"/>
              </w:rPr>
              <w:t>74</w:t>
            </w:r>
            <w:r w:rsidRPr="004D0272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noWrap/>
            <w:hideMark/>
          </w:tcPr>
          <w:p w14:paraId="357B7341" w14:textId="0E0D666E" w:rsidR="00797C58" w:rsidRPr="004D0272" w:rsidRDefault="00797C58" w:rsidP="00551262">
            <w:pPr>
              <w:spacing w:before="4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0272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  <w:r w:rsidR="0086779E">
              <w:rPr>
                <w:b/>
                <w:bCs/>
                <w:color w:val="000000"/>
                <w:sz w:val="20"/>
                <w:szCs w:val="20"/>
              </w:rPr>
              <w:t>78</w:t>
            </w:r>
            <w:r w:rsidRPr="004D0272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97C58" w:rsidRPr="004D0272" w14:paraId="0C085F1E" w14:textId="77777777" w:rsidTr="005E44F0">
        <w:trPr>
          <w:trHeight w:val="315"/>
        </w:trPr>
        <w:tc>
          <w:tcPr>
            <w:tcW w:w="2068" w:type="pct"/>
            <w:tcBorders>
              <w:top w:val="single" w:sz="6" w:space="0" w:color="auto"/>
              <w:left w:val="single" w:sz="8" w:space="0" w:color="auto"/>
              <w:bottom w:val="nil"/>
            </w:tcBorders>
            <w:noWrap/>
            <w:hideMark/>
          </w:tcPr>
          <w:p w14:paraId="3B99F96D" w14:textId="77777777" w:rsidR="00797C58" w:rsidRPr="004D0272" w:rsidRDefault="00797C58" w:rsidP="00551262">
            <w:pPr>
              <w:spacing w:before="40" w:after="20"/>
              <w:rPr>
                <w:i/>
                <w:iCs/>
                <w:color w:val="000000"/>
                <w:sz w:val="20"/>
                <w:szCs w:val="20"/>
              </w:rPr>
            </w:pPr>
            <w:r w:rsidRPr="004D0272">
              <w:rPr>
                <w:i/>
                <w:iCs/>
                <w:color w:val="000000"/>
                <w:sz w:val="20"/>
                <w:szCs w:val="20"/>
              </w:rPr>
              <w:t>Opening AAE Weight in Total Portfolio</w:t>
            </w:r>
          </w:p>
        </w:tc>
        <w:tc>
          <w:tcPr>
            <w:tcW w:w="1074" w:type="pct"/>
            <w:tcBorders>
              <w:top w:val="single" w:sz="6" w:space="0" w:color="auto"/>
              <w:bottom w:val="nil"/>
            </w:tcBorders>
            <w:noWrap/>
            <w:hideMark/>
          </w:tcPr>
          <w:p w14:paraId="1D0297A0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50.16%</w:t>
            </w:r>
          </w:p>
        </w:tc>
        <w:tc>
          <w:tcPr>
            <w:tcW w:w="896" w:type="pct"/>
            <w:tcBorders>
              <w:top w:val="single" w:sz="6" w:space="0" w:color="auto"/>
              <w:bottom w:val="nil"/>
            </w:tcBorders>
            <w:noWrap/>
            <w:hideMark/>
          </w:tcPr>
          <w:p w14:paraId="077FA47A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48.07%</w:t>
            </w:r>
          </w:p>
        </w:tc>
        <w:tc>
          <w:tcPr>
            <w:tcW w:w="963" w:type="pct"/>
            <w:tcBorders>
              <w:top w:val="single" w:sz="6" w:space="0" w:color="auto"/>
              <w:bottom w:val="nil"/>
              <w:right w:val="single" w:sz="8" w:space="0" w:color="auto"/>
            </w:tcBorders>
            <w:noWrap/>
            <w:hideMark/>
          </w:tcPr>
          <w:p w14:paraId="46D59D82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7C58" w:rsidRPr="004D0272" w14:paraId="5C553AEF" w14:textId="77777777" w:rsidTr="00551262">
        <w:trPr>
          <w:trHeight w:val="100"/>
        </w:trPr>
        <w:tc>
          <w:tcPr>
            <w:tcW w:w="2068" w:type="pct"/>
            <w:tcBorders>
              <w:top w:val="nil"/>
              <w:left w:val="single" w:sz="8" w:space="0" w:color="auto"/>
            </w:tcBorders>
            <w:noWrap/>
            <w:hideMark/>
          </w:tcPr>
          <w:p w14:paraId="3835C20A" w14:textId="77777777" w:rsidR="00797C58" w:rsidRPr="004D0272" w:rsidRDefault="00797C58" w:rsidP="00551262">
            <w:pPr>
              <w:spacing w:before="60" w:after="60"/>
              <w:rPr>
                <w:color w:val="000000"/>
                <w:sz w:val="12"/>
                <w:szCs w:val="12"/>
              </w:rPr>
            </w:pPr>
            <w:r w:rsidRPr="004D0272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074" w:type="pct"/>
            <w:tcBorders>
              <w:top w:val="nil"/>
            </w:tcBorders>
            <w:noWrap/>
            <w:hideMark/>
          </w:tcPr>
          <w:p w14:paraId="0161BFB2" w14:textId="77777777" w:rsidR="00797C58" w:rsidRPr="004D0272" w:rsidRDefault="00797C58" w:rsidP="00551262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896" w:type="pct"/>
            <w:tcBorders>
              <w:top w:val="nil"/>
            </w:tcBorders>
            <w:noWrap/>
            <w:hideMark/>
          </w:tcPr>
          <w:p w14:paraId="1E03BCC6" w14:textId="77777777" w:rsidR="00797C58" w:rsidRPr="004D0272" w:rsidRDefault="00797C58" w:rsidP="00551262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  <w:tc>
          <w:tcPr>
            <w:tcW w:w="963" w:type="pct"/>
            <w:tcBorders>
              <w:top w:val="nil"/>
              <w:right w:val="single" w:sz="8" w:space="0" w:color="auto"/>
            </w:tcBorders>
            <w:noWrap/>
            <w:hideMark/>
          </w:tcPr>
          <w:p w14:paraId="106DB8BF" w14:textId="77777777" w:rsidR="00797C58" w:rsidRPr="004D0272" w:rsidRDefault="00797C58" w:rsidP="00551262">
            <w:pPr>
              <w:spacing w:before="60" w:after="60"/>
              <w:rPr>
                <w:color w:val="000000"/>
                <w:sz w:val="12"/>
                <w:szCs w:val="12"/>
              </w:rPr>
            </w:pPr>
          </w:p>
        </w:tc>
      </w:tr>
      <w:tr w:rsidR="00797C58" w:rsidRPr="004D0272" w14:paraId="0E3A2723" w14:textId="77777777" w:rsidTr="00551262">
        <w:trPr>
          <w:trHeight w:val="315"/>
        </w:trPr>
        <w:tc>
          <w:tcPr>
            <w:tcW w:w="2068" w:type="pct"/>
            <w:tcBorders>
              <w:left w:val="single" w:sz="8" w:space="0" w:color="auto"/>
            </w:tcBorders>
            <w:noWrap/>
            <w:hideMark/>
          </w:tcPr>
          <w:p w14:paraId="4CC2C637" w14:textId="77777777" w:rsidR="00797C58" w:rsidRPr="004D0272" w:rsidRDefault="00797C58" w:rsidP="00551262">
            <w:pPr>
              <w:spacing w:before="40" w:after="20"/>
              <w:rPr>
                <w:b/>
                <w:bCs/>
                <w:color w:val="000000"/>
                <w:sz w:val="20"/>
                <w:szCs w:val="20"/>
              </w:rPr>
            </w:pPr>
            <w:r w:rsidRPr="004D0272">
              <w:rPr>
                <w:b/>
                <w:bCs/>
                <w:color w:val="000000"/>
                <w:sz w:val="20"/>
                <w:szCs w:val="20"/>
              </w:rPr>
              <w:t>Cash Portfolio vs. Betashares Cash ETF</w:t>
            </w:r>
          </w:p>
        </w:tc>
        <w:tc>
          <w:tcPr>
            <w:tcW w:w="1074" w:type="pct"/>
            <w:noWrap/>
            <w:hideMark/>
          </w:tcPr>
          <w:p w14:paraId="673B16FA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pct"/>
            <w:noWrap/>
            <w:hideMark/>
          </w:tcPr>
          <w:p w14:paraId="60ED5D58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pct"/>
            <w:tcBorders>
              <w:right w:val="single" w:sz="8" w:space="0" w:color="auto"/>
            </w:tcBorders>
            <w:noWrap/>
            <w:hideMark/>
          </w:tcPr>
          <w:p w14:paraId="0D22E1B9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97C58" w:rsidRPr="004D0272" w14:paraId="662E2D32" w14:textId="77777777" w:rsidTr="00551262">
        <w:trPr>
          <w:trHeight w:val="315"/>
        </w:trPr>
        <w:tc>
          <w:tcPr>
            <w:tcW w:w="2068" w:type="pct"/>
            <w:tcBorders>
              <w:left w:val="single" w:sz="8" w:space="0" w:color="auto"/>
            </w:tcBorders>
            <w:noWrap/>
            <w:hideMark/>
          </w:tcPr>
          <w:p w14:paraId="67FC34A4" w14:textId="77777777" w:rsidR="00797C58" w:rsidRPr="004D0272" w:rsidRDefault="00797C58" w:rsidP="00551262">
            <w:pPr>
              <w:spacing w:before="40" w:after="20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 xml:space="preserve"> Accruals</w:t>
            </w:r>
          </w:p>
        </w:tc>
        <w:tc>
          <w:tcPr>
            <w:tcW w:w="1074" w:type="pct"/>
            <w:noWrap/>
            <w:hideMark/>
          </w:tcPr>
          <w:p w14:paraId="517C69FE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896" w:type="pct"/>
            <w:noWrap/>
            <w:hideMark/>
          </w:tcPr>
          <w:p w14:paraId="2CFB1D20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963" w:type="pct"/>
            <w:tcBorders>
              <w:right w:val="single" w:sz="8" w:space="0" w:color="auto"/>
            </w:tcBorders>
            <w:noWrap/>
            <w:hideMark/>
          </w:tcPr>
          <w:p w14:paraId="38992506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0.00%</w:t>
            </w:r>
          </w:p>
        </w:tc>
      </w:tr>
      <w:tr w:rsidR="00797C58" w:rsidRPr="004D0272" w14:paraId="0C25AE69" w14:textId="77777777" w:rsidTr="00551262">
        <w:trPr>
          <w:trHeight w:val="315"/>
        </w:trPr>
        <w:tc>
          <w:tcPr>
            <w:tcW w:w="2068" w:type="pct"/>
            <w:tcBorders>
              <w:left w:val="single" w:sz="8" w:space="0" w:color="auto"/>
            </w:tcBorders>
            <w:noWrap/>
            <w:hideMark/>
          </w:tcPr>
          <w:p w14:paraId="1488C516" w14:textId="77777777" w:rsidR="00797C58" w:rsidRPr="004D0272" w:rsidRDefault="00797C58" w:rsidP="00551262">
            <w:pPr>
              <w:spacing w:before="40" w:after="20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 xml:space="preserve"> Betashares Cash ETF</w:t>
            </w:r>
          </w:p>
        </w:tc>
        <w:tc>
          <w:tcPr>
            <w:tcW w:w="1074" w:type="pct"/>
            <w:noWrap/>
            <w:hideMark/>
          </w:tcPr>
          <w:p w14:paraId="5DFDA260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896" w:type="pct"/>
            <w:noWrap/>
            <w:hideMark/>
          </w:tcPr>
          <w:p w14:paraId="664B1E5B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963" w:type="pct"/>
            <w:tcBorders>
              <w:right w:val="single" w:sz="8" w:space="0" w:color="auto"/>
            </w:tcBorders>
            <w:noWrap/>
            <w:hideMark/>
          </w:tcPr>
          <w:p w14:paraId="6AD86EF5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0.00%</w:t>
            </w:r>
          </w:p>
        </w:tc>
      </w:tr>
      <w:tr w:rsidR="00797C58" w:rsidRPr="004D0272" w14:paraId="037B40F2" w14:textId="77777777" w:rsidTr="00551262">
        <w:trPr>
          <w:trHeight w:val="315"/>
        </w:trPr>
        <w:tc>
          <w:tcPr>
            <w:tcW w:w="2068" w:type="pct"/>
            <w:tcBorders>
              <w:left w:val="single" w:sz="8" w:space="0" w:color="auto"/>
            </w:tcBorders>
            <w:noWrap/>
            <w:hideMark/>
          </w:tcPr>
          <w:p w14:paraId="1CA099EF" w14:textId="77777777" w:rsidR="00797C58" w:rsidRPr="004D0272" w:rsidRDefault="00797C58" w:rsidP="00551262">
            <w:pPr>
              <w:spacing w:before="40" w:after="20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 xml:space="preserve"> BT Cash Management Trust</w:t>
            </w:r>
          </w:p>
        </w:tc>
        <w:tc>
          <w:tcPr>
            <w:tcW w:w="1074" w:type="pct"/>
            <w:noWrap/>
            <w:hideMark/>
          </w:tcPr>
          <w:p w14:paraId="583E2A9B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-0.25%</w:t>
            </w:r>
          </w:p>
        </w:tc>
        <w:tc>
          <w:tcPr>
            <w:tcW w:w="896" w:type="pct"/>
            <w:noWrap/>
            <w:hideMark/>
          </w:tcPr>
          <w:p w14:paraId="63F572C5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-0.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3" w:type="pct"/>
            <w:tcBorders>
              <w:right w:val="single" w:sz="8" w:space="0" w:color="auto"/>
            </w:tcBorders>
            <w:noWrap/>
            <w:hideMark/>
          </w:tcPr>
          <w:p w14:paraId="5A40D013" w14:textId="1A5A5303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-0.</w:t>
            </w:r>
            <w:r>
              <w:rPr>
                <w:color w:val="000000"/>
                <w:sz w:val="20"/>
                <w:szCs w:val="20"/>
              </w:rPr>
              <w:t>5</w:t>
            </w:r>
            <w:r w:rsidR="000D5BEB">
              <w:rPr>
                <w:color w:val="000000"/>
                <w:sz w:val="20"/>
                <w:szCs w:val="20"/>
              </w:rPr>
              <w:t>7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</w:tr>
      <w:tr w:rsidR="00797C58" w:rsidRPr="004D0272" w14:paraId="6D0A0125" w14:textId="77777777" w:rsidTr="00551262">
        <w:trPr>
          <w:trHeight w:val="315"/>
        </w:trPr>
        <w:tc>
          <w:tcPr>
            <w:tcW w:w="2068" w:type="pct"/>
            <w:tcBorders>
              <w:left w:val="single" w:sz="8" w:space="0" w:color="auto"/>
              <w:bottom w:val="single" w:sz="4" w:space="0" w:color="auto"/>
            </w:tcBorders>
            <w:noWrap/>
            <w:hideMark/>
          </w:tcPr>
          <w:p w14:paraId="2A7747CD" w14:textId="77777777" w:rsidR="00797C58" w:rsidRPr="004D0272" w:rsidRDefault="00797C58" w:rsidP="00551262">
            <w:pPr>
              <w:spacing w:before="40" w:after="20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 xml:space="preserve"> Time Aggregation Effect </w:t>
            </w:r>
          </w:p>
        </w:tc>
        <w:tc>
          <w:tcPr>
            <w:tcW w:w="1074" w:type="pct"/>
            <w:tcBorders>
              <w:bottom w:val="single" w:sz="4" w:space="0" w:color="auto"/>
            </w:tcBorders>
            <w:noWrap/>
            <w:hideMark/>
          </w:tcPr>
          <w:p w14:paraId="3D0A4CAE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896" w:type="pct"/>
            <w:tcBorders>
              <w:bottom w:val="single" w:sz="4" w:space="0" w:color="auto"/>
            </w:tcBorders>
            <w:noWrap/>
            <w:hideMark/>
          </w:tcPr>
          <w:p w14:paraId="4F2C7472" w14:textId="0330FC2C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0.0</w:t>
            </w:r>
            <w:r w:rsidR="00861E67">
              <w:rPr>
                <w:color w:val="000000"/>
                <w:sz w:val="20"/>
                <w:szCs w:val="20"/>
              </w:rPr>
              <w:t>9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3" w:type="pct"/>
            <w:tcBorders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77C0CF5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0.00%</w:t>
            </w:r>
          </w:p>
        </w:tc>
      </w:tr>
      <w:tr w:rsidR="00797C58" w:rsidRPr="004D0272" w14:paraId="211F6B4E" w14:textId="77777777" w:rsidTr="00551262">
        <w:trPr>
          <w:trHeight w:val="315"/>
        </w:trPr>
        <w:tc>
          <w:tcPr>
            <w:tcW w:w="20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hideMark/>
          </w:tcPr>
          <w:p w14:paraId="33DAE93F" w14:textId="77777777" w:rsidR="00797C58" w:rsidRPr="004D0272" w:rsidRDefault="00797C58" w:rsidP="00551262">
            <w:pPr>
              <w:spacing w:before="40" w:after="20"/>
              <w:rPr>
                <w:b/>
                <w:bCs/>
                <w:color w:val="000000"/>
                <w:sz w:val="20"/>
                <w:szCs w:val="20"/>
              </w:rPr>
            </w:pPr>
            <w:r w:rsidRPr="004D0272">
              <w:rPr>
                <w:b/>
                <w:bCs/>
                <w:color w:val="000000"/>
                <w:sz w:val="20"/>
                <w:szCs w:val="20"/>
              </w:rPr>
              <w:t>Total Relative Performance</w:t>
            </w:r>
          </w:p>
        </w:tc>
        <w:tc>
          <w:tcPr>
            <w:tcW w:w="107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32D2A7" w14:textId="77777777" w:rsidR="00797C58" w:rsidRPr="004D0272" w:rsidRDefault="00797C58" w:rsidP="00551262">
            <w:pPr>
              <w:spacing w:before="4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0272">
              <w:rPr>
                <w:b/>
                <w:bCs/>
                <w:color w:val="000000"/>
                <w:sz w:val="20"/>
                <w:szCs w:val="20"/>
              </w:rPr>
              <w:t>-0.25%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C8366B" w14:textId="7D8B1E20" w:rsidR="00797C58" w:rsidRPr="004D0272" w:rsidRDefault="00797C58" w:rsidP="00551262">
            <w:pPr>
              <w:spacing w:before="4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0272">
              <w:rPr>
                <w:b/>
                <w:bCs/>
                <w:color w:val="000000"/>
                <w:sz w:val="20"/>
                <w:szCs w:val="20"/>
              </w:rPr>
              <w:t>-0.</w:t>
            </w: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  <w:r w:rsidR="00861E67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Pr="004D0272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3DC9A7C" w14:textId="3CA17949" w:rsidR="00797C58" w:rsidRPr="004D0272" w:rsidRDefault="00797C58" w:rsidP="00551262">
            <w:pPr>
              <w:spacing w:before="40" w:after="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0272">
              <w:rPr>
                <w:b/>
                <w:bCs/>
                <w:color w:val="000000"/>
                <w:sz w:val="20"/>
                <w:szCs w:val="20"/>
              </w:rPr>
              <w:t>-0.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861E67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Pr="004D0272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797C58" w:rsidRPr="004D0272" w14:paraId="5F5FAF27" w14:textId="77777777" w:rsidTr="00551262">
        <w:trPr>
          <w:trHeight w:val="315"/>
        </w:trPr>
        <w:tc>
          <w:tcPr>
            <w:tcW w:w="20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noWrap/>
            <w:hideMark/>
          </w:tcPr>
          <w:p w14:paraId="4D644429" w14:textId="11AFEB6B" w:rsidR="00797C58" w:rsidRPr="004D0272" w:rsidRDefault="00797C58" w:rsidP="00551262">
            <w:pPr>
              <w:spacing w:before="40" w:after="20"/>
              <w:rPr>
                <w:i/>
                <w:iCs/>
                <w:color w:val="000000"/>
                <w:sz w:val="20"/>
                <w:szCs w:val="20"/>
              </w:rPr>
            </w:pPr>
            <w:r w:rsidRPr="004D0272">
              <w:rPr>
                <w:i/>
                <w:iCs/>
                <w:color w:val="000000"/>
                <w:sz w:val="20"/>
                <w:szCs w:val="20"/>
              </w:rPr>
              <w:t>Adjusted Opening Cash Weight in Portfolio</w:t>
            </w:r>
          </w:p>
        </w:tc>
        <w:tc>
          <w:tcPr>
            <w:tcW w:w="1074" w:type="pct"/>
            <w:tcBorders>
              <w:top w:val="single" w:sz="4" w:space="0" w:color="auto"/>
              <w:bottom w:val="single" w:sz="8" w:space="0" w:color="auto"/>
            </w:tcBorders>
            <w:noWrap/>
            <w:hideMark/>
          </w:tcPr>
          <w:p w14:paraId="1A97B4E9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 w:rsidRPr="004D0272">
              <w:rPr>
                <w:color w:val="000000"/>
                <w:sz w:val="20"/>
                <w:szCs w:val="20"/>
              </w:rPr>
              <w:t>4.81%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8" w:space="0" w:color="auto"/>
            </w:tcBorders>
            <w:noWrap/>
            <w:hideMark/>
          </w:tcPr>
          <w:p w14:paraId="49040438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7.00</w:t>
            </w:r>
            <w:r w:rsidRPr="004D0272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63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A22AD50" w14:textId="77777777" w:rsidR="00797C58" w:rsidRPr="004D0272" w:rsidRDefault="00797C58" w:rsidP="00551262">
            <w:pPr>
              <w:spacing w:before="40" w:after="2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F73EDB6" w14:textId="6CD1CC37" w:rsidR="00132FAE" w:rsidRPr="009E7A01" w:rsidRDefault="00132FAE" w:rsidP="000C4D51">
      <w:pPr>
        <w:spacing w:before="360"/>
        <w:jc w:val="both"/>
        <w:rPr>
          <w:color w:val="A6A6A6" w:themeColor="background1" w:themeShade="A6"/>
          <w:sz w:val="20"/>
          <w:szCs w:val="20"/>
        </w:rPr>
      </w:pP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At present</w:t>
      </w:r>
      <w:r w:rsidR="000C4D51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,</w:t>
      </w:r>
      <w:r w:rsidRPr="0018244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the targeted asset </w:t>
      </w:r>
      <w:r w:rsidR="000C4D51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class </w:t>
      </w:r>
      <w:r w:rsidRPr="0018244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weights remain </w:t>
      </w:r>
      <w:r w:rsidR="000C4D51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broadly </w:t>
      </w:r>
      <w:r w:rsidRPr="0018244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in line with the reference portfolio weights</w:t>
      </w:r>
      <w:r w:rsidR="00220BF6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,</w:t>
      </w:r>
      <w:r w:rsidRPr="0018244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as</w:t>
      </w:r>
      <w:r w:rsidRPr="0018244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active asset allocation decisions are yet to be made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.</w:t>
      </w:r>
      <w:r w:rsidRPr="0018244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As such, the asset allocation contribution of -0.0</w:t>
      </w:r>
      <w:r w:rsidR="00814B9B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6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%</w:t>
      </w:r>
      <w:r w:rsidR="000C4D51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does not reflect any </w:t>
      </w:r>
      <w:r w:rsidR="000C4D51" w:rsidRPr="0018244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active strategic decisions made by the Fund</w:t>
      </w:r>
      <w:r w:rsidR="000C4D51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. Rather, it is reflective of</w:t>
      </w:r>
      <w:r w:rsidRPr="0018244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interaction</w:t>
      </w:r>
      <w:r w:rsidR="000C4D51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s with</w:t>
      </w:r>
      <w:r w:rsidRPr="0018244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market movements and </w:t>
      </w:r>
      <w:r w:rsidR="000C4D51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effects related to cash flows,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such as </w:t>
      </w:r>
      <w:r w:rsidRPr="0018244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the Fund’s distribution in early 2019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and income received</w:t>
      </w:r>
      <w:r w:rsidRPr="0018244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. Therefore,</w:t>
      </w:r>
      <w:r w:rsidRPr="00724302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18244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specific asset contributions have been excluded in this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analysis</w:t>
      </w:r>
      <w:r w:rsidRPr="0018244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Looking forward, </w:t>
      </w:r>
      <w:r w:rsidRPr="0018244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the expected completion of the </w:t>
      </w:r>
      <w:r w:rsidR="005D696A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AA IP</w:t>
      </w:r>
      <w:r w:rsidRPr="0018244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E1642F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may</w:t>
      </w:r>
      <w:r w:rsidR="007D3EAC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facilitate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more</w:t>
      </w:r>
      <w:r w:rsidRPr="0018244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deliberate changes to 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the </w:t>
      </w:r>
      <w:r w:rsidRPr="0018244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asset allocation in 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coming</w:t>
      </w:r>
      <w:r w:rsidRPr="00182448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semesters</w:t>
      </w:r>
      <w:r w:rsidR="00544B39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.  In this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event</w:t>
      </w:r>
      <w:r w:rsidR="00575F9D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,</w:t>
      </w:r>
      <w:r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we will commence reporting asset allocation contributions in detail.</w:t>
      </w:r>
    </w:p>
    <w:p w14:paraId="649C5A07" w14:textId="5D36ADA9" w:rsidR="00CC2B60" w:rsidRDefault="00CC2B60" w:rsidP="00A250F3">
      <w:pPr>
        <w:jc w:val="both"/>
        <w:rPr>
          <w:color w:val="000000"/>
          <w:sz w:val="20"/>
          <w:szCs w:val="20"/>
        </w:rPr>
      </w:pPr>
    </w:p>
    <w:p w14:paraId="4A40B13F" w14:textId="77777777" w:rsidR="00132FAE" w:rsidRDefault="00132FAE">
      <w:pPr>
        <w:spacing w:before="120" w:after="120" w:line="312" w:lineRule="auto"/>
        <w:rPr>
          <w:rFonts w:eastAsiaTheme="minorEastAsia"/>
          <w:b/>
          <w:color w:val="4472C4" w:themeColor="accent1"/>
          <w:spacing w:val="15"/>
          <w:sz w:val="28"/>
          <w:szCs w:val="28"/>
          <w:lang w:eastAsia="zh-CN"/>
        </w:rPr>
      </w:pPr>
      <w:bookmarkStart w:id="23" w:name="_Toc524277825"/>
      <w:r>
        <w:rPr>
          <w:sz w:val="28"/>
          <w:szCs w:val="28"/>
          <w:lang w:eastAsia="zh-CN"/>
        </w:rPr>
        <w:br w:type="page"/>
      </w:r>
    </w:p>
    <w:p w14:paraId="46763C0E" w14:textId="6C671941" w:rsidR="00380F71" w:rsidRPr="00692BAC" w:rsidRDefault="00380F71" w:rsidP="00A250F3">
      <w:pPr>
        <w:pStyle w:val="Heading1"/>
        <w:spacing w:before="360" w:line="240" w:lineRule="auto"/>
        <w:rPr>
          <w:sz w:val="24"/>
          <w:szCs w:val="24"/>
          <w:lang w:eastAsia="zh-CN"/>
        </w:rPr>
      </w:pPr>
      <w:bookmarkStart w:id="24" w:name="_Toc19110728"/>
      <w:r w:rsidRPr="00692BAC">
        <w:rPr>
          <w:sz w:val="24"/>
          <w:szCs w:val="24"/>
          <w:lang w:eastAsia="zh-CN"/>
        </w:rPr>
        <w:lastRenderedPageBreak/>
        <w:t>Socially Responsible Investment (SRI) Report</w:t>
      </w:r>
      <w:bookmarkEnd w:id="23"/>
      <w:bookmarkEnd w:id="24"/>
    </w:p>
    <w:p w14:paraId="4317468A" w14:textId="7D30C08B" w:rsidR="00132FAE" w:rsidRPr="001B0AAF" w:rsidRDefault="00132FAE" w:rsidP="00797C58">
      <w:pPr>
        <w:spacing w:before="180"/>
        <w:jc w:val="both"/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 xml:space="preserve">The </w:t>
      </w:r>
      <w:r w:rsidR="00797C58" w:rsidRPr="001B0AAF">
        <w:rPr>
          <w:color w:val="000000" w:themeColor="text1"/>
          <w:sz w:val="20"/>
          <w:szCs w:val="20"/>
          <w:lang w:val="en-US"/>
        </w:rPr>
        <w:t xml:space="preserve">Fund’s SRI policy </w:t>
      </w:r>
      <w:r w:rsidR="00077907">
        <w:rPr>
          <w:color w:val="000000" w:themeColor="text1"/>
          <w:sz w:val="20"/>
          <w:szCs w:val="20"/>
          <w:lang w:val="en-US"/>
        </w:rPr>
        <w:t xml:space="preserve">applies </w:t>
      </w:r>
      <w:r>
        <w:rPr>
          <w:color w:val="000000" w:themeColor="text1"/>
          <w:sz w:val="20"/>
          <w:szCs w:val="20"/>
          <w:lang w:val="en-US"/>
        </w:rPr>
        <w:t xml:space="preserve">five criteria </w:t>
      </w:r>
      <w:r w:rsidR="00077907">
        <w:rPr>
          <w:color w:val="000000" w:themeColor="text1"/>
          <w:sz w:val="20"/>
          <w:szCs w:val="20"/>
          <w:lang w:val="en-US"/>
        </w:rPr>
        <w:t xml:space="preserve">as </w:t>
      </w:r>
      <w:r>
        <w:rPr>
          <w:color w:val="000000" w:themeColor="text1"/>
          <w:sz w:val="20"/>
          <w:szCs w:val="20"/>
          <w:lang w:val="en-US"/>
        </w:rPr>
        <w:t xml:space="preserve">listed below. </w:t>
      </w:r>
      <w:r w:rsidR="00077907">
        <w:rPr>
          <w:color w:val="000000" w:themeColor="text1"/>
          <w:sz w:val="20"/>
          <w:szCs w:val="20"/>
          <w:lang w:val="en-US"/>
        </w:rPr>
        <w:t>C</w:t>
      </w:r>
      <w:r w:rsidR="00797C58" w:rsidRPr="001B0AAF">
        <w:rPr>
          <w:color w:val="000000" w:themeColor="text1"/>
          <w:sz w:val="20"/>
          <w:szCs w:val="20"/>
          <w:lang w:val="en-US"/>
        </w:rPr>
        <w:t xml:space="preserve">riteria </w:t>
      </w:r>
      <w:r w:rsidR="00077907">
        <w:rPr>
          <w:color w:val="000000" w:themeColor="text1"/>
          <w:sz w:val="20"/>
          <w:szCs w:val="20"/>
          <w:lang w:val="en-US"/>
        </w:rPr>
        <w:t>one through three reflect</w:t>
      </w:r>
      <w:r w:rsidR="002442BE">
        <w:rPr>
          <w:color w:val="000000" w:themeColor="text1"/>
          <w:sz w:val="20"/>
          <w:szCs w:val="20"/>
          <w:lang w:val="en-US"/>
        </w:rPr>
        <w:t xml:space="preserve"> those </w:t>
      </w:r>
      <w:r w:rsidR="00797C58" w:rsidRPr="001B0AAF">
        <w:rPr>
          <w:color w:val="000000" w:themeColor="text1"/>
          <w:sz w:val="20"/>
          <w:szCs w:val="20"/>
          <w:lang w:val="en-US"/>
        </w:rPr>
        <w:t xml:space="preserve">used </w:t>
      </w:r>
      <w:r w:rsidR="002442BE">
        <w:rPr>
          <w:color w:val="000000" w:themeColor="text1"/>
          <w:sz w:val="20"/>
          <w:szCs w:val="20"/>
          <w:lang w:val="en-US"/>
        </w:rPr>
        <w:t>by</w:t>
      </w:r>
      <w:r w:rsidR="00797C58" w:rsidRPr="001B0AAF">
        <w:rPr>
          <w:color w:val="000000" w:themeColor="text1"/>
          <w:sz w:val="20"/>
          <w:szCs w:val="20"/>
          <w:lang w:val="en-US"/>
        </w:rPr>
        <w:t xml:space="preserve"> the </w:t>
      </w:r>
      <w:r w:rsidR="00077907">
        <w:rPr>
          <w:color w:val="000000" w:themeColor="text1"/>
          <w:sz w:val="20"/>
          <w:szCs w:val="20"/>
          <w:lang w:val="en-US"/>
        </w:rPr>
        <w:t>University in its enhanced index fund within the</w:t>
      </w:r>
      <w:r w:rsidR="002442BE">
        <w:rPr>
          <w:color w:val="000000" w:themeColor="text1"/>
          <w:sz w:val="20"/>
          <w:szCs w:val="20"/>
          <w:lang w:val="en-US"/>
        </w:rPr>
        <w:t xml:space="preserve"> </w:t>
      </w:r>
      <w:r w:rsidR="00797C58" w:rsidRPr="001B0AAF">
        <w:rPr>
          <w:color w:val="000000" w:themeColor="text1"/>
          <w:sz w:val="20"/>
          <w:szCs w:val="20"/>
          <w:lang w:val="en-US"/>
        </w:rPr>
        <w:t xml:space="preserve">Australian equity </w:t>
      </w:r>
      <w:r w:rsidR="00077907">
        <w:rPr>
          <w:color w:val="000000" w:themeColor="text1"/>
          <w:sz w:val="20"/>
          <w:szCs w:val="20"/>
          <w:lang w:val="en-US"/>
        </w:rPr>
        <w:t>component of the ANU</w:t>
      </w:r>
      <w:r w:rsidR="00797C58" w:rsidRPr="001B0AAF">
        <w:rPr>
          <w:color w:val="000000" w:themeColor="text1"/>
          <w:sz w:val="20"/>
          <w:szCs w:val="20"/>
          <w:lang w:val="en-US"/>
        </w:rPr>
        <w:t xml:space="preserve"> Long Term Investment</w:t>
      </w:r>
      <w:r w:rsidR="00077907">
        <w:rPr>
          <w:color w:val="000000" w:themeColor="text1"/>
          <w:sz w:val="20"/>
          <w:szCs w:val="20"/>
          <w:lang w:val="en-US"/>
        </w:rPr>
        <w:t xml:space="preserve"> Pool (LTIP)</w:t>
      </w:r>
      <w:r w:rsidR="00797C58" w:rsidRPr="001B0AAF">
        <w:rPr>
          <w:color w:val="000000" w:themeColor="text1"/>
          <w:sz w:val="20"/>
          <w:szCs w:val="20"/>
          <w:lang w:val="en-US"/>
        </w:rPr>
        <w:t xml:space="preserve">. The SMF </w:t>
      </w:r>
      <w:r w:rsidR="00077907">
        <w:rPr>
          <w:color w:val="000000" w:themeColor="text1"/>
          <w:sz w:val="20"/>
          <w:szCs w:val="20"/>
          <w:lang w:val="en-US"/>
        </w:rPr>
        <w:t>has added</w:t>
      </w:r>
      <w:r w:rsidR="00797C58" w:rsidRPr="001B0AAF">
        <w:rPr>
          <w:color w:val="000000" w:themeColor="text1"/>
          <w:sz w:val="20"/>
          <w:szCs w:val="20"/>
          <w:lang w:val="en-US"/>
        </w:rPr>
        <w:t xml:space="preserve"> </w:t>
      </w:r>
      <w:r w:rsidR="00077907">
        <w:rPr>
          <w:color w:val="000000" w:themeColor="text1"/>
          <w:sz w:val="20"/>
          <w:szCs w:val="20"/>
          <w:lang w:val="en-US"/>
        </w:rPr>
        <w:t xml:space="preserve">criteria </w:t>
      </w:r>
      <w:r w:rsidR="00797C58" w:rsidRPr="001B0AAF">
        <w:rPr>
          <w:color w:val="000000" w:themeColor="text1"/>
          <w:sz w:val="20"/>
          <w:szCs w:val="20"/>
          <w:lang w:val="en-US"/>
        </w:rPr>
        <w:t>four and five</w:t>
      </w:r>
      <w:r>
        <w:rPr>
          <w:color w:val="000000" w:themeColor="text1"/>
          <w:sz w:val="20"/>
          <w:szCs w:val="20"/>
          <w:lang w:val="en-US"/>
        </w:rPr>
        <w:t xml:space="preserve">, which reflect the first and second </w:t>
      </w:r>
      <w:r w:rsidR="002442BE">
        <w:rPr>
          <w:color w:val="000000" w:themeColor="text1"/>
          <w:sz w:val="20"/>
          <w:szCs w:val="20"/>
          <w:lang w:val="en-US"/>
        </w:rPr>
        <w:t xml:space="preserve">dot points </w:t>
      </w:r>
      <w:r w:rsidR="00077907">
        <w:rPr>
          <w:color w:val="000000" w:themeColor="text1"/>
          <w:sz w:val="20"/>
          <w:szCs w:val="20"/>
          <w:lang w:val="en-US"/>
        </w:rPr>
        <w:t xml:space="preserve">appearing </w:t>
      </w:r>
      <w:r w:rsidR="002442BE">
        <w:rPr>
          <w:color w:val="000000" w:themeColor="text1"/>
          <w:sz w:val="20"/>
          <w:szCs w:val="20"/>
          <w:lang w:val="en-US"/>
        </w:rPr>
        <w:t xml:space="preserve">under </w:t>
      </w:r>
      <w:r w:rsidR="003B3AB2">
        <w:rPr>
          <w:color w:val="000000" w:themeColor="text1"/>
          <w:sz w:val="20"/>
          <w:szCs w:val="20"/>
          <w:lang w:val="en-US"/>
        </w:rPr>
        <w:t>S</w:t>
      </w:r>
      <w:r w:rsidR="002442BE">
        <w:rPr>
          <w:color w:val="000000" w:themeColor="text1"/>
          <w:sz w:val="20"/>
          <w:szCs w:val="20"/>
          <w:lang w:val="en-US"/>
        </w:rPr>
        <w:t>ection 3 of the</w:t>
      </w:r>
      <w:r>
        <w:rPr>
          <w:color w:val="000000" w:themeColor="text1"/>
          <w:sz w:val="20"/>
          <w:szCs w:val="20"/>
          <w:lang w:val="en-US"/>
        </w:rPr>
        <w:t xml:space="preserve"> University’s SRI </w:t>
      </w:r>
      <w:r w:rsidR="002442BE">
        <w:rPr>
          <w:color w:val="000000" w:themeColor="text1"/>
          <w:sz w:val="20"/>
          <w:szCs w:val="20"/>
          <w:lang w:val="en-US"/>
        </w:rPr>
        <w:t>P</w:t>
      </w:r>
      <w:r>
        <w:rPr>
          <w:color w:val="000000" w:themeColor="text1"/>
          <w:sz w:val="20"/>
          <w:szCs w:val="20"/>
          <w:lang w:val="en-US"/>
        </w:rPr>
        <w:t xml:space="preserve">olicy </w:t>
      </w:r>
      <w:r w:rsidR="002442BE">
        <w:rPr>
          <w:color w:val="000000" w:themeColor="text1"/>
          <w:sz w:val="20"/>
          <w:szCs w:val="20"/>
          <w:lang w:val="en-US"/>
        </w:rPr>
        <w:t xml:space="preserve">Statement </w:t>
      </w:r>
      <w:r>
        <w:rPr>
          <w:color w:val="000000" w:themeColor="text1"/>
          <w:sz w:val="20"/>
          <w:szCs w:val="20"/>
          <w:lang w:val="en-US"/>
        </w:rPr>
        <w:t>(</w:t>
      </w:r>
      <w:r w:rsidR="002442BE">
        <w:rPr>
          <w:color w:val="000000" w:themeColor="text1"/>
          <w:sz w:val="20"/>
          <w:szCs w:val="20"/>
          <w:lang w:val="en-US"/>
        </w:rPr>
        <w:t>see: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hyperlink r:id="rId19" w:history="1">
        <w:r w:rsidRPr="000C3AE9">
          <w:rPr>
            <w:rStyle w:val="Hyperlink"/>
            <w:sz w:val="20"/>
            <w:szCs w:val="20"/>
            <w:lang w:val="en-US"/>
          </w:rPr>
          <w:t>https://policies.anu.edu.au/ppl/document/ANUP_005802</w:t>
        </w:r>
      </w:hyperlink>
      <w:r>
        <w:rPr>
          <w:color w:val="000000" w:themeColor="text1"/>
          <w:sz w:val="20"/>
          <w:szCs w:val="20"/>
          <w:lang w:val="en-US"/>
        </w:rPr>
        <w:t>)</w:t>
      </w:r>
      <w:r w:rsidR="003B3AB2">
        <w:rPr>
          <w:color w:val="000000" w:themeColor="text1"/>
          <w:sz w:val="20"/>
          <w:szCs w:val="20"/>
          <w:lang w:val="en-US"/>
        </w:rPr>
        <w:t>.</w:t>
      </w:r>
    </w:p>
    <w:p w14:paraId="2A28E42D" w14:textId="77777777" w:rsidR="00797C58" w:rsidRPr="001B0AAF" w:rsidRDefault="00797C58" w:rsidP="00797C58">
      <w:pPr>
        <w:jc w:val="both"/>
        <w:rPr>
          <w:color w:val="000000" w:themeColor="text1"/>
          <w:sz w:val="20"/>
          <w:szCs w:val="20"/>
          <w:lang w:val="en-US"/>
        </w:rPr>
      </w:pPr>
    </w:p>
    <w:p w14:paraId="7DC66BE2" w14:textId="77777777" w:rsidR="00797C58" w:rsidRPr="001B0AAF" w:rsidRDefault="00797C58" w:rsidP="00797C58">
      <w:pPr>
        <w:numPr>
          <w:ilvl w:val="0"/>
          <w:numId w:val="34"/>
        </w:numPr>
        <w:jc w:val="both"/>
        <w:rPr>
          <w:color w:val="000000" w:themeColor="text1"/>
          <w:sz w:val="20"/>
          <w:szCs w:val="20"/>
          <w:lang w:val="en-US"/>
        </w:rPr>
      </w:pPr>
      <w:r w:rsidRPr="001B0AAF">
        <w:rPr>
          <w:color w:val="000000" w:themeColor="text1"/>
          <w:sz w:val="20"/>
          <w:szCs w:val="20"/>
          <w:lang w:val="en-US"/>
        </w:rPr>
        <w:t>Exclude companies that derive more than 20% of revenues from coal, gambling, tobacco or pornography.</w:t>
      </w:r>
    </w:p>
    <w:p w14:paraId="4025BFA1" w14:textId="77777777" w:rsidR="00797C58" w:rsidRPr="001B0AAF" w:rsidRDefault="00797C58" w:rsidP="00797C58">
      <w:pPr>
        <w:numPr>
          <w:ilvl w:val="0"/>
          <w:numId w:val="34"/>
        </w:numPr>
        <w:jc w:val="both"/>
        <w:rPr>
          <w:color w:val="000000" w:themeColor="text1"/>
          <w:sz w:val="20"/>
          <w:szCs w:val="20"/>
          <w:lang w:val="en-US"/>
        </w:rPr>
      </w:pPr>
      <w:r w:rsidRPr="001B0AAF">
        <w:rPr>
          <w:color w:val="000000" w:themeColor="text1"/>
          <w:sz w:val="20"/>
          <w:szCs w:val="20"/>
          <w:lang w:val="en-US"/>
        </w:rPr>
        <w:t>Hold a portfolio with 25% less carbon intensity than the S&amp;P/ASX 200.</w:t>
      </w:r>
    </w:p>
    <w:p w14:paraId="03354727" w14:textId="569EE5A2" w:rsidR="00797C58" w:rsidRPr="001B0AAF" w:rsidRDefault="00797C58" w:rsidP="00797C58">
      <w:pPr>
        <w:numPr>
          <w:ilvl w:val="0"/>
          <w:numId w:val="34"/>
        </w:numPr>
        <w:rPr>
          <w:color w:val="000000" w:themeColor="text1"/>
          <w:sz w:val="20"/>
          <w:szCs w:val="20"/>
          <w:lang w:val="en-US"/>
        </w:rPr>
      </w:pPr>
      <w:r w:rsidRPr="001B0AAF">
        <w:rPr>
          <w:color w:val="000000" w:themeColor="text1"/>
          <w:sz w:val="20"/>
          <w:szCs w:val="20"/>
          <w:lang w:val="en-US"/>
        </w:rPr>
        <w:t xml:space="preserve">Ensure that the portfolio demonstrates a 10% improvement in the overall </w:t>
      </w:r>
      <w:r w:rsidRPr="001B0AAF">
        <w:rPr>
          <w:color w:val="000000" w:themeColor="text1"/>
          <w:sz w:val="20"/>
          <w:szCs w:val="20"/>
        </w:rPr>
        <w:t>Environmental, Social and Governance (ESG)</w:t>
      </w:r>
      <w:r w:rsidRPr="001B0AAF">
        <w:rPr>
          <w:color w:val="000000" w:themeColor="text1"/>
          <w:sz w:val="20"/>
          <w:szCs w:val="20"/>
          <w:lang w:val="en-US"/>
        </w:rPr>
        <w:t xml:space="preserve"> rating relative to the benchmark.</w:t>
      </w:r>
    </w:p>
    <w:p w14:paraId="2DF75778" w14:textId="77777777" w:rsidR="00797C58" w:rsidRPr="001B0AAF" w:rsidRDefault="00797C58" w:rsidP="00797C58">
      <w:pPr>
        <w:numPr>
          <w:ilvl w:val="0"/>
          <w:numId w:val="34"/>
        </w:numPr>
        <w:jc w:val="both"/>
        <w:rPr>
          <w:color w:val="000000" w:themeColor="text1"/>
          <w:sz w:val="20"/>
          <w:szCs w:val="20"/>
          <w:lang w:val="en-US"/>
        </w:rPr>
      </w:pPr>
      <w:r w:rsidRPr="001B0AAF">
        <w:rPr>
          <w:color w:val="000000" w:themeColor="text1"/>
          <w:sz w:val="20"/>
          <w:szCs w:val="20"/>
          <w:lang w:val="en-US"/>
        </w:rPr>
        <w:t xml:space="preserve">Avoid investments that cause an unacceptable level of ‘social injury’. </w:t>
      </w:r>
    </w:p>
    <w:p w14:paraId="04E36832" w14:textId="77777777" w:rsidR="00797C58" w:rsidRPr="001B0AAF" w:rsidRDefault="00797C58" w:rsidP="00797C58">
      <w:pPr>
        <w:numPr>
          <w:ilvl w:val="0"/>
          <w:numId w:val="34"/>
        </w:numPr>
        <w:jc w:val="both"/>
        <w:rPr>
          <w:color w:val="000000" w:themeColor="text1"/>
          <w:sz w:val="20"/>
          <w:szCs w:val="20"/>
          <w:lang w:val="en-US"/>
        </w:rPr>
      </w:pPr>
      <w:r w:rsidRPr="001B0AAF">
        <w:rPr>
          <w:color w:val="000000" w:themeColor="text1"/>
          <w:sz w:val="20"/>
          <w:szCs w:val="20"/>
          <w:lang w:val="en-US"/>
        </w:rPr>
        <w:t xml:space="preserve">Take into consideration whether a prospective investment creates ‘social benefit’. </w:t>
      </w:r>
    </w:p>
    <w:p w14:paraId="2321093A" w14:textId="3BB9AD0D" w:rsidR="00797C58" w:rsidRPr="00862B66" w:rsidRDefault="00797C58" w:rsidP="00797C58">
      <w:pPr>
        <w:spacing w:before="180"/>
        <w:jc w:val="both"/>
        <w:rPr>
          <w:color w:val="000000" w:themeColor="text1"/>
          <w:sz w:val="20"/>
          <w:szCs w:val="20"/>
        </w:rPr>
      </w:pPr>
      <w:r w:rsidRPr="00862B66">
        <w:rPr>
          <w:color w:val="000000" w:themeColor="text1"/>
          <w:sz w:val="20"/>
          <w:szCs w:val="20"/>
          <w:lang w:val="en-US"/>
        </w:rPr>
        <w:t xml:space="preserve">Figure 5 reports on the SRI compliance as at </w:t>
      </w:r>
      <w:r w:rsidR="006437BC">
        <w:rPr>
          <w:color w:val="000000" w:themeColor="text1"/>
          <w:sz w:val="20"/>
          <w:szCs w:val="20"/>
          <w:lang w:val="en-US"/>
        </w:rPr>
        <w:t>1</w:t>
      </w:r>
      <w:r w:rsidRPr="00862B66">
        <w:rPr>
          <w:color w:val="000000" w:themeColor="text1"/>
          <w:sz w:val="20"/>
          <w:szCs w:val="20"/>
          <w:lang w:val="en-US"/>
        </w:rPr>
        <w:t>2</w:t>
      </w:r>
      <w:r w:rsidR="006437BC">
        <w:rPr>
          <w:color w:val="000000" w:themeColor="text1"/>
          <w:sz w:val="20"/>
          <w:szCs w:val="20"/>
          <w:vertAlign w:val="superscript"/>
          <w:lang w:val="en-US"/>
        </w:rPr>
        <w:t>th</w:t>
      </w:r>
      <w:r w:rsidRPr="00862B66">
        <w:rPr>
          <w:color w:val="000000" w:themeColor="text1"/>
          <w:sz w:val="20"/>
          <w:szCs w:val="20"/>
          <w:lang w:val="en-US"/>
        </w:rPr>
        <w:t xml:space="preserve"> September 2019 with regard</w:t>
      </w:r>
      <w:r w:rsidR="003B3AB2">
        <w:rPr>
          <w:color w:val="000000" w:themeColor="text1"/>
          <w:sz w:val="20"/>
          <w:szCs w:val="20"/>
          <w:lang w:val="en-US"/>
        </w:rPr>
        <w:t>s</w:t>
      </w:r>
      <w:r w:rsidRPr="00862B66">
        <w:rPr>
          <w:color w:val="000000" w:themeColor="text1"/>
          <w:sz w:val="20"/>
          <w:szCs w:val="20"/>
          <w:lang w:val="en-US"/>
        </w:rPr>
        <w:t xml:space="preserve"> to carbon intensity and ESG scores, which are applied to the active stock investments within the AAE portfolio. The carbon intensity scores for Bingo, Rio Tinto, Telstra, Inghams Group and </w:t>
      </w:r>
      <w:r w:rsidR="00FE5A45" w:rsidRPr="00862B66">
        <w:rPr>
          <w:color w:val="000000" w:themeColor="text1"/>
          <w:sz w:val="20"/>
          <w:szCs w:val="20"/>
          <w:lang w:val="en-US"/>
        </w:rPr>
        <w:t xml:space="preserve">Westpac </w:t>
      </w:r>
      <w:r w:rsidR="00FE5A45" w:rsidRPr="00377944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>Banking</w:t>
      </w:r>
      <w:r w:rsidR="00377944">
        <w:rPr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Corporation</w:t>
      </w:r>
      <w:r w:rsidR="00377944" w:rsidRPr="00862B66">
        <w:rPr>
          <w:color w:val="000000" w:themeColor="text1"/>
          <w:sz w:val="20"/>
          <w:szCs w:val="20"/>
          <w:lang w:val="en-US"/>
        </w:rPr>
        <w:t xml:space="preserve"> </w:t>
      </w:r>
      <w:r w:rsidRPr="00862B66">
        <w:rPr>
          <w:color w:val="000000" w:themeColor="text1"/>
          <w:sz w:val="20"/>
          <w:szCs w:val="20"/>
          <w:lang w:val="en-US"/>
        </w:rPr>
        <w:t xml:space="preserve">are retrieved from Bloomberg. They are calculated based on the annual carbon emission (in </w:t>
      </w:r>
      <w:r w:rsidRPr="008A08C7">
        <w:rPr>
          <w:color w:val="000000" w:themeColor="text1"/>
          <w:sz w:val="20"/>
          <w:szCs w:val="20"/>
        </w:rPr>
        <w:t>tonnes</w:t>
      </w:r>
      <w:r w:rsidRPr="00862B66">
        <w:rPr>
          <w:color w:val="000000" w:themeColor="text1"/>
          <w:sz w:val="20"/>
          <w:szCs w:val="20"/>
          <w:lang w:val="en-US"/>
        </w:rPr>
        <w:t xml:space="preserve">) per $1 million of revenue earned. Carbon intensity for the S&amp;P/ASX200 ETF is sourced from the </w:t>
      </w:r>
      <w:r w:rsidRPr="008A08C7">
        <w:rPr>
          <w:color w:val="000000" w:themeColor="text1"/>
          <w:sz w:val="20"/>
          <w:szCs w:val="20"/>
          <w:lang w:val="en-US"/>
        </w:rPr>
        <w:t>ANU Socially Responsible Investment Policy 2018 Report</w:t>
      </w:r>
      <w:r w:rsidRPr="00862B66">
        <w:rPr>
          <w:color w:val="000000" w:themeColor="text1"/>
          <w:sz w:val="20"/>
          <w:szCs w:val="20"/>
          <w:lang w:val="en-US"/>
        </w:rPr>
        <w:t xml:space="preserve">, which is the most recent data we have available. The ESG scores are based on analysis performed by Sustainalytics. The ESG score for the ASX200 uses an </w:t>
      </w:r>
      <w:r w:rsidR="000F0DDA" w:rsidRPr="00862B66">
        <w:rPr>
          <w:color w:val="000000" w:themeColor="text1"/>
          <w:sz w:val="20"/>
          <w:szCs w:val="20"/>
        </w:rPr>
        <w:t>equally weighted</w:t>
      </w:r>
      <w:r w:rsidRPr="00862B66">
        <w:rPr>
          <w:color w:val="000000" w:themeColor="text1"/>
          <w:sz w:val="20"/>
          <w:szCs w:val="20"/>
        </w:rPr>
        <w:t xml:space="preserve"> average</w:t>
      </w:r>
      <w:r w:rsidR="00BE4CCB">
        <w:rPr>
          <w:color w:val="000000" w:themeColor="text1"/>
          <w:sz w:val="20"/>
          <w:szCs w:val="20"/>
        </w:rPr>
        <w:t>,</w:t>
      </w:r>
      <w:r w:rsidRPr="00862B66">
        <w:rPr>
          <w:color w:val="000000" w:themeColor="text1"/>
          <w:sz w:val="20"/>
          <w:szCs w:val="20"/>
        </w:rPr>
        <w:t xml:space="preserve"> consistent with the SMF investment process target</w:t>
      </w:r>
      <w:r w:rsidR="00154C03">
        <w:rPr>
          <w:color w:val="000000" w:themeColor="text1"/>
          <w:sz w:val="20"/>
          <w:szCs w:val="20"/>
        </w:rPr>
        <w:t>ing</w:t>
      </w:r>
      <w:r w:rsidRPr="00862B66">
        <w:rPr>
          <w:color w:val="000000" w:themeColor="text1"/>
          <w:sz w:val="20"/>
          <w:szCs w:val="20"/>
        </w:rPr>
        <w:t xml:space="preserve"> about 10 broadly </w:t>
      </w:r>
      <w:r w:rsidR="000C6431" w:rsidRPr="00862B66">
        <w:rPr>
          <w:color w:val="000000" w:themeColor="text1"/>
          <w:sz w:val="20"/>
          <w:szCs w:val="20"/>
        </w:rPr>
        <w:t>equally weighted</w:t>
      </w:r>
      <w:r w:rsidRPr="00862B66">
        <w:rPr>
          <w:color w:val="000000" w:themeColor="text1"/>
          <w:sz w:val="20"/>
          <w:szCs w:val="20"/>
        </w:rPr>
        <w:t xml:space="preserve"> positions. The market capitalisation-weighted</w:t>
      </w:r>
      <w:r w:rsidR="002442BE">
        <w:rPr>
          <w:color w:val="000000" w:themeColor="text1"/>
          <w:sz w:val="20"/>
          <w:szCs w:val="20"/>
        </w:rPr>
        <w:t xml:space="preserve"> average is</w:t>
      </w:r>
      <w:r w:rsidRPr="00862B66">
        <w:rPr>
          <w:color w:val="000000" w:themeColor="text1"/>
          <w:sz w:val="20"/>
          <w:szCs w:val="20"/>
        </w:rPr>
        <w:t xml:space="preserve"> shown for reference.</w:t>
      </w:r>
    </w:p>
    <w:p w14:paraId="30DFFFF0" w14:textId="2FA343E7" w:rsidR="006B000B" w:rsidRPr="00AC697D" w:rsidRDefault="006B000B" w:rsidP="00A250F3">
      <w:pPr>
        <w:pStyle w:val="TableFigure"/>
        <w:spacing w:before="240" w:after="80" w:line="240" w:lineRule="auto"/>
        <w:jc w:val="left"/>
        <w:rPr>
          <w:sz w:val="22"/>
          <w:szCs w:val="22"/>
          <w:lang w:val="en-US"/>
        </w:rPr>
      </w:pPr>
      <w:r w:rsidRPr="00AC697D">
        <w:rPr>
          <w:sz w:val="22"/>
          <w:szCs w:val="22"/>
          <w:lang w:val="en-US"/>
        </w:rPr>
        <w:t xml:space="preserve">Figure </w:t>
      </w:r>
      <w:r w:rsidR="00932293">
        <w:rPr>
          <w:sz w:val="22"/>
          <w:szCs w:val="22"/>
          <w:lang w:val="en-US"/>
        </w:rPr>
        <w:t>5</w:t>
      </w:r>
      <w:r w:rsidRPr="00AC697D">
        <w:rPr>
          <w:sz w:val="22"/>
          <w:szCs w:val="22"/>
          <w:lang w:val="en-US"/>
        </w:rPr>
        <w:t xml:space="preserve">: Current Position of the AAE Component </w:t>
      </w:r>
      <w:r w:rsidR="005E44F0" w:rsidRPr="00AC697D">
        <w:rPr>
          <w:sz w:val="22"/>
          <w:szCs w:val="22"/>
          <w:lang w:val="en-US"/>
        </w:rPr>
        <w:t>in regard</w:t>
      </w:r>
      <w:r w:rsidR="005E44F0">
        <w:rPr>
          <w:sz w:val="22"/>
          <w:szCs w:val="22"/>
          <w:lang w:val="en-US"/>
        </w:rPr>
        <w:t xml:space="preserve"> to</w:t>
      </w:r>
      <w:r w:rsidRPr="00AC697D">
        <w:rPr>
          <w:sz w:val="22"/>
          <w:szCs w:val="22"/>
          <w:lang w:val="en-US"/>
        </w:rPr>
        <w:t xml:space="preserve"> SRI Compliance</w:t>
      </w:r>
    </w:p>
    <w:tbl>
      <w:tblPr>
        <w:tblW w:w="96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40"/>
        <w:gridCol w:w="810"/>
        <w:gridCol w:w="648"/>
        <w:gridCol w:w="648"/>
        <w:gridCol w:w="648"/>
        <w:gridCol w:w="648"/>
        <w:gridCol w:w="738"/>
        <w:gridCol w:w="875"/>
        <w:gridCol w:w="1195"/>
        <w:gridCol w:w="1170"/>
        <w:gridCol w:w="785"/>
      </w:tblGrid>
      <w:tr w:rsidR="000F0DDA" w:rsidRPr="00CD16E3" w14:paraId="44326B8C" w14:textId="77777777" w:rsidTr="00663BB9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FEAF6"/>
            <w:vAlign w:val="center"/>
            <w:hideMark/>
          </w:tcPr>
          <w:p w14:paraId="40A30E85" w14:textId="77777777" w:rsidR="000F0DDA" w:rsidRPr="00CD16E3" w:rsidRDefault="000F0DDA" w:rsidP="00551262">
            <w:pPr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FEAF6"/>
            <w:vAlign w:val="center"/>
            <w:hideMark/>
          </w:tcPr>
          <w:p w14:paraId="4A70C97A" w14:textId="77777777" w:rsidR="000F0DDA" w:rsidRPr="00CD16E3" w:rsidRDefault="000F0DDA" w:rsidP="00663BB9">
            <w:pPr>
              <w:ind w:left="-72"/>
              <w:jc w:val="center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ASX200 ETF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FEAF6"/>
            <w:vAlign w:val="center"/>
            <w:hideMark/>
          </w:tcPr>
          <w:p w14:paraId="63EE19E5" w14:textId="77777777" w:rsidR="000F0DDA" w:rsidRPr="00CD16E3" w:rsidRDefault="000F0DDA" w:rsidP="00663BB9">
            <w:pPr>
              <w:ind w:left="-72"/>
              <w:jc w:val="center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 xml:space="preserve">RIO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FEAF6"/>
            <w:vAlign w:val="center"/>
            <w:hideMark/>
          </w:tcPr>
          <w:p w14:paraId="40645875" w14:textId="77777777" w:rsidR="000F0DDA" w:rsidRPr="00CD16E3" w:rsidRDefault="000F0DDA" w:rsidP="00663BB9">
            <w:pPr>
              <w:ind w:left="-72"/>
              <w:jc w:val="center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TLS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FEAF6"/>
            <w:vAlign w:val="center"/>
            <w:hideMark/>
          </w:tcPr>
          <w:p w14:paraId="64A25A6A" w14:textId="77777777" w:rsidR="000F0DDA" w:rsidRPr="00CD16E3" w:rsidRDefault="000F0DDA" w:rsidP="00663BB9">
            <w:pPr>
              <w:ind w:left="-72"/>
              <w:jc w:val="center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BIN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FEAF6"/>
            <w:vAlign w:val="center"/>
            <w:hideMark/>
          </w:tcPr>
          <w:p w14:paraId="43739383" w14:textId="77777777" w:rsidR="000F0DDA" w:rsidRPr="00CD16E3" w:rsidRDefault="000F0DDA" w:rsidP="00663BB9">
            <w:pPr>
              <w:ind w:left="-72"/>
              <w:jc w:val="center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ING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FEAF6"/>
            <w:vAlign w:val="center"/>
            <w:hideMark/>
          </w:tcPr>
          <w:p w14:paraId="43EEDDDC" w14:textId="77777777" w:rsidR="000F0DDA" w:rsidRPr="00CD16E3" w:rsidRDefault="000F0DDA" w:rsidP="00663BB9">
            <w:pPr>
              <w:ind w:left="-72"/>
              <w:jc w:val="center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WBC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FEAF6"/>
            <w:vAlign w:val="center"/>
            <w:hideMark/>
          </w:tcPr>
          <w:p w14:paraId="3DC20F86" w14:textId="77777777" w:rsidR="000F0DDA" w:rsidRPr="00CD16E3" w:rsidRDefault="000F0DDA" w:rsidP="00663BB9">
            <w:pPr>
              <w:ind w:left="-72"/>
              <w:jc w:val="center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Total Active</w:t>
            </w: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br/>
              <w:t>Stock</w:t>
            </w: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br/>
              <w:t>Positions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FEAF6"/>
            <w:vAlign w:val="center"/>
            <w:hideMark/>
          </w:tcPr>
          <w:p w14:paraId="58DA4FE9" w14:textId="77777777" w:rsidR="000F0DDA" w:rsidRPr="00CD16E3" w:rsidRDefault="000F0DDA" w:rsidP="00663BB9">
            <w:pPr>
              <w:ind w:left="-72"/>
              <w:jc w:val="center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 xml:space="preserve">Active Stock </w:t>
            </w: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br/>
              <w:t>Positions vs.</w:t>
            </w: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br/>
              <w:t>S&amp;P/ASX200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FEAF6"/>
            <w:vAlign w:val="center"/>
            <w:hideMark/>
          </w:tcPr>
          <w:p w14:paraId="4A387B61" w14:textId="77777777" w:rsidR="000F0DDA" w:rsidRPr="00CD16E3" w:rsidRDefault="000F0DDA" w:rsidP="00663BB9">
            <w:pPr>
              <w:ind w:left="-72"/>
              <w:jc w:val="center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Target</w:t>
            </w: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br/>
              <w:t>Improvement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AF6"/>
            <w:vAlign w:val="center"/>
            <w:hideMark/>
          </w:tcPr>
          <w:p w14:paraId="73E21AFE" w14:textId="77777777" w:rsidR="000F0DDA" w:rsidRPr="00CD16E3" w:rsidRDefault="000F0DDA" w:rsidP="00663BB9">
            <w:pPr>
              <w:ind w:left="-72"/>
              <w:jc w:val="center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Margin</w:t>
            </w:r>
          </w:p>
        </w:tc>
      </w:tr>
      <w:tr w:rsidR="000F0DDA" w:rsidRPr="00CD16E3" w14:paraId="330810DA" w14:textId="77777777" w:rsidTr="00663BB9">
        <w:trPr>
          <w:trHeight w:val="583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D54BBA4" w14:textId="4AA2A2E3" w:rsidR="000F0DDA" w:rsidRPr="00CD16E3" w:rsidRDefault="000F0DDA" w:rsidP="00051540">
            <w:pPr>
              <w:spacing w:before="60" w:after="60"/>
              <w:ind w:left="-43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Weight in AAE Portfolio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AF5DFE" w14:textId="21102CFA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61.6</w:t>
            </w:r>
            <w:r w:rsidR="00444C4E">
              <w:rPr>
                <w:color w:val="000000"/>
                <w:sz w:val="17"/>
                <w:szCs w:val="17"/>
                <w:lang w:eastAsia="zh-CN"/>
              </w:rPr>
              <w:t>9</w:t>
            </w:r>
            <w:r w:rsidRPr="00CD16E3">
              <w:rPr>
                <w:color w:val="000000"/>
                <w:sz w:val="17"/>
                <w:szCs w:val="17"/>
                <w:lang w:eastAsia="zh-CN"/>
              </w:rPr>
              <w:t>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B5A3D3" w14:textId="0122F9F4" w:rsidR="000F0DDA" w:rsidRPr="00CD16E3" w:rsidRDefault="00444C4E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>
              <w:rPr>
                <w:color w:val="000000"/>
                <w:sz w:val="17"/>
                <w:szCs w:val="17"/>
                <w:lang w:eastAsia="zh-CN"/>
              </w:rPr>
              <w:t>3.13</w:t>
            </w:r>
            <w:r w:rsidR="000F0DDA" w:rsidRPr="00CD16E3">
              <w:rPr>
                <w:color w:val="000000"/>
                <w:sz w:val="17"/>
                <w:szCs w:val="17"/>
                <w:lang w:eastAsia="zh-CN"/>
              </w:rPr>
              <w:t>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5ACB97" w14:textId="6045EC43" w:rsidR="000F0DDA" w:rsidRPr="00CD16E3" w:rsidRDefault="00444C4E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>
              <w:rPr>
                <w:color w:val="000000"/>
                <w:sz w:val="17"/>
                <w:szCs w:val="17"/>
                <w:lang w:eastAsia="zh-CN"/>
              </w:rPr>
              <w:t>9</w:t>
            </w:r>
            <w:r w:rsidR="000F0DDA" w:rsidRPr="00CD16E3">
              <w:rPr>
                <w:color w:val="000000"/>
                <w:sz w:val="17"/>
                <w:szCs w:val="17"/>
                <w:lang w:eastAsia="zh-CN"/>
              </w:rPr>
              <w:t>.6</w:t>
            </w:r>
            <w:r>
              <w:rPr>
                <w:color w:val="000000"/>
                <w:sz w:val="17"/>
                <w:szCs w:val="17"/>
                <w:lang w:eastAsia="zh-CN"/>
              </w:rPr>
              <w:t>1</w:t>
            </w:r>
            <w:r w:rsidR="000F0DDA" w:rsidRPr="00CD16E3">
              <w:rPr>
                <w:color w:val="000000"/>
                <w:sz w:val="17"/>
                <w:szCs w:val="17"/>
                <w:lang w:eastAsia="zh-CN"/>
              </w:rPr>
              <w:t>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4135F3" w14:textId="50F21D0D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7.</w:t>
            </w:r>
            <w:r w:rsidR="00444C4E">
              <w:rPr>
                <w:color w:val="000000"/>
                <w:sz w:val="17"/>
                <w:szCs w:val="17"/>
                <w:lang w:eastAsia="zh-CN"/>
              </w:rPr>
              <w:t>28</w:t>
            </w:r>
            <w:r w:rsidRPr="00CD16E3">
              <w:rPr>
                <w:color w:val="000000"/>
                <w:sz w:val="17"/>
                <w:szCs w:val="17"/>
                <w:lang w:eastAsia="zh-CN"/>
              </w:rPr>
              <w:t>%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BF79CE" w14:textId="19328561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7.</w:t>
            </w:r>
            <w:r w:rsidR="0023351E">
              <w:rPr>
                <w:color w:val="000000"/>
                <w:sz w:val="17"/>
                <w:szCs w:val="17"/>
                <w:lang w:eastAsia="zh-CN"/>
              </w:rPr>
              <w:t>68</w:t>
            </w:r>
            <w:r w:rsidRPr="00CD16E3">
              <w:rPr>
                <w:color w:val="000000"/>
                <w:sz w:val="17"/>
                <w:szCs w:val="17"/>
                <w:lang w:eastAsia="zh-CN"/>
              </w:rPr>
              <w:t>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B0951A" w14:textId="4E381E02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10.</w:t>
            </w:r>
            <w:r w:rsidR="0023351E">
              <w:rPr>
                <w:color w:val="000000"/>
                <w:sz w:val="17"/>
                <w:szCs w:val="17"/>
                <w:lang w:eastAsia="zh-CN"/>
              </w:rPr>
              <w:t>6</w:t>
            </w:r>
            <w:r w:rsidRPr="00CD16E3">
              <w:rPr>
                <w:color w:val="000000"/>
                <w:sz w:val="17"/>
                <w:szCs w:val="17"/>
                <w:lang w:eastAsia="zh-CN"/>
              </w:rPr>
              <w:t>2%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54C1F0" w14:textId="4F5EB161" w:rsidR="000F0DDA" w:rsidRPr="00CD16E3" w:rsidRDefault="000F0DDA" w:rsidP="00663BB9">
            <w:pPr>
              <w:ind w:left="-72"/>
              <w:jc w:val="center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38.</w:t>
            </w:r>
            <w:r w:rsidR="0023351E">
              <w:rPr>
                <w:b/>
                <w:bCs/>
                <w:color w:val="000000"/>
                <w:sz w:val="17"/>
                <w:szCs w:val="17"/>
                <w:lang w:eastAsia="zh-CN"/>
              </w:rPr>
              <w:t>31</w:t>
            </w: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%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A0F691" w14:textId="77777777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200579" w14:textId="77777777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EC2E7" w14:textId="77777777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 </w:t>
            </w:r>
          </w:p>
        </w:tc>
      </w:tr>
      <w:tr w:rsidR="000F0DDA" w:rsidRPr="00CD16E3" w14:paraId="4985B262" w14:textId="77777777" w:rsidTr="00663BB9">
        <w:trPr>
          <w:trHeight w:val="32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77B5BA0" w14:textId="77777777" w:rsidR="000F0DDA" w:rsidRPr="00CD16E3" w:rsidRDefault="000F0DDA" w:rsidP="00051540">
            <w:pPr>
              <w:spacing w:before="60" w:after="60"/>
              <w:ind w:left="-43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Carbon Intensity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70090" w14:textId="77777777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289.9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5D5C52" w14:textId="399A1C9C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526.9</w:t>
            </w:r>
            <w:r w:rsidR="0023351E">
              <w:rPr>
                <w:color w:val="000000"/>
                <w:sz w:val="17"/>
                <w:szCs w:val="17"/>
                <w:lang w:eastAsia="zh-CN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AB7E9F" w14:textId="7577A95F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48.</w:t>
            </w:r>
            <w:r w:rsidR="00792F68">
              <w:rPr>
                <w:color w:val="000000"/>
                <w:sz w:val="17"/>
                <w:szCs w:val="17"/>
                <w:lang w:eastAsia="zh-CN"/>
              </w:rPr>
              <w:t>72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256284" w14:textId="77777777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40.57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414A1A" w14:textId="77777777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81.27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C4B3DF" w14:textId="77777777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3.36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351F1E" w14:textId="500DB9B4" w:rsidR="000F0DDA" w:rsidRPr="00CD16E3" w:rsidRDefault="0023351E" w:rsidP="00663BB9">
            <w:pPr>
              <w:ind w:left="-72"/>
              <w:jc w:val="center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zh-CN"/>
              </w:rPr>
              <w:t>80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F7A913" w14:textId="4ACC1520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-72.</w:t>
            </w:r>
            <w:r w:rsidR="0089455F">
              <w:rPr>
                <w:color w:val="000000"/>
                <w:sz w:val="17"/>
                <w:szCs w:val="17"/>
                <w:lang w:eastAsia="zh-CN"/>
              </w:rPr>
              <w:t>3</w:t>
            </w:r>
            <w:r w:rsidRPr="00CD16E3">
              <w:rPr>
                <w:color w:val="000000"/>
                <w:sz w:val="17"/>
                <w:szCs w:val="17"/>
                <w:lang w:eastAsia="zh-CN"/>
              </w:rPr>
              <w:t>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1E1C4F" w14:textId="77777777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-25%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0FDCE" w14:textId="22FEEFA9" w:rsidR="000F0DDA" w:rsidRPr="00CD16E3" w:rsidRDefault="000F0DDA" w:rsidP="00663BB9">
            <w:pPr>
              <w:ind w:left="-72"/>
              <w:jc w:val="center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47.</w:t>
            </w:r>
            <w:r w:rsidR="0089455F">
              <w:rPr>
                <w:b/>
                <w:bCs/>
                <w:color w:val="000000"/>
                <w:sz w:val="17"/>
                <w:szCs w:val="17"/>
                <w:lang w:eastAsia="zh-CN"/>
              </w:rPr>
              <w:t>3</w:t>
            </w: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%</w:t>
            </w:r>
          </w:p>
        </w:tc>
      </w:tr>
      <w:tr w:rsidR="000F0DDA" w:rsidRPr="00CD16E3" w14:paraId="3A3A95B4" w14:textId="77777777" w:rsidTr="00663BB9">
        <w:trPr>
          <w:trHeight w:val="403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9193EAE" w14:textId="01CF4C8D" w:rsidR="000F0DDA" w:rsidRPr="00CD16E3" w:rsidRDefault="000F0DDA" w:rsidP="00663BB9">
            <w:pPr>
              <w:spacing w:before="60" w:after="60"/>
              <w:ind w:left="-43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ESG Score</w:t>
            </w:r>
            <w:r w:rsidR="00051540">
              <w:rPr>
                <w:b/>
                <w:bCs/>
                <w:color w:val="000000"/>
                <w:sz w:val="17"/>
                <w:szCs w:val="17"/>
                <w:lang w:eastAsia="zh-CN"/>
              </w:rPr>
              <w:t xml:space="preserve"> / ASX200 </w:t>
            </w:r>
            <w:r w:rsidR="00663BB9">
              <w:rPr>
                <w:b/>
                <w:bCs/>
                <w:color w:val="000000"/>
                <w:sz w:val="17"/>
                <w:szCs w:val="17"/>
                <w:lang w:eastAsia="zh-CN"/>
              </w:rPr>
              <w:t>average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67453" w14:textId="21ADBE0F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5</w:t>
            </w:r>
            <w:r w:rsidR="00D65328">
              <w:rPr>
                <w:color w:val="000000"/>
                <w:sz w:val="17"/>
                <w:szCs w:val="17"/>
                <w:lang w:eastAsia="zh-CN"/>
              </w:rPr>
              <w:t>9</w:t>
            </w:r>
            <w:r w:rsidRPr="00CD16E3">
              <w:rPr>
                <w:color w:val="000000"/>
                <w:sz w:val="17"/>
                <w:szCs w:val="17"/>
                <w:lang w:eastAsia="zh-CN"/>
              </w:rPr>
              <w:t>.</w:t>
            </w:r>
            <w:r w:rsidR="00D65328">
              <w:rPr>
                <w:color w:val="000000"/>
                <w:sz w:val="17"/>
                <w:szCs w:val="17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96932" w14:textId="77777777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68.0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58338" w14:textId="77777777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72.0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7F64C" w14:textId="77777777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69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0C4A8" w14:textId="77777777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48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55566" w14:textId="77777777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81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9E0FA" w14:textId="0B20DA3B" w:rsidR="000F0DDA" w:rsidRPr="00CD16E3" w:rsidRDefault="000F0DDA" w:rsidP="00663BB9">
            <w:pPr>
              <w:ind w:left="-72"/>
              <w:jc w:val="center"/>
              <w:rPr>
                <w:b/>
                <w:bCs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sz w:val="17"/>
                <w:szCs w:val="17"/>
                <w:lang w:eastAsia="zh-CN"/>
              </w:rPr>
              <w:t>68.</w:t>
            </w:r>
            <w:r w:rsidR="0089455F">
              <w:rPr>
                <w:b/>
                <w:bCs/>
                <w:sz w:val="17"/>
                <w:szCs w:val="17"/>
                <w:lang w:eastAsia="zh-CN"/>
              </w:rPr>
              <w:t>79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8B621" w14:textId="72E4F1FE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16.</w:t>
            </w:r>
            <w:r w:rsidR="00A27781">
              <w:rPr>
                <w:color w:val="000000"/>
                <w:sz w:val="17"/>
                <w:szCs w:val="17"/>
                <w:lang w:eastAsia="zh-CN"/>
              </w:rPr>
              <w:t>6</w:t>
            </w:r>
            <w:r w:rsidRPr="00CD16E3">
              <w:rPr>
                <w:color w:val="000000"/>
                <w:sz w:val="17"/>
                <w:szCs w:val="17"/>
                <w:lang w:eastAsia="zh-CN"/>
              </w:rPr>
              <w:t>%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FEBA1" w14:textId="77777777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10%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F3895" w14:textId="5D3B4DD7" w:rsidR="000F0DDA" w:rsidRPr="00CD16E3" w:rsidRDefault="000F0DDA" w:rsidP="00663BB9">
            <w:pPr>
              <w:ind w:left="-72"/>
              <w:jc w:val="center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6.</w:t>
            </w:r>
            <w:r w:rsidR="004D75B3">
              <w:rPr>
                <w:b/>
                <w:bCs/>
                <w:color w:val="000000"/>
                <w:sz w:val="17"/>
                <w:szCs w:val="17"/>
                <w:lang w:eastAsia="zh-CN"/>
              </w:rPr>
              <w:t>6</w:t>
            </w: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%</w:t>
            </w:r>
          </w:p>
        </w:tc>
      </w:tr>
      <w:tr w:rsidR="000F0DDA" w:rsidRPr="00CD16E3" w14:paraId="5C921918" w14:textId="77777777" w:rsidTr="00663BB9">
        <w:trPr>
          <w:trHeight w:val="27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48DF19B" w14:textId="4F271F08" w:rsidR="000F0DDA" w:rsidRPr="00CD16E3" w:rsidRDefault="000F0DDA" w:rsidP="00051540">
            <w:pPr>
              <w:spacing w:before="60" w:after="60"/>
              <w:ind w:left="-21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ASX200</w:t>
            </w:r>
            <w:r w:rsidR="002442BE">
              <w:rPr>
                <w:b/>
                <w:bCs/>
                <w:color w:val="000000"/>
                <w:sz w:val="17"/>
                <w:szCs w:val="17"/>
                <w:lang w:eastAsia="zh-CN"/>
              </w:rPr>
              <w:t xml:space="preserve">, </w:t>
            </w: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br/>
              <w:t>cap</w:t>
            </w:r>
            <w:r>
              <w:rPr>
                <w:b/>
                <w:bCs/>
                <w:color w:val="000000"/>
                <w:sz w:val="17"/>
                <w:szCs w:val="17"/>
                <w:lang w:eastAsia="zh-CN"/>
              </w:rPr>
              <w:t>-</w:t>
            </w:r>
            <w:r w:rsidR="002442BE">
              <w:rPr>
                <w:b/>
                <w:bCs/>
                <w:color w:val="000000"/>
                <w:sz w:val="17"/>
                <w:szCs w:val="17"/>
                <w:lang w:eastAsia="zh-CN"/>
              </w:rPr>
              <w:t>weighted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7AB1A3" w14:textId="3BF6141F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6</w:t>
            </w:r>
            <w:r w:rsidR="00F51FFB">
              <w:rPr>
                <w:color w:val="000000"/>
                <w:sz w:val="17"/>
                <w:szCs w:val="17"/>
                <w:lang w:eastAsia="zh-CN"/>
              </w:rPr>
              <w:t>6</w:t>
            </w:r>
            <w:r w:rsidRPr="00CD16E3">
              <w:rPr>
                <w:color w:val="000000"/>
                <w:sz w:val="17"/>
                <w:szCs w:val="17"/>
                <w:lang w:eastAsia="zh-CN"/>
              </w:rPr>
              <w:t>.70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FD6419" w14:textId="77777777" w:rsidR="000F0DDA" w:rsidRPr="00CD16E3" w:rsidRDefault="000F0DDA" w:rsidP="00551262">
            <w:pPr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F60187" w14:textId="77777777" w:rsidR="000F0DDA" w:rsidRPr="00CD16E3" w:rsidRDefault="000F0DDA" w:rsidP="00551262">
            <w:pPr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A567FF" w14:textId="77777777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934DD9" w14:textId="77777777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1E37C0" w14:textId="77777777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4DAA40" w14:textId="77777777" w:rsidR="000F0DDA" w:rsidRPr="00CD16E3" w:rsidRDefault="000F0DDA" w:rsidP="00663BB9">
            <w:pPr>
              <w:ind w:left="-72"/>
              <w:jc w:val="center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892980" w14:textId="6D5C4388" w:rsidR="000F0DDA" w:rsidRPr="00CD16E3" w:rsidRDefault="00C87273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>
              <w:rPr>
                <w:color w:val="000000"/>
                <w:sz w:val="17"/>
                <w:szCs w:val="17"/>
                <w:lang w:eastAsia="zh-CN"/>
              </w:rPr>
              <w:t>3.1</w:t>
            </w:r>
            <w:r w:rsidR="000F0DDA" w:rsidRPr="00CD16E3">
              <w:rPr>
                <w:color w:val="000000"/>
                <w:sz w:val="17"/>
                <w:szCs w:val="17"/>
                <w:lang w:eastAsia="zh-CN"/>
              </w:rPr>
              <w:t>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09DB95" w14:textId="77777777" w:rsidR="000F0DDA" w:rsidRPr="00CD16E3" w:rsidRDefault="000F0DDA" w:rsidP="00663BB9">
            <w:pPr>
              <w:ind w:left="-72"/>
              <w:jc w:val="center"/>
              <w:rPr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color w:val="000000"/>
                <w:sz w:val="17"/>
                <w:szCs w:val="17"/>
                <w:lang w:eastAsia="zh-CN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9B2ED" w14:textId="77777777" w:rsidR="000F0DDA" w:rsidRPr="00CD16E3" w:rsidRDefault="000F0DDA" w:rsidP="00663BB9">
            <w:pPr>
              <w:ind w:left="-72"/>
              <w:jc w:val="center"/>
              <w:rPr>
                <w:b/>
                <w:bCs/>
                <w:color w:val="000000"/>
                <w:sz w:val="17"/>
                <w:szCs w:val="17"/>
                <w:lang w:eastAsia="zh-CN"/>
              </w:rPr>
            </w:pPr>
            <w:r w:rsidRPr="00CD16E3">
              <w:rPr>
                <w:b/>
                <w:bCs/>
                <w:color w:val="000000"/>
                <w:sz w:val="17"/>
                <w:szCs w:val="17"/>
                <w:lang w:eastAsia="zh-CN"/>
              </w:rPr>
              <w:t> </w:t>
            </w:r>
          </w:p>
        </w:tc>
      </w:tr>
    </w:tbl>
    <w:p w14:paraId="573F698B" w14:textId="4EB4129A" w:rsidR="00797C58" w:rsidRPr="00494EB0" w:rsidRDefault="00797C58" w:rsidP="00797C58">
      <w:pPr>
        <w:spacing w:before="240"/>
        <w:jc w:val="both"/>
        <w:rPr>
          <w:color w:val="000000" w:themeColor="text1"/>
          <w:sz w:val="20"/>
          <w:szCs w:val="20"/>
          <w:lang w:val="en-US"/>
        </w:rPr>
      </w:pPr>
      <w:r w:rsidRPr="00494EB0">
        <w:rPr>
          <w:color w:val="000000" w:themeColor="text1"/>
          <w:sz w:val="20"/>
          <w:szCs w:val="20"/>
          <w:lang w:val="en-US"/>
        </w:rPr>
        <w:t xml:space="preserve">The SMF portfolio is in full compliance with the SMF SRI policy </w:t>
      </w:r>
      <w:r w:rsidR="00485B69">
        <w:rPr>
          <w:color w:val="000000" w:themeColor="text1"/>
          <w:sz w:val="20"/>
          <w:szCs w:val="20"/>
          <w:lang w:val="en-US"/>
        </w:rPr>
        <w:t xml:space="preserve">related to criteria one through three with </w:t>
      </w:r>
      <w:r w:rsidRPr="00494EB0">
        <w:rPr>
          <w:color w:val="000000" w:themeColor="text1"/>
          <w:sz w:val="20"/>
          <w:szCs w:val="20"/>
          <w:lang w:val="en-US"/>
        </w:rPr>
        <w:t>regard</w:t>
      </w:r>
      <w:r w:rsidR="00485B69">
        <w:rPr>
          <w:color w:val="000000" w:themeColor="text1"/>
          <w:sz w:val="20"/>
          <w:szCs w:val="20"/>
          <w:lang w:val="en-US"/>
        </w:rPr>
        <w:t xml:space="preserve"> to the active</w:t>
      </w:r>
      <w:r w:rsidRPr="00494EB0">
        <w:rPr>
          <w:color w:val="000000" w:themeColor="text1"/>
          <w:sz w:val="20"/>
          <w:szCs w:val="20"/>
          <w:lang w:val="en-US"/>
        </w:rPr>
        <w:t xml:space="preserve"> holdings in the active investments </w:t>
      </w:r>
      <w:r w:rsidR="00833298">
        <w:rPr>
          <w:color w:val="000000" w:themeColor="text1"/>
          <w:sz w:val="20"/>
          <w:szCs w:val="20"/>
          <w:lang w:val="en-US"/>
        </w:rPr>
        <w:t>of</w:t>
      </w:r>
      <w:r w:rsidR="00833298" w:rsidRPr="00494EB0">
        <w:rPr>
          <w:color w:val="000000" w:themeColor="text1"/>
          <w:sz w:val="20"/>
          <w:szCs w:val="20"/>
          <w:lang w:val="en-US"/>
        </w:rPr>
        <w:t xml:space="preserve"> </w:t>
      </w:r>
      <w:r w:rsidRPr="00494EB0">
        <w:rPr>
          <w:color w:val="000000" w:themeColor="text1"/>
          <w:sz w:val="20"/>
          <w:szCs w:val="20"/>
          <w:lang w:val="en-US"/>
        </w:rPr>
        <w:t>Bingo</w:t>
      </w:r>
      <w:r w:rsidR="007052ED">
        <w:rPr>
          <w:color w:val="000000" w:themeColor="text1"/>
          <w:sz w:val="20"/>
          <w:szCs w:val="20"/>
          <w:lang w:val="en-US"/>
        </w:rPr>
        <w:t xml:space="preserve"> I</w:t>
      </w:r>
      <w:r w:rsidR="000D6079">
        <w:rPr>
          <w:color w:val="000000" w:themeColor="text1"/>
          <w:sz w:val="20"/>
          <w:szCs w:val="20"/>
          <w:lang w:val="en-US"/>
        </w:rPr>
        <w:t>ndustries</w:t>
      </w:r>
      <w:r w:rsidRPr="00494EB0">
        <w:rPr>
          <w:color w:val="000000" w:themeColor="text1"/>
          <w:sz w:val="20"/>
          <w:szCs w:val="20"/>
          <w:lang w:val="en-US"/>
        </w:rPr>
        <w:t>, Rio Tinto</w:t>
      </w:r>
      <w:r w:rsidR="000D6079">
        <w:rPr>
          <w:color w:val="000000" w:themeColor="text1"/>
          <w:sz w:val="20"/>
          <w:szCs w:val="20"/>
          <w:lang w:val="en-US"/>
        </w:rPr>
        <w:t xml:space="preserve"> Limited</w:t>
      </w:r>
      <w:r w:rsidRPr="00494EB0">
        <w:rPr>
          <w:color w:val="000000" w:themeColor="text1"/>
          <w:sz w:val="20"/>
          <w:szCs w:val="20"/>
          <w:lang w:val="en-US"/>
        </w:rPr>
        <w:t>, Telstra</w:t>
      </w:r>
      <w:r w:rsidR="003F51E3">
        <w:rPr>
          <w:color w:val="000000" w:themeColor="text1"/>
          <w:sz w:val="20"/>
          <w:szCs w:val="20"/>
          <w:lang w:val="en-US"/>
        </w:rPr>
        <w:t xml:space="preserve"> Corporation</w:t>
      </w:r>
      <w:r w:rsidR="003F51E3">
        <w:rPr>
          <w:color w:val="000000" w:themeColor="text1"/>
          <w:sz w:val="20"/>
          <w:szCs w:val="20"/>
        </w:rPr>
        <w:t xml:space="preserve"> </w:t>
      </w:r>
      <w:r w:rsidR="00AA2F59">
        <w:rPr>
          <w:color w:val="000000" w:themeColor="text1"/>
          <w:sz w:val="20"/>
          <w:szCs w:val="20"/>
        </w:rPr>
        <w:t>Limited</w:t>
      </w:r>
      <w:r w:rsidR="00AA2F59">
        <w:rPr>
          <w:color w:val="000000" w:themeColor="text1"/>
          <w:sz w:val="20"/>
          <w:szCs w:val="20"/>
          <w:lang w:val="en-US"/>
        </w:rPr>
        <w:t>,</w:t>
      </w:r>
      <w:r w:rsidRPr="00494EB0">
        <w:rPr>
          <w:color w:val="000000" w:themeColor="text1"/>
          <w:sz w:val="20"/>
          <w:szCs w:val="20"/>
          <w:lang w:val="en-US"/>
        </w:rPr>
        <w:t xml:space="preserve"> Inghams Group and Westpac</w:t>
      </w:r>
      <w:r w:rsidR="003F51E3">
        <w:rPr>
          <w:color w:val="000000" w:themeColor="text1"/>
          <w:sz w:val="20"/>
          <w:szCs w:val="20"/>
          <w:lang w:val="en-US"/>
        </w:rPr>
        <w:t xml:space="preserve"> Banking Corporation</w:t>
      </w:r>
      <w:r w:rsidRPr="00494EB0">
        <w:rPr>
          <w:color w:val="000000" w:themeColor="text1"/>
          <w:sz w:val="20"/>
          <w:szCs w:val="20"/>
          <w:lang w:val="en-US"/>
        </w:rPr>
        <w:t>. This is demonstrated by a -72.</w:t>
      </w:r>
      <w:r w:rsidR="00CF342C">
        <w:rPr>
          <w:color w:val="000000" w:themeColor="text1"/>
          <w:sz w:val="20"/>
          <w:szCs w:val="20"/>
          <w:lang w:val="en-US"/>
        </w:rPr>
        <w:t>3</w:t>
      </w:r>
      <w:r w:rsidRPr="00494EB0">
        <w:rPr>
          <w:color w:val="000000" w:themeColor="text1"/>
          <w:sz w:val="20"/>
          <w:szCs w:val="20"/>
          <w:lang w:val="en-US"/>
        </w:rPr>
        <w:t>% reduction in carbon intensity again</w:t>
      </w:r>
      <w:r w:rsidR="00051540">
        <w:rPr>
          <w:color w:val="000000" w:themeColor="text1"/>
          <w:sz w:val="20"/>
          <w:szCs w:val="20"/>
          <w:lang w:val="en-US"/>
        </w:rPr>
        <w:t>st the required -25%, and a 16.</w:t>
      </w:r>
      <w:r w:rsidR="00B731A4">
        <w:rPr>
          <w:color w:val="000000" w:themeColor="text1"/>
          <w:sz w:val="20"/>
          <w:szCs w:val="20"/>
          <w:lang w:val="en-US"/>
        </w:rPr>
        <w:t>6</w:t>
      </w:r>
      <w:r w:rsidRPr="00494EB0">
        <w:rPr>
          <w:color w:val="000000" w:themeColor="text1"/>
          <w:sz w:val="20"/>
          <w:szCs w:val="20"/>
          <w:lang w:val="en-US"/>
        </w:rPr>
        <w:t xml:space="preserve">% improvement in ESG score against a required 10%. </w:t>
      </w:r>
    </w:p>
    <w:p w14:paraId="3DFBCABA" w14:textId="2F39280B" w:rsidR="006B000B" w:rsidRPr="00797C58" w:rsidRDefault="00797C58" w:rsidP="00485B69">
      <w:pPr>
        <w:pStyle w:val="TableFigure"/>
        <w:spacing w:before="240" w:after="80" w:line="240" w:lineRule="auto"/>
        <w:rPr>
          <w:b w:val="0"/>
          <w:bCs/>
          <w:sz w:val="20"/>
          <w:szCs w:val="20"/>
          <w:lang w:val="en-US"/>
        </w:rPr>
      </w:pPr>
      <w:r w:rsidRPr="00797C58">
        <w:rPr>
          <w:b w:val="0"/>
          <w:bCs/>
          <w:color w:val="000000" w:themeColor="text1"/>
          <w:sz w:val="20"/>
          <w:szCs w:val="20"/>
          <w:lang w:val="en-US"/>
        </w:rPr>
        <w:t>C</w:t>
      </w:r>
      <w:r w:rsidR="00485B69">
        <w:rPr>
          <w:b w:val="0"/>
          <w:bCs/>
          <w:color w:val="000000" w:themeColor="text1"/>
          <w:sz w:val="20"/>
          <w:szCs w:val="20"/>
          <w:lang w:val="en-US"/>
        </w:rPr>
        <w:t>riteria</w:t>
      </w:r>
      <w:r w:rsidRPr="00797C58">
        <w:rPr>
          <w:b w:val="0"/>
          <w:bCs/>
          <w:color w:val="000000" w:themeColor="text1"/>
          <w:sz w:val="20"/>
          <w:szCs w:val="20"/>
          <w:lang w:val="en-US"/>
        </w:rPr>
        <w:t xml:space="preserve"> four and five are evaluated on an ong</w:t>
      </w:r>
      <w:r w:rsidR="00485B69">
        <w:rPr>
          <w:b w:val="0"/>
          <w:bCs/>
          <w:color w:val="000000" w:themeColor="text1"/>
          <w:sz w:val="20"/>
          <w:szCs w:val="20"/>
          <w:lang w:val="en-US"/>
        </w:rPr>
        <w:t>oing basis by the Fund with respect to</w:t>
      </w:r>
      <w:r w:rsidRPr="00797C58">
        <w:rPr>
          <w:b w:val="0"/>
          <w:bCs/>
          <w:color w:val="000000" w:themeColor="text1"/>
          <w:sz w:val="20"/>
          <w:szCs w:val="20"/>
          <w:lang w:val="en-US"/>
        </w:rPr>
        <w:t xml:space="preserve"> our existing investments, and throughout </w:t>
      </w:r>
      <w:r w:rsidR="00485B69">
        <w:rPr>
          <w:b w:val="0"/>
          <w:bCs/>
          <w:color w:val="000000" w:themeColor="text1"/>
          <w:sz w:val="20"/>
          <w:szCs w:val="20"/>
          <w:lang w:val="en-US"/>
        </w:rPr>
        <w:t xml:space="preserve">the </w:t>
      </w:r>
      <w:r w:rsidRPr="00797C58">
        <w:rPr>
          <w:b w:val="0"/>
          <w:bCs/>
          <w:color w:val="000000" w:themeColor="text1"/>
          <w:sz w:val="20"/>
          <w:szCs w:val="20"/>
          <w:lang w:val="en-US"/>
        </w:rPr>
        <w:t>analysis of prospective stock investments. To this effect, the SMF decided not to pursue some candidate stocks during the current semester</w:t>
      </w:r>
      <w:r w:rsidR="00575F9D">
        <w:rPr>
          <w:b w:val="0"/>
          <w:bCs/>
          <w:color w:val="000000" w:themeColor="text1"/>
          <w:sz w:val="20"/>
          <w:szCs w:val="20"/>
          <w:lang w:val="en-US"/>
        </w:rPr>
        <w:t xml:space="preserve"> based on the conclusion that </w:t>
      </w:r>
      <w:r w:rsidR="00575F9D" w:rsidRPr="00797C58">
        <w:rPr>
          <w:b w:val="0"/>
          <w:bCs/>
          <w:color w:val="000000" w:themeColor="text1"/>
          <w:sz w:val="20"/>
          <w:szCs w:val="20"/>
          <w:lang w:val="en-US"/>
        </w:rPr>
        <w:t>th</w:t>
      </w:r>
      <w:r w:rsidR="00575F9D">
        <w:rPr>
          <w:b w:val="0"/>
          <w:bCs/>
          <w:color w:val="000000" w:themeColor="text1"/>
          <w:sz w:val="20"/>
          <w:szCs w:val="20"/>
          <w:lang w:val="en-US"/>
        </w:rPr>
        <w:t>ey may</w:t>
      </w:r>
      <w:r w:rsidR="00575F9D" w:rsidRPr="00797C58">
        <w:rPr>
          <w:b w:val="0"/>
          <w:bCs/>
          <w:color w:val="000000" w:themeColor="text1"/>
          <w:sz w:val="20"/>
          <w:szCs w:val="20"/>
          <w:lang w:val="en-US"/>
        </w:rPr>
        <w:t xml:space="preserve"> have been causing social injury.</w:t>
      </w:r>
      <w:r w:rsidR="00D25DC6">
        <w:rPr>
          <w:b w:val="0"/>
          <w:bCs/>
          <w:color w:val="000000" w:themeColor="text1"/>
          <w:sz w:val="20"/>
          <w:szCs w:val="20"/>
          <w:lang w:val="en-US"/>
        </w:rPr>
        <w:t xml:space="preserve"> This </w:t>
      </w:r>
      <w:r w:rsidR="00C407C8">
        <w:rPr>
          <w:b w:val="0"/>
          <w:bCs/>
          <w:color w:val="000000" w:themeColor="text1"/>
          <w:sz w:val="20"/>
          <w:szCs w:val="20"/>
          <w:lang w:val="en-US"/>
        </w:rPr>
        <w:t xml:space="preserve">conclusion </w:t>
      </w:r>
      <w:r w:rsidR="00D25DC6">
        <w:rPr>
          <w:b w:val="0"/>
          <w:bCs/>
          <w:color w:val="000000" w:themeColor="text1"/>
          <w:sz w:val="20"/>
          <w:szCs w:val="20"/>
          <w:lang w:val="en-US"/>
        </w:rPr>
        <w:t xml:space="preserve">was </w:t>
      </w:r>
      <w:r w:rsidRPr="00797C58">
        <w:rPr>
          <w:b w:val="0"/>
          <w:bCs/>
          <w:color w:val="000000" w:themeColor="text1"/>
          <w:sz w:val="20"/>
          <w:szCs w:val="20"/>
          <w:lang w:val="en-US"/>
        </w:rPr>
        <w:t>bas</w:t>
      </w:r>
      <w:r w:rsidR="00C407C8">
        <w:rPr>
          <w:b w:val="0"/>
          <w:bCs/>
          <w:color w:val="000000" w:themeColor="text1"/>
          <w:sz w:val="20"/>
          <w:szCs w:val="20"/>
          <w:lang w:val="en-US"/>
        </w:rPr>
        <w:t xml:space="preserve">ed on </w:t>
      </w:r>
      <w:r w:rsidRPr="00797C58">
        <w:rPr>
          <w:b w:val="0"/>
          <w:bCs/>
          <w:color w:val="000000" w:themeColor="text1"/>
          <w:sz w:val="20"/>
          <w:szCs w:val="20"/>
          <w:lang w:val="en-US"/>
        </w:rPr>
        <w:t>the combined view of the AAE and R&amp;C teams</w:t>
      </w:r>
      <w:r w:rsidR="00485B69">
        <w:rPr>
          <w:b w:val="0"/>
          <w:bCs/>
          <w:color w:val="000000" w:themeColor="text1"/>
          <w:sz w:val="20"/>
          <w:szCs w:val="20"/>
          <w:lang w:val="en-US"/>
        </w:rPr>
        <w:t>,</w:t>
      </w:r>
      <w:r w:rsidR="00CA366E">
        <w:rPr>
          <w:b w:val="0"/>
          <w:bCs/>
          <w:color w:val="000000" w:themeColor="text1"/>
          <w:sz w:val="20"/>
          <w:szCs w:val="20"/>
          <w:lang w:val="en-US"/>
        </w:rPr>
        <w:t xml:space="preserve"> and discussions at the broader SMF level</w:t>
      </w:r>
      <w:r w:rsidR="00C407C8">
        <w:rPr>
          <w:b w:val="0"/>
          <w:bCs/>
          <w:color w:val="000000" w:themeColor="text1"/>
          <w:sz w:val="20"/>
          <w:szCs w:val="20"/>
          <w:lang w:val="en-US"/>
        </w:rPr>
        <w:t>.</w:t>
      </w:r>
      <w:r w:rsidRPr="00797C58">
        <w:rPr>
          <w:b w:val="0"/>
          <w:bCs/>
          <w:color w:val="000000" w:themeColor="text1"/>
          <w:sz w:val="20"/>
          <w:szCs w:val="20"/>
          <w:lang w:val="en-US"/>
        </w:rPr>
        <w:t xml:space="preserve"> Once the AAE portfolio is fully invested in active stock positions, as against its current partial exposure to the S&amp;P/ASX200 ETF, the AAE portfolio will be in complete compliance with all elements of the ANU SRI policy.</w:t>
      </w:r>
    </w:p>
    <w:p w14:paraId="34DB6DC1" w14:textId="77777777" w:rsidR="006B000B" w:rsidRPr="002C3CF3" w:rsidRDefault="006B000B" w:rsidP="00A250F3">
      <w:pPr>
        <w:pStyle w:val="TableFigure"/>
        <w:spacing w:before="240" w:after="80" w:line="240" w:lineRule="auto"/>
        <w:jc w:val="left"/>
        <w:rPr>
          <w:sz w:val="20"/>
          <w:szCs w:val="20"/>
          <w:lang w:val="en-US"/>
        </w:rPr>
      </w:pPr>
    </w:p>
    <w:p w14:paraId="68544FA3" w14:textId="77777777" w:rsidR="006B000B" w:rsidRPr="002C3CF3" w:rsidRDefault="006B000B" w:rsidP="00A250F3">
      <w:pPr>
        <w:spacing w:before="240"/>
        <w:rPr>
          <w:sz w:val="20"/>
          <w:szCs w:val="20"/>
          <w:lang w:val="en-US"/>
        </w:rPr>
      </w:pPr>
    </w:p>
    <w:p w14:paraId="156EFED4" w14:textId="77777777" w:rsidR="00AA1520" w:rsidRPr="002C3CF3" w:rsidRDefault="00AA1520" w:rsidP="00A250F3">
      <w:pPr>
        <w:rPr>
          <w:rFonts w:eastAsiaTheme="minorEastAsia"/>
          <w:b/>
          <w:color w:val="4472C4" w:themeColor="accent1"/>
          <w:spacing w:val="15"/>
          <w:lang w:val="en-US"/>
        </w:rPr>
      </w:pPr>
    </w:p>
    <w:p w14:paraId="5E32D08C" w14:textId="77777777" w:rsidR="00AA1520" w:rsidRPr="002C3CF3" w:rsidRDefault="00AA1520" w:rsidP="00A250F3">
      <w:pPr>
        <w:rPr>
          <w:rFonts w:eastAsiaTheme="minorEastAsia"/>
          <w:b/>
          <w:color w:val="4472C4" w:themeColor="accent1"/>
          <w:spacing w:val="15"/>
          <w:lang w:val="en-US"/>
        </w:rPr>
      </w:pPr>
    </w:p>
    <w:p w14:paraId="5E777A47" w14:textId="3C1FDACB" w:rsidR="00AA1520" w:rsidRPr="002C3CF3" w:rsidRDefault="00AA1520" w:rsidP="00A250F3">
      <w:pPr>
        <w:rPr>
          <w:rFonts w:eastAsiaTheme="minorEastAsia"/>
          <w:b/>
          <w:color w:val="4472C4" w:themeColor="accent1"/>
          <w:spacing w:val="15"/>
          <w:lang w:val="en-US"/>
        </w:rPr>
      </w:pPr>
    </w:p>
    <w:p w14:paraId="2D19678D" w14:textId="42A662D7" w:rsidR="00581542" w:rsidRPr="002C3CF3" w:rsidRDefault="00581542" w:rsidP="00A250F3">
      <w:pPr>
        <w:rPr>
          <w:rFonts w:eastAsiaTheme="minorEastAsia"/>
          <w:b/>
          <w:color w:val="4472C4" w:themeColor="accent1"/>
          <w:spacing w:val="15"/>
          <w:lang w:val="en-US"/>
        </w:rPr>
      </w:pPr>
    </w:p>
    <w:p w14:paraId="042AAB0D" w14:textId="73F0B623" w:rsidR="00581542" w:rsidRPr="002C3CF3" w:rsidRDefault="00581542" w:rsidP="00A250F3">
      <w:pPr>
        <w:rPr>
          <w:rFonts w:eastAsiaTheme="minorEastAsia"/>
          <w:b/>
          <w:color w:val="4472C4" w:themeColor="accent1"/>
          <w:spacing w:val="15"/>
          <w:lang w:val="en-US"/>
        </w:rPr>
      </w:pPr>
    </w:p>
    <w:p w14:paraId="74884131" w14:textId="2A39E4F8" w:rsidR="00581542" w:rsidRPr="002C3CF3" w:rsidRDefault="00581542" w:rsidP="00A250F3">
      <w:pPr>
        <w:rPr>
          <w:rFonts w:eastAsiaTheme="minorEastAsia"/>
          <w:b/>
          <w:color w:val="4472C4" w:themeColor="accent1"/>
          <w:spacing w:val="15"/>
          <w:lang w:val="en-US"/>
        </w:rPr>
      </w:pPr>
    </w:p>
    <w:p w14:paraId="0A11D4CA" w14:textId="691D02ED" w:rsidR="00581542" w:rsidRPr="002C3CF3" w:rsidRDefault="00581542" w:rsidP="00A250F3">
      <w:pPr>
        <w:rPr>
          <w:rFonts w:eastAsiaTheme="minorEastAsia"/>
          <w:b/>
          <w:color w:val="4472C4" w:themeColor="accent1"/>
          <w:spacing w:val="15"/>
          <w:lang w:val="en-US"/>
        </w:rPr>
      </w:pPr>
    </w:p>
    <w:p w14:paraId="19062B1F" w14:textId="00E3C3B5" w:rsidR="00581542" w:rsidRPr="002C3CF3" w:rsidRDefault="00581542" w:rsidP="00A250F3">
      <w:pPr>
        <w:rPr>
          <w:rFonts w:eastAsiaTheme="minorEastAsia"/>
          <w:b/>
          <w:color w:val="4472C4" w:themeColor="accent1"/>
          <w:spacing w:val="15"/>
          <w:lang w:val="en-US"/>
        </w:rPr>
      </w:pPr>
    </w:p>
    <w:p w14:paraId="4DC36C52" w14:textId="5D1F6732" w:rsidR="00581542" w:rsidRPr="002C3CF3" w:rsidRDefault="00581542" w:rsidP="00A250F3">
      <w:pPr>
        <w:rPr>
          <w:rFonts w:eastAsiaTheme="minorEastAsia"/>
          <w:b/>
          <w:color w:val="4472C4" w:themeColor="accent1"/>
          <w:spacing w:val="15"/>
          <w:lang w:val="en-US"/>
        </w:rPr>
      </w:pPr>
    </w:p>
    <w:p w14:paraId="18C6C81A" w14:textId="1CF7463E" w:rsidR="00581542" w:rsidRPr="002C3CF3" w:rsidRDefault="00581542" w:rsidP="00A250F3">
      <w:pPr>
        <w:rPr>
          <w:rFonts w:eastAsiaTheme="minorEastAsia"/>
          <w:b/>
          <w:color w:val="4472C4" w:themeColor="accent1"/>
          <w:spacing w:val="15"/>
          <w:lang w:val="en-US"/>
        </w:rPr>
      </w:pPr>
    </w:p>
    <w:p w14:paraId="554E8639" w14:textId="40802068" w:rsidR="00581542" w:rsidRPr="002C3CF3" w:rsidRDefault="00581542" w:rsidP="00A250F3">
      <w:pPr>
        <w:rPr>
          <w:rFonts w:eastAsiaTheme="minorEastAsia"/>
          <w:b/>
          <w:color w:val="4472C4" w:themeColor="accent1"/>
          <w:spacing w:val="15"/>
          <w:lang w:val="en-US"/>
        </w:rPr>
      </w:pPr>
    </w:p>
    <w:p w14:paraId="0E681E9C" w14:textId="4B6AFE91" w:rsidR="00581542" w:rsidRPr="002C3CF3" w:rsidRDefault="00581542" w:rsidP="00A250F3">
      <w:pPr>
        <w:rPr>
          <w:rFonts w:eastAsiaTheme="minorEastAsia"/>
          <w:b/>
          <w:color w:val="4472C4" w:themeColor="accent1"/>
          <w:spacing w:val="15"/>
          <w:lang w:val="en-US"/>
        </w:rPr>
      </w:pPr>
    </w:p>
    <w:p w14:paraId="62B4EDD8" w14:textId="52156A42" w:rsidR="00581542" w:rsidRPr="002C3CF3" w:rsidRDefault="00581542" w:rsidP="00A250F3">
      <w:pPr>
        <w:rPr>
          <w:rFonts w:eastAsiaTheme="minorEastAsia"/>
          <w:b/>
          <w:color w:val="4472C4" w:themeColor="accent1"/>
          <w:spacing w:val="15"/>
          <w:lang w:val="en-US"/>
        </w:rPr>
      </w:pPr>
    </w:p>
    <w:p w14:paraId="1A9A4A4F" w14:textId="2C21747E" w:rsidR="00581542" w:rsidRPr="002C3CF3" w:rsidRDefault="00581542" w:rsidP="00A250F3">
      <w:pPr>
        <w:rPr>
          <w:rFonts w:eastAsiaTheme="minorEastAsia"/>
          <w:b/>
          <w:color w:val="4472C4" w:themeColor="accent1"/>
          <w:spacing w:val="15"/>
          <w:lang w:val="en-US"/>
        </w:rPr>
      </w:pPr>
    </w:p>
    <w:p w14:paraId="1A7EDDAB" w14:textId="77777777" w:rsidR="00581542" w:rsidRPr="002C3CF3" w:rsidRDefault="00581542" w:rsidP="00A250F3">
      <w:pPr>
        <w:rPr>
          <w:rFonts w:eastAsiaTheme="minorEastAsia"/>
          <w:b/>
          <w:color w:val="4472C4" w:themeColor="accent1"/>
          <w:spacing w:val="15"/>
          <w:lang w:val="en-US"/>
        </w:rPr>
      </w:pPr>
    </w:p>
    <w:p w14:paraId="289AD375" w14:textId="77777777" w:rsidR="00AA1520" w:rsidRPr="002C3CF3" w:rsidRDefault="00AA1520" w:rsidP="00A250F3">
      <w:pPr>
        <w:rPr>
          <w:rFonts w:eastAsiaTheme="minorEastAsia"/>
          <w:b/>
          <w:color w:val="4472C4" w:themeColor="accent1"/>
          <w:spacing w:val="15"/>
          <w:lang w:val="en-US"/>
        </w:rPr>
      </w:pPr>
    </w:p>
    <w:p w14:paraId="56AEE4ED" w14:textId="1E7241DA" w:rsidR="00AA1520" w:rsidRPr="002C3CF3" w:rsidRDefault="00AA1520" w:rsidP="00A250F3">
      <w:pPr>
        <w:rPr>
          <w:rFonts w:eastAsiaTheme="minorEastAsia"/>
          <w:b/>
          <w:color w:val="4472C4" w:themeColor="accent1"/>
          <w:spacing w:val="15"/>
          <w:lang w:val="en-US"/>
        </w:rPr>
      </w:pPr>
    </w:p>
    <w:p w14:paraId="0E91457F" w14:textId="77777777" w:rsidR="00AA1520" w:rsidRPr="002C3CF3" w:rsidRDefault="00AA1520" w:rsidP="00A250F3">
      <w:pPr>
        <w:rPr>
          <w:rFonts w:eastAsiaTheme="minorEastAsia"/>
          <w:b/>
          <w:color w:val="4472C4" w:themeColor="accent1"/>
          <w:spacing w:val="15"/>
          <w:lang w:val="en-US"/>
        </w:rPr>
      </w:pPr>
    </w:p>
    <w:p w14:paraId="7623D41A" w14:textId="215471B5" w:rsidR="00106FB4" w:rsidRPr="002C3CF3" w:rsidRDefault="00E73FFF" w:rsidP="00A250F3">
      <w:pPr>
        <w:rPr>
          <w:rFonts w:eastAsiaTheme="minorEastAsia"/>
          <w:b/>
          <w:color w:val="4472C4" w:themeColor="accent1"/>
          <w:spacing w:val="15"/>
          <w:lang w:val="en-US"/>
        </w:rPr>
      </w:pPr>
      <w:r w:rsidRPr="002C3CF3"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FF4EECD" wp14:editId="3C6460E0">
                <wp:simplePos x="0" y="0"/>
                <wp:positionH relativeFrom="margin">
                  <wp:posOffset>-168910</wp:posOffset>
                </wp:positionH>
                <wp:positionV relativeFrom="margin">
                  <wp:posOffset>7159625</wp:posOffset>
                </wp:positionV>
                <wp:extent cx="6105525" cy="1720215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7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83F4B" w14:textId="77777777" w:rsidR="00575F9D" w:rsidRPr="00BF3830" w:rsidRDefault="00575F9D" w:rsidP="00DB28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F3830">
                              <w:rPr>
                                <w:sz w:val="22"/>
                                <w:szCs w:val="22"/>
                              </w:rPr>
                              <w:t>ANU SMF / RSFAS / College of Business and Economics</w:t>
                            </w:r>
                          </w:p>
                          <w:p w14:paraId="01512626" w14:textId="77777777" w:rsidR="00575F9D" w:rsidRPr="00BF3830" w:rsidRDefault="00575F9D" w:rsidP="00DB28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F3830">
                              <w:rPr>
                                <w:sz w:val="22"/>
                                <w:szCs w:val="22"/>
                              </w:rPr>
                              <w:t>+61 2 6125 4626</w:t>
                            </w:r>
                          </w:p>
                          <w:p w14:paraId="213123B3" w14:textId="18E14055" w:rsidR="00575F9D" w:rsidRDefault="00575F9D" w:rsidP="002C2CC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F3830">
                              <w:rPr>
                                <w:sz w:val="22"/>
                                <w:szCs w:val="22"/>
                              </w:rPr>
                              <w:t xml:space="preserve">SMF email: </w:t>
                            </w:r>
                            <w:hyperlink r:id="rId20" w:history="1">
                              <w:r w:rsidRPr="00B86605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smf.rsfas@anu.edu.au</w:t>
                              </w:r>
                            </w:hyperlink>
                          </w:p>
                          <w:p w14:paraId="05141EB5" w14:textId="1F83DF5B" w:rsidR="00575F9D" w:rsidRDefault="00575F9D" w:rsidP="002C2CC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SMF Website: </w:t>
                            </w:r>
                            <w:hyperlink r:id="rId21" w:history="1">
                              <w:r w:rsidRPr="00B86605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https://www.rsfas.anu.edu.au/rsfas-education/student-managed-fund/</w:t>
                              </w:r>
                            </w:hyperlink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7C30B8DA" w14:textId="1AA81BBD" w:rsidR="00575F9D" w:rsidRDefault="00575F9D" w:rsidP="002C2CCF">
                            <w:pPr>
                              <w:rPr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SMF Facebook Page: </w:t>
                            </w:r>
                            <w:hyperlink r:id="rId22" w:history="1">
                              <w:r w:rsidRPr="00B86605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https://www.facebook.com/smfANU/</w:t>
                              </w:r>
                            </w:hyperlink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527677B" w14:textId="77777777" w:rsidR="00575F9D" w:rsidRPr="00BF3830" w:rsidRDefault="00575F9D" w:rsidP="002C2CC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5333DBA" w14:textId="77777777" w:rsidR="00575F9D" w:rsidRPr="00BF3830" w:rsidRDefault="00575F9D" w:rsidP="00DB28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F3830">
                              <w:rPr>
                                <w:sz w:val="22"/>
                                <w:szCs w:val="22"/>
                              </w:rPr>
                              <w:t>The Australian National University</w:t>
                            </w:r>
                          </w:p>
                          <w:p w14:paraId="49D3FAA6" w14:textId="77777777" w:rsidR="00575F9D" w:rsidRPr="00BF3830" w:rsidRDefault="00575F9D" w:rsidP="00DB28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F3830">
                              <w:rPr>
                                <w:sz w:val="22"/>
                                <w:szCs w:val="22"/>
                              </w:rPr>
                              <w:t>Canberra ACT 2601 Australia</w:t>
                            </w:r>
                          </w:p>
                          <w:p w14:paraId="64438E17" w14:textId="77777777" w:rsidR="00575F9D" w:rsidRPr="00BF3830" w:rsidRDefault="00E9031D" w:rsidP="00DB286A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hyperlink r:id="rId23" w:history="1">
                              <w:r w:rsidR="00575F9D" w:rsidRPr="00BF3830">
                                <w:rPr>
                                  <w:rStyle w:val="Hyperlink"/>
                                  <w:b/>
                                  <w:bCs/>
                                  <w:sz w:val="22"/>
                                  <w:szCs w:val="22"/>
                                  <w:u w:val="none"/>
                                </w:rPr>
                                <w:t>www.anu.edu.au</w:t>
                              </w:r>
                            </w:hyperlink>
                          </w:p>
                          <w:p w14:paraId="0EAEF5C1" w14:textId="77777777" w:rsidR="00575F9D" w:rsidRPr="00BF3830" w:rsidRDefault="00575F9D" w:rsidP="00E354A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F3830">
                              <w:rPr>
                                <w:sz w:val="22"/>
                                <w:szCs w:val="22"/>
                              </w:rPr>
                              <w:t>CRICOS Provider No. 00120C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4EE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563.75pt;width:480.75pt;height:135.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" stroked="f">
                <v:textbox>
                  <w:txbxContent>
                    <w:p w14:paraId="73683F4B" w14:textId="77777777" w:rsidR="00575F9D" w:rsidRPr="00BF3830" w:rsidRDefault="00575F9D" w:rsidP="00DB286A">
                      <w:pPr>
                        <w:rPr>
                          <w:sz w:val="22"/>
                          <w:szCs w:val="22"/>
                        </w:rPr>
                      </w:pPr>
                      <w:r w:rsidRPr="00BF3830">
                        <w:rPr>
                          <w:sz w:val="22"/>
                          <w:szCs w:val="22"/>
                        </w:rPr>
                        <w:t>ANU SMF / RSFAS / College of Business and Economics</w:t>
                      </w:r>
                    </w:p>
                    <w:p w14:paraId="01512626" w14:textId="77777777" w:rsidR="00575F9D" w:rsidRPr="00BF3830" w:rsidRDefault="00575F9D" w:rsidP="00DB286A">
                      <w:pPr>
                        <w:rPr>
                          <w:sz w:val="22"/>
                          <w:szCs w:val="22"/>
                        </w:rPr>
                      </w:pPr>
                      <w:r w:rsidRPr="00BF3830">
                        <w:rPr>
                          <w:sz w:val="22"/>
                          <w:szCs w:val="22"/>
                        </w:rPr>
                        <w:t>+61 2 6125 4626</w:t>
                      </w:r>
                    </w:p>
                    <w:p w14:paraId="213123B3" w14:textId="18E14055" w:rsidR="00575F9D" w:rsidRDefault="00575F9D" w:rsidP="002C2CCF">
                      <w:pPr>
                        <w:rPr>
                          <w:sz w:val="22"/>
                          <w:szCs w:val="22"/>
                        </w:rPr>
                      </w:pPr>
                      <w:r w:rsidRPr="00BF3830">
                        <w:rPr>
                          <w:sz w:val="22"/>
                          <w:szCs w:val="22"/>
                        </w:rPr>
                        <w:t xml:space="preserve">SMF email: </w:t>
                      </w:r>
                      <w:hyperlink r:id="rId24" w:history="1">
                        <w:r w:rsidRPr="00B86605">
                          <w:rPr>
                            <w:rStyle w:val="Hyperlink"/>
                            <w:sz w:val="22"/>
                            <w:szCs w:val="22"/>
                          </w:rPr>
                          <w:t>smf.rsfas@anu.edu.au</w:t>
                        </w:r>
                      </w:hyperlink>
                    </w:p>
                    <w:p w14:paraId="05141EB5" w14:textId="1F83DF5B" w:rsidR="00575F9D" w:rsidRDefault="00575F9D" w:rsidP="002C2CC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SMF Website: </w:t>
                      </w:r>
                      <w:hyperlink r:id="rId25" w:history="1">
                        <w:r w:rsidRPr="00B86605">
                          <w:rPr>
                            <w:rStyle w:val="Hyperlink"/>
                            <w:sz w:val="22"/>
                            <w:szCs w:val="22"/>
                          </w:rPr>
                          <w:t>https://www.rsfas.anu.edu.au/rsfas-education/student-managed-fund/</w:t>
                        </w:r>
                      </w:hyperlink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C30B8DA" w14:textId="1AA81BBD" w:rsidR="00575F9D" w:rsidRDefault="00575F9D" w:rsidP="002C2CCF">
                      <w:pPr>
                        <w:rPr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SMF Facebook Page: </w:t>
                      </w:r>
                      <w:hyperlink r:id="rId26" w:history="1">
                        <w:r w:rsidRPr="00B86605">
                          <w:rPr>
                            <w:rStyle w:val="Hyperlink"/>
                            <w:sz w:val="22"/>
                            <w:szCs w:val="22"/>
                          </w:rPr>
                          <w:t>https://www.facebook.com/smfANU/</w:t>
                        </w:r>
                      </w:hyperlink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5527677B" w14:textId="77777777" w:rsidR="00575F9D" w:rsidRPr="00BF3830" w:rsidRDefault="00575F9D" w:rsidP="002C2CCF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5333DBA" w14:textId="77777777" w:rsidR="00575F9D" w:rsidRPr="00BF3830" w:rsidRDefault="00575F9D" w:rsidP="00DB286A">
                      <w:pPr>
                        <w:rPr>
                          <w:sz w:val="22"/>
                          <w:szCs w:val="22"/>
                        </w:rPr>
                      </w:pPr>
                      <w:r w:rsidRPr="00BF3830">
                        <w:rPr>
                          <w:sz w:val="22"/>
                          <w:szCs w:val="22"/>
                        </w:rPr>
                        <w:t>The Australian National University</w:t>
                      </w:r>
                    </w:p>
                    <w:p w14:paraId="49D3FAA6" w14:textId="77777777" w:rsidR="00575F9D" w:rsidRPr="00BF3830" w:rsidRDefault="00575F9D" w:rsidP="00DB286A">
                      <w:pPr>
                        <w:rPr>
                          <w:sz w:val="22"/>
                          <w:szCs w:val="22"/>
                        </w:rPr>
                      </w:pPr>
                      <w:r w:rsidRPr="00BF3830">
                        <w:rPr>
                          <w:sz w:val="22"/>
                          <w:szCs w:val="22"/>
                        </w:rPr>
                        <w:t>Canberra ACT 2601 Australia</w:t>
                      </w:r>
                    </w:p>
                    <w:p w14:paraId="64438E17" w14:textId="77777777" w:rsidR="00575F9D" w:rsidRPr="00BF3830" w:rsidRDefault="00575F9D" w:rsidP="00DB286A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hyperlink r:id="rId27" w:history="1">
                        <w:r w:rsidRPr="00BF3830">
                          <w:rPr>
                            <w:rStyle w:val="Hyperlink"/>
                            <w:b/>
                            <w:bCs/>
                            <w:sz w:val="22"/>
                            <w:szCs w:val="22"/>
                            <w:u w:val="none"/>
                          </w:rPr>
                          <w:t>www.anu.edu.au</w:t>
                        </w:r>
                      </w:hyperlink>
                    </w:p>
                    <w:p w14:paraId="0EAEF5C1" w14:textId="77777777" w:rsidR="00575F9D" w:rsidRPr="00BF3830" w:rsidRDefault="00575F9D" w:rsidP="00E354A7">
                      <w:pPr>
                        <w:rPr>
                          <w:sz w:val="22"/>
                          <w:szCs w:val="22"/>
                        </w:rPr>
                      </w:pPr>
                      <w:r w:rsidRPr="00BF3830">
                        <w:rPr>
                          <w:sz w:val="22"/>
                          <w:szCs w:val="22"/>
                        </w:rPr>
                        <w:t>CRICOS Provider No. 00120C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106FB4" w:rsidRPr="002C3CF3" w:rsidSect="007D766D">
      <w:headerReference w:type="default" r:id="rId28"/>
      <w:footerReference w:type="default" r:id="rId29"/>
      <w:pgSz w:w="11906" w:h="16838" w:code="9"/>
      <w:pgMar w:top="1152" w:right="1152" w:bottom="1152" w:left="1152" w:header="432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E051C" w14:textId="77777777" w:rsidR="00E9031D" w:rsidRDefault="00E9031D" w:rsidP="003C2B26">
      <w:r>
        <w:separator/>
      </w:r>
    </w:p>
  </w:endnote>
  <w:endnote w:type="continuationSeparator" w:id="0">
    <w:p w14:paraId="1F864838" w14:textId="77777777" w:rsidR="00E9031D" w:rsidRDefault="00E9031D" w:rsidP="003C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84B53" w14:textId="6E3BE0A1" w:rsidR="00575F9D" w:rsidRDefault="00575F9D" w:rsidP="00BF3830">
    <w:pPr>
      <w:pStyle w:val="Footer"/>
      <w:tabs>
        <w:tab w:val="left" w:pos="8910"/>
      </w:tabs>
      <w:jc w:val="left"/>
    </w:pPr>
    <w:r>
      <w:t xml:space="preserve">ANU SMF: Mid-Semester Report, Semester 2, 2019 </w:t>
    </w:r>
    <w:r>
      <w:tab/>
      <w:t xml:space="preserve">Page </w:t>
    </w:r>
    <w:sdt>
      <w:sdtPr>
        <w:id w:val="-7749367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D3FEC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14:paraId="062E7810" w14:textId="77777777" w:rsidR="00575F9D" w:rsidRPr="00063CBE" w:rsidRDefault="00575F9D" w:rsidP="00BF3830">
    <w:pPr>
      <w:pStyle w:val="Footer"/>
      <w:tabs>
        <w:tab w:val="left" w:pos="8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AD68D" w14:textId="77777777" w:rsidR="00E9031D" w:rsidRDefault="00E9031D" w:rsidP="003C2B26">
      <w:r>
        <w:separator/>
      </w:r>
    </w:p>
  </w:footnote>
  <w:footnote w:type="continuationSeparator" w:id="0">
    <w:p w14:paraId="670EFEA7" w14:textId="77777777" w:rsidR="00E9031D" w:rsidRDefault="00E9031D" w:rsidP="003C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53F1A" w14:textId="77777777" w:rsidR="00575F9D" w:rsidRDefault="00575F9D" w:rsidP="00380F71">
    <w:pPr>
      <w:pStyle w:val="Header"/>
      <w:tabs>
        <w:tab w:val="left" w:pos="360"/>
      </w:tabs>
      <w:spacing w:after="360"/>
      <w:jc w:val="left"/>
    </w:pPr>
    <w:r>
      <w:rPr>
        <w:noProof/>
        <w:lang w:eastAsia="en-AU"/>
      </w:rPr>
      <w:drawing>
        <wp:inline distT="0" distB="0" distL="0" distR="0" wp14:anchorId="38178ABD" wp14:editId="7A3236AB">
          <wp:extent cx="1658883" cy="576943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829" cy="578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8CE15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6D2607"/>
    <w:multiLevelType w:val="multilevel"/>
    <w:tmpl w:val="1FBCE51A"/>
    <w:numStyleLink w:val="BulletPoints"/>
  </w:abstractNum>
  <w:abstractNum w:abstractNumId="2" w15:restartNumberingAfterBreak="0">
    <w:nsid w:val="06FA62CD"/>
    <w:multiLevelType w:val="hybridMultilevel"/>
    <w:tmpl w:val="F2B6E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8B042">
      <w:start w:val="1"/>
      <w:numFmt w:val="bullet"/>
      <w:lvlText w:val="­"/>
      <w:lvlJc w:val="left"/>
      <w:pPr>
        <w:ind w:left="9810" w:hanging="360"/>
      </w:pPr>
      <w:rPr>
        <w:rFonts w:ascii="Times New Roman" w:hAnsi="Times New Roman" w:cs="Times New Roman" w:hint="default"/>
        <w:color w:val="000000" w:themeColor="text1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8B042">
      <w:start w:val="1"/>
      <w:numFmt w:val="bullet"/>
      <w:lvlText w:val="­"/>
      <w:lvlJc w:val="left"/>
      <w:pPr>
        <w:ind w:left="2880" w:hanging="360"/>
      </w:pPr>
      <w:rPr>
        <w:rFonts w:ascii="Times New Roman" w:hAnsi="Times New Roman" w:cs="Times New Roman" w:hint="default"/>
        <w:color w:val="000000" w:themeColor="text1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A51C4"/>
    <w:multiLevelType w:val="multilevel"/>
    <w:tmpl w:val="0C09001D"/>
    <w:numStyleLink w:val="Style1"/>
  </w:abstractNum>
  <w:abstractNum w:abstractNumId="4" w15:restartNumberingAfterBreak="0">
    <w:nsid w:val="08624FB3"/>
    <w:multiLevelType w:val="hybridMultilevel"/>
    <w:tmpl w:val="9EFA44AE"/>
    <w:lvl w:ilvl="0" w:tplc="8062C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86CA3"/>
    <w:multiLevelType w:val="hybridMultilevel"/>
    <w:tmpl w:val="629438E0"/>
    <w:lvl w:ilvl="0" w:tplc="E73EE798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1E5"/>
    <w:multiLevelType w:val="hybridMultilevel"/>
    <w:tmpl w:val="B70A7D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D5F1B"/>
    <w:multiLevelType w:val="multilevel"/>
    <w:tmpl w:val="1FBCE51A"/>
    <w:numStyleLink w:val="BulletPoints"/>
  </w:abstractNum>
  <w:abstractNum w:abstractNumId="8" w15:restartNumberingAfterBreak="0">
    <w:nsid w:val="1E491ECB"/>
    <w:multiLevelType w:val="multilevel"/>
    <w:tmpl w:val="1FBCE51A"/>
    <w:numStyleLink w:val="BulletPoints"/>
  </w:abstractNum>
  <w:abstractNum w:abstractNumId="9" w15:restartNumberingAfterBreak="0">
    <w:nsid w:val="1F9B2E52"/>
    <w:multiLevelType w:val="hybridMultilevel"/>
    <w:tmpl w:val="5BC402B2"/>
    <w:lvl w:ilvl="0" w:tplc="CF28BE3A">
      <w:start w:val="1"/>
      <w:numFmt w:val="bullet"/>
      <w:pStyle w:val="2ndIndentation"/>
      <w:lvlText w:val="­"/>
      <w:lvlJc w:val="left"/>
      <w:pPr>
        <w:ind w:left="144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625ED1"/>
    <w:multiLevelType w:val="multilevel"/>
    <w:tmpl w:val="1FBCE51A"/>
    <w:numStyleLink w:val="BulletPoints"/>
  </w:abstractNum>
  <w:abstractNum w:abstractNumId="11" w15:restartNumberingAfterBreak="0">
    <w:nsid w:val="26FA0572"/>
    <w:multiLevelType w:val="hybridMultilevel"/>
    <w:tmpl w:val="4F026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61607"/>
    <w:multiLevelType w:val="hybridMultilevel"/>
    <w:tmpl w:val="8910BE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02BD4"/>
    <w:multiLevelType w:val="hybridMultilevel"/>
    <w:tmpl w:val="AA003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781E85"/>
    <w:multiLevelType w:val="hybridMultilevel"/>
    <w:tmpl w:val="C30E998E"/>
    <w:lvl w:ilvl="0" w:tplc="AF746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67EADF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73F6F"/>
    <w:multiLevelType w:val="hybridMultilevel"/>
    <w:tmpl w:val="839C78AE"/>
    <w:lvl w:ilvl="0" w:tplc="080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30380990"/>
    <w:multiLevelType w:val="hybridMultilevel"/>
    <w:tmpl w:val="07A49F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14782"/>
    <w:multiLevelType w:val="hybridMultilevel"/>
    <w:tmpl w:val="2CA66A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31C95"/>
    <w:multiLevelType w:val="multilevel"/>
    <w:tmpl w:val="15ACAC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4472C4" w:themeColor="accent1"/>
      </w:rPr>
    </w:lvl>
    <w:lvl w:ilvl="1">
      <w:start w:val="1"/>
      <w:numFmt w:val="lowerLetter"/>
      <w:lvlText w:val="%2."/>
      <w:lvlJc w:val="left"/>
      <w:pPr>
        <w:ind w:left="480" w:hanging="480"/>
      </w:pPr>
      <w:rPr>
        <w:rFonts w:hint="default"/>
        <w:color w:val="4472C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EB182A"/>
    <w:multiLevelType w:val="hybridMultilevel"/>
    <w:tmpl w:val="7264FB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F5162"/>
    <w:multiLevelType w:val="multilevel"/>
    <w:tmpl w:val="1EF273D0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05A7252"/>
    <w:multiLevelType w:val="hybridMultilevel"/>
    <w:tmpl w:val="2D6E5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50EC7"/>
    <w:multiLevelType w:val="hybridMultilevel"/>
    <w:tmpl w:val="2606F7A6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A573A"/>
    <w:multiLevelType w:val="hybridMultilevel"/>
    <w:tmpl w:val="D280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62422"/>
    <w:multiLevelType w:val="multilevel"/>
    <w:tmpl w:val="BDEE01C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440363"/>
    <w:multiLevelType w:val="hybridMultilevel"/>
    <w:tmpl w:val="1FBCE51A"/>
    <w:lvl w:ilvl="0" w:tplc="CC207BDC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43289A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B6E7B5B"/>
    <w:multiLevelType w:val="multilevel"/>
    <w:tmpl w:val="0C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CF46AA9"/>
    <w:multiLevelType w:val="hybridMultilevel"/>
    <w:tmpl w:val="0DF847AC"/>
    <w:lvl w:ilvl="0" w:tplc="F2346EC6">
      <w:start w:val="1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4DC121D5"/>
    <w:multiLevelType w:val="hybridMultilevel"/>
    <w:tmpl w:val="1DE68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A3BE2"/>
    <w:multiLevelType w:val="hybridMultilevel"/>
    <w:tmpl w:val="A9DCE43A"/>
    <w:lvl w:ilvl="0" w:tplc="C972949C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4C3EF9"/>
    <w:multiLevelType w:val="hybridMultilevel"/>
    <w:tmpl w:val="903A8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F36AA"/>
    <w:multiLevelType w:val="hybridMultilevel"/>
    <w:tmpl w:val="D2B622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BB5624"/>
    <w:multiLevelType w:val="multilevel"/>
    <w:tmpl w:val="1FBCE51A"/>
    <w:numStyleLink w:val="BulletPoints"/>
  </w:abstractNum>
  <w:abstractNum w:abstractNumId="33" w15:restartNumberingAfterBreak="0">
    <w:nsid w:val="60E32581"/>
    <w:multiLevelType w:val="hybridMultilevel"/>
    <w:tmpl w:val="E5C0BB22"/>
    <w:lvl w:ilvl="0" w:tplc="058AEAB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8021C"/>
    <w:multiLevelType w:val="multilevel"/>
    <w:tmpl w:val="1FBCE51A"/>
    <w:numStyleLink w:val="BulletPoints"/>
  </w:abstractNum>
  <w:abstractNum w:abstractNumId="35" w15:restartNumberingAfterBreak="0">
    <w:nsid w:val="663F3F1A"/>
    <w:multiLevelType w:val="hybridMultilevel"/>
    <w:tmpl w:val="1C8C9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A4504D"/>
    <w:multiLevelType w:val="multilevel"/>
    <w:tmpl w:val="1FBCE51A"/>
    <w:numStyleLink w:val="BulletPoints"/>
  </w:abstractNum>
  <w:abstractNum w:abstractNumId="37" w15:restartNumberingAfterBreak="0">
    <w:nsid w:val="68683197"/>
    <w:multiLevelType w:val="multilevel"/>
    <w:tmpl w:val="1FBCE51A"/>
    <w:numStyleLink w:val="BulletPoints"/>
  </w:abstractNum>
  <w:abstractNum w:abstractNumId="38" w15:restartNumberingAfterBreak="0">
    <w:nsid w:val="6BF614DE"/>
    <w:multiLevelType w:val="hybridMultilevel"/>
    <w:tmpl w:val="BA56FC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601B0"/>
    <w:multiLevelType w:val="hybridMultilevel"/>
    <w:tmpl w:val="CC9E3F6C"/>
    <w:lvl w:ilvl="0" w:tplc="EDE05434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0" w15:restartNumberingAfterBreak="0">
    <w:nsid w:val="750807FC"/>
    <w:multiLevelType w:val="multilevel"/>
    <w:tmpl w:val="1FBCE51A"/>
    <w:styleLink w:val="BulletPoints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  <w:spacing w:val="0"/>
        <w:sz w:val="22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EC4C05"/>
    <w:multiLevelType w:val="hybridMultilevel"/>
    <w:tmpl w:val="56CC52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60C5A"/>
    <w:multiLevelType w:val="hybridMultilevel"/>
    <w:tmpl w:val="33246CAC"/>
    <w:lvl w:ilvl="0" w:tplc="4B22DD6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15"/>
  </w:num>
  <w:num w:numId="4">
    <w:abstractNumId w:val="41"/>
  </w:num>
  <w:num w:numId="5">
    <w:abstractNumId w:val="12"/>
  </w:num>
  <w:num w:numId="6">
    <w:abstractNumId w:val="16"/>
  </w:num>
  <w:num w:numId="7">
    <w:abstractNumId w:val="17"/>
  </w:num>
  <w:num w:numId="8">
    <w:abstractNumId w:val="31"/>
  </w:num>
  <w:num w:numId="9">
    <w:abstractNumId w:val="19"/>
  </w:num>
  <w:num w:numId="10">
    <w:abstractNumId w:val="38"/>
  </w:num>
  <w:num w:numId="11">
    <w:abstractNumId w:val="9"/>
  </w:num>
  <w:num w:numId="12">
    <w:abstractNumId w:val="40"/>
  </w:num>
  <w:num w:numId="13">
    <w:abstractNumId w:val="8"/>
  </w:num>
  <w:num w:numId="14">
    <w:abstractNumId w:val="7"/>
  </w:num>
  <w:num w:numId="15">
    <w:abstractNumId w:val="26"/>
  </w:num>
  <w:num w:numId="16">
    <w:abstractNumId w:val="3"/>
  </w:num>
  <w:num w:numId="17">
    <w:abstractNumId w:val="36"/>
  </w:num>
  <w:num w:numId="18">
    <w:abstractNumId w:val="1"/>
  </w:num>
  <w:num w:numId="19">
    <w:abstractNumId w:val="32"/>
  </w:num>
  <w:num w:numId="20">
    <w:abstractNumId w:val="25"/>
  </w:num>
  <w:num w:numId="21">
    <w:abstractNumId w:val="37"/>
  </w:num>
  <w:num w:numId="22">
    <w:abstractNumId w:val="10"/>
  </w:num>
  <w:num w:numId="23">
    <w:abstractNumId w:val="35"/>
  </w:num>
  <w:num w:numId="24">
    <w:abstractNumId w:val="4"/>
  </w:num>
  <w:num w:numId="25">
    <w:abstractNumId w:val="23"/>
  </w:num>
  <w:num w:numId="26">
    <w:abstractNumId w:val="6"/>
  </w:num>
  <w:num w:numId="27">
    <w:abstractNumId w:val="22"/>
  </w:num>
  <w:num w:numId="2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24"/>
  </w:num>
  <w:num w:numId="31">
    <w:abstractNumId w:val="14"/>
  </w:num>
  <w:num w:numId="32">
    <w:abstractNumId w:val="18"/>
  </w:num>
  <w:num w:numId="33">
    <w:abstractNumId w:val="2"/>
  </w:num>
  <w:num w:numId="34">
    <w:abstractNumId w:val="30"/>
  </w:num>
  <w:num w:numId="35">
    <w:abstractNumId w:val="0"/>
  </w:num>
  <w:num w:numId="36">
    <w:abstractNumId w:val="39"/>
  </w:num>
  <w:num w:numId="37">
    <w:abstractNumId w:val="33"/>
  </w:num>
  <w:num w:numId="38">
    <w:abstractNumId w:val="5"/>
  </w:num>
  <w:num w:numId="39">
    <w:abstractNumId w:val="42"/>
  </w:num>
  <w:num w:numId="40">
    <w:abstractNumId w:val="13"/>
  </w:num>
  <w:num w:numId="41">
    <w:abstractNumId w:val="21"/>
  </w:num>
  <w:num w:numId="42">
    <w:abstractNumId w:val="11"/>
  </w:num>
  <w:num w:numId="43">
    <w:abstractNumId w:val="2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NeedToUniquify" w:val="false"/>
    <w:docVar w:name="APWAFVersion" w:val="5.0"/>
  </w:docVars>
  <w:rsids>
    <w:rsidRoot w:val="004C7DE7"/>
    <w:rsid w:val="000008E2"/>
    <w:rsid w:val="00001035"/>
    <w:rsid w:val="000033FA"/>
    <w:rsid w:val="000035B6"/>
    <w:rsid w:val="00003F60"/>
    <w:rsid w:val="000048DC"/>
    <w:rsid w:val="00006E04"/>
    <w:rsid w:val="00007928"/>
    <w:rsid w:val="00011138"/>
    <w:rsid w:val="000118DF"/>
    <w:rsid w:val="000127F3"/>
    <w:rsid w:val="00012A9E"/>
    <w:rsid w:val="00013223"/>
    <w:rsid w:val="00014C63"/>
    <w:rsid w:val="000150BD"/>
    <w:rsid w:val="00015925"/>
    <w:rsid w:val="00015B77"/>
    <w:rsid w:val="000168FD"/>
    <w:rsid w:val="000173A9"/>
    <w:rsid w:val="000204B2"/>
    <w:rsid w:val="00020500"/>
    <w:rsid w:val="00023088"/>
    <w:rsid w:val="00023DC6"/>
    <w:rsid w:val="000243E0"/>
    <w:rsid w:val="00024EC9"/>
    <w:rsid w:val="00024F19"/>
    <w:rsid w:val="00024F64"/>
    <w:rsid w:val="00025BFD"/>
    <w:rsid w:val="000305AA"/>
    <w:rsid w:val="00030717"/>
    <w:rsid w:val="00031006"/>
    <w:rsid w:val="000324E2"/>
    <w:rsid w:val="00032FD1"/>
    <w:rsid w:val="00034434"/>
    <w:rsid w:val="00034928"/>
    <w:rsid w:val="00034981"/>
    <w:rsid w:val="000351AB"/>
    <w:rsid w:val="0003600B"/>
    <w:rsid w:val="0003707C"/>
    <w:rsid w:val="0003772C"/>
    <w:rsid w:val="00037D2E"/>
    <w:rsid w:val="00041423"/>
    <w:rsid w:val="00041B82"/>
    <w:rsid w:val="00044435"/>
    <w:rsid w:val="00044DD5"/>
    <w:rsid w:val="00045263"/>
    <w:rsid w:val="0004552B"/>
    <w:rsid w:val="00045D1E"/>
    <w:rsid w:val="000464A2"/>
    <w:rsid w:val="000468F8"/>
    <w:rsid w:val="000469C7"/>
    <w:rsid w:val="000513A4"/>
    <w:rsid w:val="0005147A"/>
    <w:rsid w:val="00051502"/>
    <w:rsid w:val="00051540"/>
    <w:rsid w:val="0005193B"/>
    <w:rsid w:val="00052E24"/>
    <w:rsid w:val="00053175"/>
    <w:rsid w:val="00053B77"/>
    <w:rsid w:val="00054300"/>
    <w:rsid w:val="000560EC"/>
    <w:rsid w:val="00057378"/>
    <w:rsid w:val="00057D11"/>
    <w:rsid w:val="00060972"/>
    <w:rsid w:val="0006259C"/>
    <w:rsid w:val="00062DAF"/>
    <w:rsid w:val="00062FC2"/>
    <w:rsid w:val="000633A0"/>
    <w:rsid w:val="000637EA"/>
    <w:rsid w:val="0006398D"/>
    <w:rsid w:val="00063CBE"/>
    <w:rsid w:val="00064032"/>
    <w:rsid w:val="00066FA4"/>
    <w:rsid w:val="000675EA"/>
    <w:rsid w:val="00073060"/>
    <w:rsid w:val="00074497"/>
    <w:rsid w:val="00074ABF"/>
    <w:rsid w:val="0007524F"/>
    <w:rsid w:val="000756F9"/>
    <w:rsid w:val="00077907"/>
    <w:rsid w:val="0008054D"/>
    <w:rsid w:val="00080912"/>
    <w:rsid w:val="00081FDA"/>
    <w:rsid w:val="000866A5"/>
    <w:rsid w:val="0008746E"/>
    <w:rsid w:val="00091CA7"/>
    <w:rsid w:val="00091F03"/>
    <w:rsid w:val="0009281B"/>
    <w:rsid w:val="00092B54"/>
    <w:rsid w:val="00093717"/>
    <w:rsid w:val="00094031"/>
    <w:rsid w:val="000961F2"/>
    <w:rsid w:val="00096772"/>
    <w:rsid w:val="00097984"/>
    <w:rsid w:val="00097F8E"/>
    <w:rsid w:val="000A0EB7"/>
    <w:rsid w:val="000A213E"/>
    <w:rsid w:val="000A270B"/>
    <w:rsid w:val="000A3549"/>
    <w:rsid w:val="000A50C6"/>
    <w:rsid w:val="000A59B3"/>
    <w:rsid w:val="000A5C76"/>
    <w:rsid w:val="000A6AEB"/>
    <w:rsid w:val="000A6F27"/>
    <w:rsid w:val="000A6F5B"/>
    <w:rsid w:val="000B059B"/>
    <w:rsid w:val="000B15D1"/>
    <w:rsid w:val="000B23B7"/>
    <w:rsid w:val="000B25E8"/>
    <w:rsid w:val="000B4115"/>
    <w:rsid w:val="000B46C2"/>
    <w:rsid w:val="000C0139"/>
    <w:rsid w:val="000C06E9"/>
    <w:rsid w:val="000C0735"/>
    <w:rsid w:val="000C2957"/>
    <w:rsid w:val="000C2E79"/>
    <w:rsid w:val="000C3098"/>
    <w:rsid w:val="000C3D55"/>
    <w:rsid w:val="000C3E51"/>
    <w:rsid w:val="000C4D51"/>
    <w:rsid w:val="000C4E45"/>
    <w:rsid w:val="000C534C"/>
    <w:rsid w:val="000C5D0C"/>
    <w:rsid w:val="000C6431"/>
    <w:rsid w:val="000C78BD"/>
    <w:rsid w:val="000D08D6"/>
    <w:rsid w:val="000D2ACA"/>
    <w:rsid w:val="000D32E5"/>
    <w:rsid w:val="000D357B"/>
    <w:rsid w:val="000D4CCE"/>
    <w:rsid w:val="000D5BEB"/>
    <w:rsid w:val="000D6079"/>
    <w:rsid w:val="000D6E1E"/>
    <w:rsid w:val="000E2AFB"/>
    <w:rsid w:val="000E37AB"/>
    <w:rsid w:val="000E3A98"/>
    <w:rsid w:val="000E49C3"/>
    <w:rsid w:val="000E5171"/>
    <w:rsid w:val="000E548B"/>
    <w:rsid w:val="000E75DC"/>
    <w:rsid w:val="000E7D64"/>
    <w:rsid w:val="000F0DDA"/>
    <w:rsid w:val="000F2315"/>
    <w:rsid w:val="000F2E88"/>
    <w:rsid w:val="000F3270"/>
    <w:rsid w:val="000F38AF"/>
    <w:rsid w:val="000F3D7F"/>
    <w:rsid w:val="000F47F4"/>
    <w:rsid w:val="000F6DA8"/>
    <w:rsid w:val="000F7800"/>
    <w:rsid w:val="0010060C"/>
    <w:rsid w:val="00100A21"/>
    <w:rsid w:val="0010133A"/>
    <w:rsid w:val="00101739"/>
    <w:rsid w:val="00103C6C"/>
    <w:rsid w:val="001040F0"/>
    <w:rsid w:val="00104A16"/>
    <w:rsid w:val="00106365"/>
    <w:rsid w:val="00106571"/>
    <w:rsid w:val="00106FB4"/>
    <w:rsid w:val="00110B04"/>
    <w:rsid w:val="00111B39"/>
    <w:rsid w:val="0011363B"/>
    <w:rsid w:val="00113AEE"/>
    <w:rsid w:val="00116146"/>
    <w:rsid w:val="00117DFB"/>
    <w:rsid w:val="00124134"/>
    <w:rsid w:val="0012519F"/>
    <w:rsid w:val="00125276"/>
    <w:rsid w:val="00126B4E"/>
    <w:rsid w:val="00130F2D"/>
    <w:rsid w:val="00130F44"/>
    <w:rsid w:val="00132FAE"/>
    <w:rsid w:val="0013360F"/>
    <w:rsid w:val="00133C92"/>
    <w:rsid w:val="00134166"/>
    <w:rsid w:val="0013572D"/>
    <w:rsid w:val="00136215"/>
    <w:rsid w:val="00136780"/>
    <w:rsid w:val="001374ED"/>
    <w:rsid w:val="00137BAF"/>
    <w:rsid w:val="00140587"/>
    <w:rsid w:val="00141975"/>
    <w:rsid w:val="00142ADC"/>
    <w:rsid w:val="00143391"/>
    <w:rsid w:val="001440D9"/>
    <w:rsid w:val="00145A04"/>
    <w:rsid w:val="001524E5"/>
    <w:rsid w:val="0015285B"/>
    <w:rsid w:val="0015331D"/>
    <w:rsid w:val="001533F9"/>
    <w:rsid w:val="00154092"/>
    <w:rsid w:val="001546B1"/>
    <w:rsid w:val="00154C03"/>
    <w:rsid w:val="00154EBE"/>
    <w:rsid w:val="00157EFA"/>
    <w:rsid w:val="001613A3"/>
    <w:rsid w:val="001619C5"/>
    <w:rsid w:val="00161F33"/>
    <w:rsid w:val="0016207A"/>
    <w:rsid w:val="0016293A"/>
    <w:rsid w:val="00162EAD"/>
    <w:rsid w:val="00166A4C"/>
    <w:rsid w:val="00166D01"/>
    <w:rsid w:val="0016751C"/>
    <w:rsid w:val="00167569"/>
    <w:rsid w:val="00172C3F"/>
    <w:rsid w:val="00173554"/>
    <w:rsid w:val="001739EB"/>
    <w:rsid w:val="00175143"/>
    <w:rsid w:val="0017536B"/>
    <w:rsid w:val="00180907"/>
    <w:rsid w:val="001813FA"/>
    <w:rsid w:val="0018147A"/>
    <w:rsid w:val="001820E1"/>
    <w:rsid w:val="001827D2"/>
    <w:rsid w:val="001830BB"/>
    <w:rsid w:val="00185E8F"/>
    <w:rsid w:val="00186A0E"/>
    <w:rsid w:val="00187EC7"/>
    <w:rsid w:val="00190210"/>
    <w:rsid w:val="00190967"/>
    <w:rsid w:val="001918CE"/>
    <w:rsid w:val="00191C95"/>
    <w:rsid w:val="00192097"/>
    <w:rsid w:val="00192987"/>
    <w:rsid w:val="001938E9"/>
    <w:rsid w:val="00193954"/>
    <w:rsid w:val="00194147"/>
    <w:rsid w:val="001942A3"/>
    <w:rsid w:val="00194C2D"/>
    <w:rsid w:val="00194FBB"/>
    <w:rsid w:val="001953CD"/>
    <w:rsid w:val="0019559B"/>
    <w:rsid w:val="00195F3E"/>
    <w:rsid w:val="00197D7F"/>
    <w:rsid w:val="001A3467"/>
    <w:rsid w:val="001A3E83"/>
    <w:rsid w:val="001A4A0C"/>
    <w:rsid w:val="001A4BC7"/>
    <w:rsid w:val="001A5A2A"/>
    <w:rsid w:val="001A5ADF"/>
    <w:rsid w:val="001A5F41"/>
    <w:rsid w:val="001A64FF"/>
    <w:rsid w:val="001A6C88"/>
    <w:rsid w:val="001A6D93"/>
    <w:rsid w:val="001A72A0"/>
    <w:rsid w:val="001A7BD3"/>
    <w:rsid w:val="001B229F"/>
    <w:rsid w:val="001B2C22"/>
    <w:rsid w:val="001B5616"/>
    <w:rsid w:val="001B5878"/>
    <w:rsid w:val="001B73A8"/>
    <w:rsid w:val="001C0447"/>
    <w:rsid w:val="001C0B1C"/>
    <w:rsid w:val="001C16C0"/>
    <w:rsid w:val="001C22F4"/>
    <w:rsid w:val="001C2CA4"/>
    <w:rsid w:val="001C6F0F"/>
    <w:rsid w:val="001C7CD7"/>
    <w:rsid w:val="001D1385"/>
    <w:rsid w:val="001D1757"/>
    <w:rsid w:val="001D2350"/>
    <w:rsid w:val="001D35E6"/>
    <w:rsid w:val="001D4CE6"/>
    <w:rsid w:val="001D4E42"/>
    <w:rsid w:val="001D53CF"/>
    <w:rsid w:val="001D6110"/>
    <w:rsid w:val="001D62B4"/>
    <w:rsid w:val="001D6608"/>
    <w:rsid w:val="001D6B5D"/>
    <w:rsid w:val="001D74FA"/>
    <w:rsid w:val="001D76F0"/>
    <w:rsid w:val="001D7B49"/>
    <w:rsid w:val="001E0DBA"/>
    <w:rsid w:val="001E193F"/>
    <w:rsid w:val="001E36A9"/>
    <w:rsid w:val="001E4A6F"/>
    <w:rsid w:val="001E6E32"/>
    <w:rsid w:val="001E7ADA"/>
    <w:rsid w:val="001F0639"/>
    <w:rsid w:val="001F138E"/>
    <w:rsid w:val="001F1CF7"/>
    <w:rsid w:val="001F3452"/>
    <w:rsid w:val="001F5D07"/>
    <w:rsid w:val="001F7E59"/>
    <w:rsid w:val="00200106"/>
    <w:rsid w:val="00200E8D"/>
    <w:rsid w:val="00201E0D"/>
    <w:rsid w:val="002027BE"/>
    <w:rsid w:val="00204040"/>
    <w:rsid w:val="00206CC1"/>
    <w:rsid w:val="00206EF0"/>
    <w:rsid w:val="00207A31"/>
    <w:rsid w:val="00207DD5"/>
    <w:rsid w:val="00207E27"/>
    <w:rsid w:val="00213CE2"/>
    <w:rsid w:val="00214922"/>
    <w:rsid w:val="00215714"/>
    <w:rsid w:val="00215C1A"/>
    <w:rsid w:val="002164C2"/>
    <w:rsid w:val="00220BF6"/>
    <w:rsid w:val="00222466"/>
    <w:rsid w:val="0022486D"/>
    <w:rsid w:val="002301BD"/>
    <w:rsid w:val="00230E9C"/>
    <w:rsid w:val="00230EAD"/>
    <w:rsid w:val="002312F9"/>
    <w:rsid w:val="00231DE8"/>
    <w:rsid w:val="002334C6"/>
    <w:rsid w:val="0023351E"/>
    <w:rsid w:val="00233FE9"/>
    <w:rsid w:val="00234DCB"/>
    <w:rsid w:val="00237CB1"/>
    <w:rsid w:val="00241597"/>
    <w:rsid w:val="0024193D"/>
    <w:rsid w:val="0024196A"/>
    <w:rsid w:val="00241A22"/>
    <w:rsid w:val="00243164"/>
    <w:rsid w:val="00244253"/>
    <w:rsid w:val="002442BE"/>
    <w:rsid w:val="002446FF"/>
    <w:rsid w:val="00244BF2"/>
    <w:rsid w:val="00245787"/>
    <w:rsid w:val="00246E78"/>
    <w:rsid w:val="0024797C"/>
    <w:rsid w:val="00250DAF"/>
    <w:rsid w:val="002511AB"/>
    <w:rsid w:val="0025176D"/>
    <w:rsid w:val="00252094"/>
    <w:rsid w:val="00252399"/>
    <w:rsid w:val="00252951"/>
    <w:rsid w:val="00253E13"/>
    <w:rsid w:val="00253FB0"/>
    <w:rsid w:val="00256601"/>
    <w:rsid w:val="00261683"/>
    <w:rsid w:val="0026207C"/>
    <w:rsid w:val="00262118"/>
    <w:rsid w:val="0026315A"/>
    <w:rsid w:val="002636E9"/>
    <w:rsid w:val="00266247"/>
    <w:rsid w:val="00270551"/>
    <w:rsid w:val="00270995"/>
    <w:rsid w:val="00271152"/>
    <w:rsid w:val="002718C1"/>
    <w:rsid w:val="0027453C"/>
    <w:rsid w:val="002753D8"/>
    <w:rsid w:val="0027637C"/>
    <w:rsid w:val="00276564"/>
    <w:rsid w:val="00277648"/>
    <w:rsid w:val="00277953"/>
    <w:rsid w:val="00282969"/>
    <w:rsid w:val="00282C1E"/>
    <w:rsid w:val="002839EA"/>
    <w:rsid w:val="00285D30"/>
    <w:rsid w:val="0028764E"/>
    <w:rsid w:val="0028774F"/>
    <w:rsid w:val="002918BE"/>
    <w:rsid w:val="00291C3F"/>
    <w:rsid w:val="00292FA5"/>
    <w:rsid w:val="00293AA6"/>
    <w:rsid w:val="00293C59"/>
    <w:rsid w:val="00293E59"/>
    <w:rsid w:val="00293FDB"/>
    <w:rsid w:val="00294038"/>
    <w:rsid w:val="00294A3F"/>
    <w:rsid w:val="00294C84"/>
    <w:rsid w:val="00297D60"/>
    <w:rsid w:val="002A05AB"/>
    <w:rsid w:val="002A0690"/>
    <w:rsid w:val="002A0C6D"/>
    <w:rsid w:val="002A14B3"/>
    <w:rsid w:val="002A1F7D"/>
    <w:rsid w:val="002A1FC1"/>
    <w:rsid w:val="002A26E9"/>
    <w:rsid w:val="002A3AC7"/>
    <w:rsid w:val="002A3DE0"/>
    <w:rsid w:val="002A41B6"/>
    <w:rsid w:val="002A43D4"/>
    <w:rsid w:val="002A53D5"/>
    <w:rsid w:val="002A5CB2"/>
    <w:rsid w:val="002A66C9"/>
    <w:rsid w:val="002A73FC"/>
    <w:rsid w:val="002A7CD1"/>
    <w:rsid w:val="002B07EA"/>
    <w:rsid w:val="002B0DB5"/>
    <w:rsid w:val="002B2122"/>
    <w:rsid w:val="002B2469"/>
    <w:rsid w:val="002B4512"/>
    <w:rsid w:val="002B490F"/>
    <w:rsid w:val="002B50F2"/>
    <w:rsid w:val="002B52BF"/>
    <w:rsid w:val="002B5820"/>
    <w:rsid w:val="002B6B47"/>
    <w:rsid w:val="002C11D0"/>
    <w:rsid w:val="002C138C"/>
    <w:rsid w:val="002C1CF7"/>
    <w:rsid w:val="002C2CCF"/>
    <w:rsid w:val="002C3540"/>
    <w:rsid w:val="002C3C8B"/>
    <w:rsid w:val="002C3CF3"/>
    <w:rsid w:val="002C4A6F"/>
    <w:rsid w:val="002C5178"/>
    <w:rsid w:val="002C73AA"/>
    <w:rsid w:val="002D0099"/>
    <w:rsid w:val="002D1437"/>
    <w:rsid w:val="002D31FF"/>
    <w:rsid w:val="002D41C2"/>
    <w:rsid w:val="002D48E4"/>
    <w:rsid w:val="002D72BA"/>
    <w:rsid w:val="002E0F6A"/>
    <w:rsid w:val="002E1DE7"/>
    <w:rsid w:val="002E2E9A"/>
    <w:rsid w:val="002E2F3E"/>
    <w:rsid w:val="002E3DA2"/>
    <w:rsid w:val="002E42BC"/>
    <w:rsid w:val="002E4353"/>
    <w:rsid w:val="002E6CA5"/>
    <w:rsid w:val="002E6EAA"/>
    <w:rsid w:val="002F0426"/>
    <w:rsid w:val="002F047F"/>
    <w:rsid w:val="002F07E0"/>
    <w:rsid w:val="002F1534"/>
    <w:rsid w:val="002F156B"/>
    <w:rsid w:val="002F1A15"/>
    <w:rsid w:val="002F1E7D"/>
    <w:rsid w:val="002F227D"/>
    <w:rsid w:val="002F69FA"/>
    <w:rsid w:val="002F7099"/>
    <w:rsid w:val="0030012E"/>
    <w:rsid w:val="00301A7E"/>
    <w:rsid w:val="00302A9A"/>
    <w:rsid w:val="00303884"/>
    <w:rsid w:val="00304243"/>
    <w:rsid w:val="0030741C"/>
    <w:rsid w:val="00307E61"/>
    <w:rsid w:val="00307FB3"/>
    <w:rsid w:val="00313D4A"/>
    <w:rsid w:val="0031627A"/>
    <w:rsid w:val="00316AAB"/>
    <w:rsid w:val="00316D9D"/>
    <w:rsid w:val="003207A1"/>
    <w:rsid w:val="00320BEA"/>
    <w:rsid w:val="00321303"/>
    <w:rsid w:val="00322A0D"/>
    <w:rsid w:val="003231B8"/>
    <w:rsid w:val="00323F87"/>
    <w:rsid w:val="00324FD1"/>
    <w:rsid w:val="0032578E"/>
    <w:rsid w:val="003257C4"/>
    <w:rsid w:val="00325D5C"/>
    <w:rsid w:val="003267D1"/>
    <w:rsid w:val="00326EA3"/>
    <w:rsid w:val="003274FE"/>
    <w:rsid w:val="00330343"/>
    <w:rsid w:val="00330B1D"/>
    <w:rsid w:val="00331582"/>
    <w:rsid w:val="00331C4C"/>
    <w:rsid w:val="00331D3A"/>
    <w:rsid w:val="00333E10"/>
    <w:rsid w:val="00334D21"/>
    <w:rsid w:val="003352DD"/>
    <w:rsid w:val="00335781"/>
    <w:rsid w:val="0033639B"/>
    <w:rsid w:val="00340ACF"/>
    <w:rsid w:val="00341044"/>
    <w:rsid w:val="0034279E"/>
    <w:rsid w:val="0034357A"/>
    <w:rsid w:val="003439A1"/>
    <w:rsid w:val="00343BE1"/>
    <w:rsid w:val="00343EF0"/>
    <w:rsid w:val="00344A36"/>
    <w:rsid w:val="00345241"/>
    <w:rsid w:val="00345E3C"/>
    <w:rsid w:val="00346039"/>
    <w:rsid w:val="0034607B"/>
    <w:rsid w:val="00347426"/>
    <w:rsid w:val="00351779"/>
    <w:rsid w:val="00351C80"/>
    <w:rsid w:val="0035229A"/>
    <w:rsid w:val="00354D15"/>
    <w:rsid w:val="00355314"/>
    <w:rsid w:val="003553F2"/>
    <w:rsid w:val="0035553C"/>
    <w:rsid w:val="003600A7"/>
    <w:rsid w:val="00362564"/>
    <w:rsid w:val="00362AF8"/>
    <w:rsid w:val="00362F97"/>
    <w:rsid w:val="003630D2"/>
    <w:rsid w:val="00363D06"/>
    <w:rsid w:val="00363D49"/>
    <w:rsid w:val="00363E2D"/>
    <w:rsid w:val="00365CB5"/>
    <w:rsid w:val="003672AD"/>
    <w:rsid w:val="00370766"/>
    <w:rsid w:val="0037112D"/>
    <w:rsid w:val="003715AF"/>
    <w:rsid w:val="00373B5C"/>
    <w:rsid w:val="00375262"/>
    <w:rsid w:val="00375C49"/>
    <w:rsid w:val="003771C5"/>
    <w:rsid w:val="00377944"/>
    <w:rsid w:val="0038060A"/>
    <w:rsid w:val="003809F1"/>
    <w:rsid w:val="00380F71"/>
    <w:rsid w:val="003810FD"/>
    <w:rsid w:val="003837EC"/>
    <w:rsid w:val="003850E3"/>
    <w:rsid w:val="00387039"/>
    <w:rsid w:val="00387259"/>
    <w:rsid w:val="0039030A"/>
    <w:rsid w:val="00390F2B"/>
    <w:rsid w:val="00392029"/>
    <w:rsid w:val="003924CF"/>
    <w:rsid w:val="00393293"/>
    <w:rsid w:val="0039419C"/>
    <w:rsid w:val="00395EFE"/>
    <w:rsid w:val="00396F19"/>
    <w:rsid w:val="00397DD0"/>
    <w:rsid w:val="003A0D5E"/>
    <w:rsid w:val="003A1ECE"/>
    <w:rsid w:val="003A24F7"/>
    <w:rsid w:val="003A4744"/>
    <w:rsid w:val="003A74C7"/>
    <w:rsid w:val="003A77D3"/>
    <w:rsid w:val="003A793C"/>
    <w:rsid w:val="003A7E80"/>
    <w:rsid w:val="003B07AD"/>
    <w:rsid w:val="003B25C1"/>
    <w:rsid w:val="003B2A76"/>
    <w:rsid w:val="003B3AB2"/>
    <w:rsid w:val="003B3EAD"/>
    <w:rsid w:val="003B4366"/>
    <w:rsid w:val="003B5862"/>
    <w:rsid w:val="003B5E4A"/>
    <w:rsid w:val="003B73B3"/>
    <w:rsid w:val="003B7518"/>
    <w:rsid w:val="003C0810"/>
    <w:rsid w:val="003C1551"/>
    <w:rsid w:val="003C1684"/>
    <w:rsid w:val="003C2B26"/>
    <w:rsid w:val="003C2C86"/>
    <w:rsid w:val="003C2D30"/>
    <w:rsid w:val="003C4636"/>
    <w:rsid w:val="003C53D3"/>
    <w:rsid w:val="003C59F1"/>
    <w:rsid w:val="003C7A5D"/>
    <w:rsid w:val="003C7DCD"/>
    <w:rsid w:val="003D2006"/>
    <w:rsid w:val="003D43F9"/>
    <w:rsid w:val="003D4B4A"/>
    <w:rsid w:val="003D4EB5"/>
    <w:rsid w:val="003D67B6"/>
    <w:rsid w:val="003D6AE7"/>
    <w:rsid w:val="003E0817"/>
    <w:rsid w:val="003E0CE2"/>
    <w:rsid w:val="003E264B"/>
    <w:rsid w:val="003E30A5"/>
    <w:rsid w:val="003E4982"/>
    <w:rsid w:val="003E4DFD"/>
    <w:rsid w:val="003E5096"/>
    <w:rsid w:val="003E5366"/>
    <w:rsid w:val="003E5B56"/>
    <w:rsid w:val="003E6CDB"/>
    <w:rsid w:val="003F025B"/>
    <w:rsid w:val="003F129C"/>
    <w:rsid w:val="003F1C7F"/>
    <w:rsid w:val="003F1E37"/>
    <w:rsid w:val="003F2FB2"/>
    <w:rsid w:val="003F3054"/>
    <w:rsid w:val="003F4F26"/>
    <w:rsid w:val="003F51E3"/>
    <w:rsid w:val="00403808"/>
    <w:rsid w:val="004050B2"/>
    <w:rsid w:val="0040562D"/>
    <w:rsid w:val="00406DC8"/>
    <w:rsid w:val="00406EF4"/>
    <w:rsid w:val="00407A1D"/>
    <w:rsid w:val="00410225"/>
    <w:rsid w:val="00411B50"/>
    <w:rsid w:val="004125C9"/>
    <w:rsid w:val="004176E2"/>
    <w:rsid w:val="00420486"/>
    <w:rsid w:val="00423AB8"/>
    <w:rsid w:val="004256AA"/>
    <w:rsid w:val="00425DBF"/>
    <w:rsid w:val="00427FDE"/>
    <w:rsid w:val="00430097"/>
    <w:rsid w:val="004300A6"/>
    <w:rsid w:val="00431F0F"/>
    <w:rsid w:val="00432317"/>
    <w:rsid w:val="0043425E"/>
    <w:rsid w:val="00434815"/>
    <w:rsid w:val="00434E5B"/>
    <w:rsid w:val="0043519F"/>
    <w:rsid w:val="00435874"/>
    <w:rsid w:val="00437E17"/>
    <w:rsid w:val="004403AD"/>
    <w:rsid w:val="004405F4"/>
    <w:rsid w:val="0044418D"/>
    <w:rsid w:val="0044483F"/>
    <w:rsid w:val="004448A0"/>
    <w:rsid w:val="00444B57"/>
    <w:rsid w:val="00444C4E"/>
    <w:rsid w:val="00444F9A"/>
    <w:rsid w:val="00445BEA"/>
    <w:rsid w:val="00446C28"/>
    <w:rsid w:val="00446F6F"/>
    <w:rsid w:val="00447910"/>
    <w:rsid w:val="00447E65"/>
    <w:rsid w:val="0045356E"/>
    <w:rsid w:val="004539F6"/>
    <w:rsid w:val="00453EC3"/>
    <w:rsid w:val="004546CF"/>
    <w:rsid w:val="004562AE"/>
    <w:rsid w:val="0045677B"/>
    <w:rsid w:val="00456AD0"/>
    <w:rsid w:val="00457409"/>
    <w:rsid w:val="00457B04"/>
    <w:rsid w:val="004609B0"/>
    <w:rsid w:val="00460A5A"/>
    <w:rsid w:val="004616E9"/>
    <w:rsid w:val="00461C51"/>
    <w:rsid w:val="00462E50"/>
    <w:rsid w:val="00464263"/>
    <w:rsid w:val="00464651"/>
    <w:rsid w:val="00464EDD"/>
    <w:rsid w:val="0046659C"/>
    <w:rsid w:val="00466F52"/>
    <w:rsid w:val="00467049"/>
    <w:rsid w:val="00470FC7"/>
    <w:rsid w:val="0047143A"/>
    <w:rsid w:val="004734B9"/>
    <w:rsid w:val="00474F1F"/>
    <w:rsid w:val="00476B72"/>
    <w:rsid w:val="00476C58"/>
    <w:rsid w:val="00480FF5"/>
    <w:rsid w:val="004812C1"/>
    <w:rsid w:val="0048393A"/>
    <w:rsid w:val="00483D6D"/>
    <w:rsid w:val="0048492A"/>
    <w:rsid w:val="004854C7"/>
    <w:rsid w:val="00485B69"/>
    <w:rsid w:val="00486335"/>
    <w:rsid w:val="00486FAD"/>
    <w:rsid w:val="0048706E"/>
    <w:rsid w:val="004870A9"/>
    <w:rsid w:val="00487F4A"/>
    <w:rsid w:val="00490FA5"/>
    <w:rsid w:val="004923C3"/>
    <w:rsid w:val="00493635"/>
    <w:rsid w:val="004969DF"/>
    <w:rsid w:val="004A21F8"/>
    <w:rsid w:val="004A2F52"/>
    <w:rsid w:val="004A7A7C"/>
    <w:rsid w:val="004B2535"/>
    <w:rsid w:val="004B3FDD"/>
    <w:rsid w:val="004B474E"/>
    <w:rsid w:val="004B4B77"/>
    <w:rsid w:val="004B75BF"/>
    <w:rsid w:val="004C0DBC"/>
    <w:rsid w:val="004C1192"/>
    <w:rsid w:val="004C3B4B"/>
    <w:rsid w:val="004C4ADF"/>
    <w:rsid w:val="004C4BD6"/>
    <w:rsid w:val="004C52E1"/>
    <w:rsid w:val="004C7DE7"/>
    <w:rsid w:val="004D109C"/>
    <w:rsid w:val="004D3A58"/>
    <w:rsid w:val="004D414E"/>
    <w:rsid w:val="004D6AC1"/>
    <w:rsid w:val="004D6B93"/>
    <w:rsid w:val="004D75B3"/>
    <w:rsid w:val="004D769E"/>
    <w:rsid w:val="004D77AA"/>
    <w:rsid w:val="004E02AC"/>
    <w:rsid w:val="004E05A9"/>
    <w:rsid w:val="004E1855"/>
    <w:rsid w:val="004E18C8"/>
    <w:rsid w:val="004E4F67"/>
    <w:rsid w:val="004E54B4"/>
    <w:rsid w:val="004E6241"/>
    <w:rsid w:val="004E6580"/>
    <w:rsid w:val="004E67DA"/>
    <w:rsid w:val="004E7E92"/>
    <w:rsid w:val="004F00DA"/>
    <w:rsid w:val="004F00F2"/>
    <w:rsid w:val="004F039C"/>
    <w:rsid w:val="004F27DF"/>
    <w:rsid w:val="004F2886"/>
    <w:rsid w:val="004F3046"/>
    <w:rsid w:val="004F3B45"/>
    <w:rsid w:val="004F5205"/>
    <w:rsid w:val="004F6057"/>
    <w:rsid w:val="004F6251"/>
    <w:rsid w:val="004F629B"/>
    <w:rsid w:val="004F7045"/>
    <w:rsid w:val="004F7D92"/>
    <w:rsid w:val="00501339"/>
    <w:rsid w:val="005034C2"/>
    <w:rsid w:val="005046A5"/>
    <w:rsid w:val="005047C6"/>
    <w:rsid w:val="00505665"/>
    <w:rsid w:val="00506528"/>
    <w:rsid w:val="00506DF6"/>
    <w:rsid w:val="00506F52"/>
    <w:rsid w:val="005079DE"/>
    <w:rsid w:val="00507C3D"/>
    <w:rsid w:val="00512324"/>
    <w:rsid w:val="00515130"/>
    <w:rsid w:val="00515D3D"/>
    <w:rsid w:val="00517767"/>
    <w:rsid w:val="00517A26"/>
    <w:rsid w:val="0052018F"/>
    <w:rsid w:val="00520CF3"/>
    <w:rsid w:val="0052198F"/>
    <w:rsid w:val="005220C5"/>
    <w:rsid w:val="0052236C"/>
    <w:rsid w:val="005230CE"/>
    <w:rsid w:val="0052505E"/>
    <w:rsid w:val="00525C2A"/>
    <w:rsid w:val="00525C47"/>
    <w:rsid w:val="00530235"/>
    <w:rsid w:val="005304EE"/>
    <w:rsid w:val="005307E0"/>
    <w:rsid w:val="00531540"/>
    <w:rsid w:val="00533071"/>
    <w:rsid w:val="005335A9"/>
    <w:rsid w:val="00536F5D"/>
    <w:rsid w:val="005405E4"/>
    <w:rsid w:val="00541583"/>
    <w:rsid w:val="00541B05"/>
    <w:rsid w:val="0054287E"/>
    <w:rsid w:val="0054435B"/>
    <w:rsid w:val="00544B39"/>
    <w:rsid w:val="005462FB"/>
    <w:rsid w:val="00546FAB"/>
    <w:rsid w:val="00551262"/>
    <w:rsid w:val="00551D89"/>
    <w:rsid w:val="00551DD8"/>
    <w:rsid w:val="00552DDA"/>
    <w:rsid w:val="00552EF9"/>
    <w:rsid w:val="005536EC"/>
    <w:rsid w:val="0055464B"/>
    <w:rsid w:val="0055564B"/>
    <w:rsid w:val="00556A2B"/>
    <w:rsid w:val="00556F1A"/>
    <w:rsid w:val="0055705C"/>
    <w:rsid w:val="005572D1"/>
    <w:rsid w:val="005620C5"/>
    <w:rsid w:val="0056236C"/>
    <w:rsid w:val="005634A2"/>
    <w:rsid w:val="005659DE"/>
    <w:rsid w:val="005660BE"/>
    <w:rsid w:val="0056635D"/>
    <w:rsid w:val="0057037C"/>
    <w:rsid w:val="0057142D"/>
    <w:rsid w:val="00573714"/>
    <w:rsid w:val="00573CF6"/>
    <w:rsid w:val="00573DAA"/>
    <w:rsid w:val="00573F0C"/>
    <w:rsid w:val="00575F9D"/>
    <w:rsid w:val="0058056F"/>
    <w:rsid w:val="00581542"/>
    <w:rsid w:val="00581C04"/>
    <w:rsid w:val="00582E57"/>
    <w:rsid w:val="005834F4"/>
    <w:rsid w:val="00584257"/>
    <w:rsid w:val="0058627D"/>
    <w:rsid w:val="00590995"/>
    <w:rsid w:val="00591EC8"/>
    <w:rsid w:val="00591EE3"/>
    <w:rsid w:val="00593621"/>
    <w:rsid w:val="00593804"/>
    <w:rsid w:val="00594CE5"/>
    <w:rsid w:val="005961AA"/>
    <w:rsid w:val="00597143"/>
    <w:rsid w:val="005A0E24"/>
    <w:rsid w:val="005A1068"/>
    <w:rsid w:val="005A1AD4"/>
    <w:rsid w:val="005A1E24"/>
    <w:rsid w:val="005A3930"/>
    <w:rsid w:val="005A3DC5"/>
    <w:rsid w:val="005A5507"/>
    <w:rsid w:val="005A57CD"/>
    <w:rsid w:val="005A612A"/>
    <w:rsid w:val="005A6721"/>
    <w:rsid w:val="005A7126"/>
    <w:rsid w:val="005A7ECC"/>
    <w:rsid w:val="005B134A"/>
    <w:rsid w:val="005B23CE"/>
    <w:rsid w:val="005B38A3"/>
    <w:rsid w:val="005B64F3"/>
    <w:rsid w:val="005C0F22"/>
    <w:rsid w:val="005C1B9A"/>
    <w:rsid w:val="005C34DB"/>
    <w:rsid w:val="005C534C"/>
    <w:rsid w:val="005C767D"/>
    <w:rsid w:val="005C7F7F"/>
    <w:rsid w:val="005D1639"/>
    <w:rsid w:val="005D29E8"/>
    <w:rsid w:val="005D4ACE"/>
    <w:rsid w:val="005D5144"/>
    <w:rsid w:val="005D696A"/>
    <w:rsid w:val="005D6AAA"/>
    <w:rsid w:val="005D6F8E"/>
    <w:rsid w:val="005D7952"/>
    <w:rsid w:val="005D7B1B"/>
    <w:rsid w:val="005E44F0"/>
    <w:rsid w:val="005E4ACB"/>
    <w:rsid w:val="005E4F21"/>
    <w:rsid w:val="005E54E3"/>
    <w:rsid w:val="005F0A3B"/>
    <w:rsid w:val="005F1229"/>
    <w:rsid w:val="005F1839"/>
    <w:rsid w:val="005F32AE"/>
    <w:rsid w:val="005F6015"/>
    <w:rsid w:val="005F6BE6"/>
    <w:rsid w:val="005F7287"/>
    <w:rsid w:val="0060176B"/>
    <w:rsid w:val="0060323A"/>
    <w:rsid w:val="00603E4B"/>
    <w:rsid w:val="00604D28"/>
    <w:rsid w:val="0060673D"/>
    <w:rsid w:val="006103EC"/>
    <w:rsid w:val="00610E25"/>
    <w:rsid w:val="00610FAB"/>
    <w:rsid w:val="00611FD9"/>
    <w:rsid w:val="00612A42"/>
    <w:rsid w:val="00613365"/>
    <w:rsid w:val="00613874"/>
    <w:rsid w:val="00614BB4"/>
    <w:rsid w:val="00614BDE"/>
    <w:rsid w:val="00615A51"/>
    <w:rsid w:val="006165F3"/>
    <w:rsid w:val="00620CB4"/>
    <w:rsid w:val="00621195"/>
    <w:rsid w:val="0062203B"/>
    <w:rsid w:val="006234A8"/>
    <w:rsid w:val="006235D5"/>
    <w:rsid w:val="0062360D"/>
    <w:rsid w:val="00623E20"/>
    <w:rsid w:val="006247A3"/>
    <w:rsid w:val="00624FB2"/>
    <w:rsid w:val="00626F2A"/>
    <w:rsid w:val="00627737"/>
    <w:rsid w:val="00630EC7"/>
    <w:rsid w:val="00631A09"/>
    <w:rsid w:val="00631B23"/>
    <w:rsid w:val="00632107"/>
    <w:rsid w:val="00632243"/>
    <w:rsid w:val="00633084"/>
    <w:rsid w:val="00634806"/>
    <w:rsid w:val="0063494E"/>
    <w:rsid w:val="00634A3D"/>
    <w:rsid w:val="006365E1"/>
    <w:rsid w:val="00636F8E"/>
    <w:rsid w:val="00637545"/>
    <w:rsid w:val="00640034"/>
    <w:rsid w:val="00640473"/>
    <w:rsid w:val="006416DA"/>
    <w:rsid w:val="0064262E"/>
    <w:rsid w:val="0064311C"/>
    <w:rsid w:val="006437BC"/>
    <w:rsid w:val="00644F73"/>
    <w:rsid w:val="00645524"/>
    <w:rsid w:val="00645DB8"/>
    <w:rsid w:val="00646DE8"/>
    <w:rsid w:val="0064707E"/>
    <w:rsid w:val="00647304"/>
    <w:rsid w:val="006479D1"/>
    <w:rsid w:val="00650420"/>
    <w:rsid w:val="00650741"/>
    <w:rsid w:val="0065204A"/>
    <w:rsid w:val="006528BA"/>
    <w:rsid w:val="00652C25"/>
    <w:rsid w:val="00652E3C"/>
    <w:rsid w:val="00653AAE"/>
    <w:rsid w:val="00653EC3"/>
    <w:rsid w:val="00654568"/>
    <w:rsid w:val="00654B31"/>
    <w:rsid w:val="00656C1A"/>
    <w:rsid w:val="00657B4E"/>
    <w:rsid w:val="00657F64"/>
    <w:rsid w:val="006614C2"/>
    <w:rsid w:val="006620FE"/>
    <w:rsid w:val="00662855"/>
    <w:rsid w:val="006634D0"/>
    <w:rsid w:val="0066393E"/>
    <w:rsid w:val="00663BB9"/>
    <w:rsid w:val="00665D70"/>
    <w:rsid w:val="00666001"/>
    <w:rsid w:val="006675A0"/>
    <w:rsid w:val="00672320"/>
    <w:rsid w:val="00672B4D"/>
    <w:rsid w:val="006738F1"/>
    <w:rsid w:val="00673B80"/>
    <w:rsid w:val="00675A53"/>
    <w:rsid w:val="006771EF"/>
    <w:rsid w:val="006816C7"/>
    <w:rsid w:val="006825C7"/>
    <w:rsid w:val="006825EB"/>
    <w:rsid w:val="0068344F"/>
    <w:rsid w:val="006842B5"/>
    <w:rsid w:val="00686E81"/>
    <w:rsid w:val="00686F0E"/>
    <w:rsid w:val="0069138D"/>
    <w:rsid w:val="00691B6D"/>
    <w:rsid w:val="006924DD"/>
    <w:rsid w:val="00692BAC"/>
    <w:rsid w:val="00693ECF"/>
    <w:rsid w:val="00694EE5"/>
    <w:rsid w:val="006952B5"/>
    <w:rsid w:val="006955D2"/>
    <w:rsid w:val="00697235"/>
    <w:rsid w:val="006A09D9"/>
    <w:rsid w:val="006A1391"/>
    <w:rsid w:val="006A34B9"/>
    <w:rsid w:val="006A3518"/>
    <w:rsid w:val="006A3CEB"/>
    <w:rsid w:val="006A4579"/>
    <w:rsid w:val="006A7EF7"/>
    <w:rsid w:val="006B000B"/>
    <w:rsid w:val="006B0B54"/>
    <w:rsid w:val="006B11CC"/>
    <w:rsid w:val="006B1461"/>
    <w:rsid w:val="006B1EE3"/>
    <w:rsid w:val="006B33CF"/>
    <w:rsid w:val="006B483E"/>
    <w:rsid w:val="006B4D08"/>
    <w:rsid w:val="006B6B8C"/>
    <w:rsid w:val="006B718C"/>
    <w:rsid w:val="006C374D"/>
    <w:rsid w:val="006C4354"/>
    <w:rsid w:val="006D0A67"/>
    <w:rsid w:val="006D1145"/>
    <w:rsid w:val="006D45BC"/>
    <w:rsid w:val="006D530E"/>
    <w:rsid w:val="006E14F1"/>
    <w:rsid w:val="006E20CD"/>
    <w:rsid w:val="006E2B5E"/>
    <w:rsid w:val="006E2D40"/>
    <w:rsid w:val="006E2E93"/>
    <w:rsid w:val="006E368C"/>
    <w:rsid w:val="006E3AF4"/>
    <w:rsid w:val="006E40EA"/>
    <w:rsid w:val="006E4BAB"/>
    <w:rsid w:val="006E6677"/>
    <w:rsid w:val="006E7272"/>
    <w:rsid w:val="006E76B7"/>
    <w:rsid w:val="006F0224"/>
    <w:rsid w:val="006F0D55"/>
    <w:rsid w:val="006F1C63"/>
    <w:rsid w:val="006F2F48"/>
    <w:rsid w:val="006F555E"/>
    <w:rsid w:val="006F707A"/>
    <w:rsid w:val="00700B3F"/>
    <w:rsid w:val="00700DED"/>
    <w:rsid w:val="00701264"/>
    <w:rsid w:val="007038E8"/>
    <w:rsid w:val="007052B5"/>
    <w:rsid w:val="007052ED"/>
    <w:rsid w:val="00705D70"/>
    <w:rsid w:val="007066CE"/>
    <w:rsid w:val="00706DCD"/>
    <w:rsid w:val="00706F98"/>
    <w:rsid w:val="0070736A"/>
    <w:rsid w:val="00707EB8"/>
    <w:rsid w:val="0071137F"/>
    <w:rsid w:val="00711CCA"/>
    <w:rsid w:val="00712246"/>
    <w:rsid w:val="00714A3C"/>
    <w:rsid w:val="0071646A"/>
    <w:rsid w:val="007168BF"/>
    <w:rsid w:val="00716996"/>
    <w:rsid w:val="00716C65"/>
    <w:rsid w:val="00720257"/>
    <w:rsid w:val="00721791"/>
    <w:rsid w:val="00724302"/>
    <w:rsid w:val="00724B7B"/>
    <w:rsid w:val="00724D60"/>
    <w:rsid w:val="00725F28"/>
    <w:rsid w:val="0072602F"/>
    <w:rsid w:val="007269E3"/>
    <w:rsid w:val="007302CB"/>
    <w:rsid w:val="00733205"/>
    <w:rsid w:val="00733FAC"/>
    <w:rsid w:val="00735505"/>
    <w:rsid w:val="0073714B"/>
    <w:rsid w:val="0073784E"/>
    <w:rsid w:val="00741369"/>
    <w:rsid w:val="00742814"/>
    <w:rsid w:val="007435A8"/>
    <w:rsid w:val="00743C04"/>
    <w:rsid w:val="007445EE"/>
    <w:rsid w:val="00744F4F"/>
    <w:rsid w:val="00746ADC"/>
    <w:rsid w:val="00747662"/>
    <w:rsid w:val="00747D1B"/>
    <w:rsid w:val="00750305"/>
    <w:rsid w:val="0075321E"/>
    <w:rsid w:val="00753DF6"/>
    <w:rsid w:val="0075433C"/>
    <w:rsid w:val="007544FE"/>
    <w:rsid w:val="007546B4"/>
    <w:rsid w:val="00754CBA"/>
    <w:rsid w:val="007551C7"/>
    <w:rsid w:val="007553CE"/>
    <w:rsid w:val="00755556"/>
    <w:rsid w:val="007555F7"/>
    <w:rsid w:val="00756FF8"/>
    <w:rsid w:val="00757F7E"/>
    <w:rsid w:val="00760E75"/>
    <w:rsid w:val="00761333"/>
    <w:rsid w:val="00762AF8"/>
    <w:rsid w:val="00762F49"/>
    <w:rsid w:val="0076304F"/>
    <w:rsid w:val="00763160"/>
    <w:rsid w:val="007632AA"/>
    <w:rsid w:val="007638BA"/>
    <w:rsid w:val="00766181"/>
    <w:rsid w:val="007665AF"/>
    <w:rsid w:val="007670E0"/>
    <w:rsid w:val="00767345"/>
    <w:rsid w:val="007674AA"/>
    <w:rsid w:val="00770000"/>
    <w:rsid w:val="007706CE"/>
    <w:rsid w:val="00770B09"/>
    <w:rsid w:val="00770BE9"/>
    <w:rsid w:val="0077175B"/>
    <w:rsid w:val="00771B03"/>
    <w:rsid w:val="007728C6"/>
    <w:rsid w:val="00772F66"/>
    <w:rsid w:val="0077433F"/>
    <w:rsid w:val="007753A3"/>
    <w:rsid w:val="007766EB"/>
    <w:rsid w:val="00777BD9"/>
    <w:rsid w:val="00780FAD"/>
    <w:rsid w:val="007824B1"/>
    <w:rsid w:val="00782F22"/>
    <w:rsid w:val="007830BB"/>
    <w:rsid w:val="00783127"/>
    <w:rsid w:val="00783FB8"/>
    <w:rsid w:val="00784605"/>
    <w:rsid w:val="00784A7B"/>
    <w:rsid w:val="0078560F"/>
    <w:rsid w:val="00786116"/>
    <w:rsid w:val="00786F36"/>
    <w:rsid w:val="007872F4"/>
    <w:rsid w:val="0078790E"/>
    <w:rsid w:val="007879C0"/>
    <w:rsid w:val="00790E88"/>
    <w:rsid w:val="007926C3"/>
    <w:rsid w:val="00792E7A"/>
    <w:rsid w:val="00792F68"/>
    <w:rsid w:val="00793208"/>
    <w:rsid w:val="007933C9"/>
    <w:rsid w:val="00793A58"/>
    <w:rsid w:val="00793D7D"/>
    <w:rsid w:val="00795378"/>
    <w:rsid w:val="00796C3F"/>
    <w:rsid w:val="007973E9"/>
    <w:rsid w:val="007976A3"/>
    <w:rsid w:val="00797C58"/>
    <w:rsid w:val="00797F87"/>
    <w:rsid w:val="007A16CD"/>
    <w:rsid w:val="007A1D96"/>
    <w:rsid w:val="007A3ACE"/>
    <w:rsid w:val="007A56FB"/>
    <w:rsid w:val="007B2C1A"/>
    <w:rsid w:val="007B3CF7"/>
    <w:rsid w:val="007B472F"/>
    <w:rsid w:val="007B4919"/>
    <w:rsid w:val="007B4DB8"/>
    <w:rsid w:val="007B5B54"/>
    <w:rsid w:val="007B6083"/>
    <w:rsid w:val="007B6843"/>
    <w:rsid w:val="007B6D12"/>
    <w:rsid w:val="007B760A"/>
    <w:rsid w:val="007C05C2"/>
    <w:rsid w:val="007C1A50"/>
    <w:rsid w:val="007C1F1B"/>
    <w:rsid w:val="007C4E4F"/>
    <w:rsid w:val="007C515F"/>
    <w:rsid w:val="007C6EC6"/>
    <w:rsid w:val="007C6FE4"/>
    <w:rsid w:val="007C7001"/>
    <w:rsid w:val="007C7E60"/>
    <w:rsid w:val="007D1000"/>
    <w:rsid w:val="007D1958"/>
    <w:rsid w:val="007D3EAC"/>
    <w:rsid w:val="007D650D"/>
    <w:rsid w:val="007D6985"/>
    <w:rsid w:val="007D699B"/>
    <w:rsid w:val="007D7584"/>
    <w:rsid w:val="007D766D"/>
    <w:rsid w:val="007D7C11"/>
    <w:rsid w:val="007D7FC2"/>
    <w:rsid w:val="007E14E6"/>
    <w:rsid w:val="007E2AA1"/>
    <w:rsid w:val="007E3023"/>
    <w:rsid w:val="007E569E"/>
    <w:rsid w:val="007E64A2"/>
    <w:rsid w:val="007F06F5"/>
    <w:rsid w:val="007F0CA0"/>
    <w:rsid w:val="007F4794"/>
    <w:rsid w:val="007F6270"/>
    <w:rsid w:val="007F7592"/>
    <w:rsid w:val="007F7768"/>
    <w:rsid w:val="00801818"/>
    <w:rsid w:val="00803149"/>
    <w:rsid w:val="00803706"/>
    <w:rsid w:val="00804BAE"/>
    <w:rsid w:val="00804DA2"/>
    <w:rsid w:val="0080676D"/>
    <w:rsid w:val="0080761D"/>
    <w:rsid w:val="008078D4"/>
    <w:rsid w:val="00810704"/>
    <w:rsid w:val="00812048"/>
    <w:rsid w:val="008136F9"/>
    <w:rsid w:val="00813981"/>
    <w:rsid w:val="00813D5E"/>
    <w:rsid w:val="008140E5"/>
    <w:rsid w:val="00814B9B"/>
    <w:rsid w:val="00814C40"/>
    <w:rsid w:val="00814C66"/>
    <w:rsid w:val="00815C94"/>
    <w:rsid w:val="00817FF5"/>
    <w:rsid w:val="00821511"/>
    <w:rsid w:val="0082226E"/>
    <w:rsid w:val="008224FE"/>
    <w:rsid w:val="00822F96"/>
    <w:rsid w:val="00823AFD"/>
    <w:rsid w:val="00824468"/>
    <w:rsid w:val="008248B2"/>
    <w:rsid w:val="00825093"/>
    <w:rsid w:val="00825F71"/>
    <w:rsid w:val="00826426"/>
    <w:rsid w:val="00830FE3"/>
    <w:rsid w:val="008330B2"/>
    <w:rsid w:val="00833298"/>
    <w:rsid w:val="00834C17"/>
    <w:rsid w:val="008354AE"/>
    <w:rsid w:val="008403C0"/>
    <w:rsid w:val="00841502"/>
    <w:rsid w:val="00841936"/>
    <w:rsid w:val="008424F1"/>
    <w:rsid w:val="008444D6"/>
    <w:rsid w:val="0084472D"/>
    <w:rsid w:val="008479FB"/>
    <w:rsid w:val="00847C99"/>
    <w:rsid w:val="00852375"/>
    <w:rsid w:val="008537F6"/>
    <w:rsid w:val="00854804"/>
    <w:rsid w:val="00854E87"/>
    <w:rsid w:val="008567DB"/>
    <w:rsid w:val="00856825"/>
    <w:rsid w:val="00860545"/>
    <w:rsid w:val="00860A7E"/>
    <w:rsid w:val="00860B43"/>
    <w:rsid w:val="0086103E"/>
    <w:rsid w:val="0086135B"/>
    <w:rsid w:val="008619F8"/>
    <w:rsid w:val="00861E67"/>
    <w:rsid w:val="0086207A"/>
    <w:rsid w:val="00867405"/>
    <w:rsid w:val="0086779E"/>
    <w:rsid w:val="00870C58"/>
    <w:rsid w:val="00871AA5"/>
    <w:rsid w:val="008737F8"/>
    <w:rsid w:val="00873B71"/>
    <w:rsid w:val="008773CF"/>
    <w:rsid w:val="008800BF"/>
    <w:rsid w:val="00882AD9"/>
    <w:rsid w:val="00882D6F"/>
    <w:rsid w:val="008848C1"/>
    <w:rsid w:val="00884A39"/>
    <w:rsid w:val="008855D4"/>
    <w:rsid w:val="008857FE"/>
    <w:rsid w:val="008865C5"/>
    <w:rsid w:val="008866EB"/>
    <w:rsid w:val="00887156"/>
    <w:rsid w:val="0088757C"/>
    <w:rsid w:val="00887E70"/>
    <w:rsid w:val="00887FA7"/>
    <w:rsid w:val="008909D4"/>
    <w:rsid w:val="00890E9D"/>
    <w:rsid w:val="00891B0D"/>
    <w:rsid w:val="00891BBD"/>
    <w:rsid w:val="00892526"/>
    <w:rsid w:val="00892E15"/>
    <w:rsid w:val="00892F7C"/>
    <w:rsid w:val="0089455F"/>
    <w:rsid w:val="0089543F"/>
    <w:rsid w:val="00897B6A"/>
    <w:rsid w:val="008A0559"/>
    <w:rsid w:val="008A1085"/>
    <w:rsid w:val="008A2574"/>
    <w:rsid w:val="008A47BC"/>
    <w:rsid w:val="008A4AA3"/>
    <w:rsid w:val="008A4D3D"/>
    <w:rsid w:val="008A6E69"/>
    <w:rsid w:val="008B0BA3"/>
    <w:rsid w:val="008B1DC6"/>
    <w:rsid w:val="008B24A4"/>
    <w:rsid w:val="008B4A0A"/>
    <w:rsid w:val="008B63A8"/>
    <w:rsid w:val="008C1E49"/>
    <w:rsid w:val="008C20E6"/>
    <w:rsid w:val="008C22CE"/>
    <w:rsid w:val="008C3BD6"/>
    <w:rsid w:val="008C5F30"/>
    <w:rsid w:val="008C790E"/>
    <w:rsid w:val="008D1973"/>
    <w:rsid w:val="008D262D"/>
    <w:rsid w:val="008D4171"/>
    <w:rsid w:val="008D4435"/>
    <w:rsid w:val="008D6578"/>
    <w:rsid w:val="008D72D5"/>
    <w:rsid w:val="008D7D6B"/>
    <w:rsid w:val="008E14CB"/>
    <w:rsid w:val="008E216B"/>
    <w:rsid w:val="008E4DFF"/>
    <w:rsid w:val="008E5A0D"/>
    <w:rsid w:val="008F0855"/>
    <w:rsid w:val="008F0CA8"/>
    <w:rsid w:val="008F0D50"/>
    <w:rsid w:val="008F0F9C"/>
    <w:rsid w:val="008F1375"/>
    <w:rsid w:val="008F14B7"/>
    <w:rsid w:val="008F2693"/>
    <w:rsid w:val="008F27E5"/>
    <w:rsid w:val="008F51E8"/>
    <w:rsid w:val="008F5289"/>
    <w:rsid w:val="008F575A"/>
    <w:rsid w:val="008F61CE"/>
    <w:rsid w:val="008F63AB"/>
    <w:rsid w:val="008F6B05"/>
    <w:rsid w:val="008F6F7A"/>
    <w:rsid w:val="009003E2"/>
    <w:rsid w:val="00900470"/>
    <w:rsid w:val="0090050E"/>
    <w:rsid w:val="009015C2"/>
    <w:rsid w:val="00902D74"/>
    <w:rsid w:val="0090663B"/>
    <w:rsid w:val="00906A96"/>
    <w:rsid w:val="009079C9"/>
    <w:rsid w:val="00907D6E"/>
    <w:rsid w:val="00911E9F"/>
    <w:rsid w:val="009142CC"/>
    <w:rsid w:val="0091521A"/>
    <w:rsid w:val="009152C6"/>
    <w:rsid w:val="009166F4"/>
    <w:rsid w:val="00916759"/>
    <w:rsid w:val="00920383"/>
    <w:rsid w:val="00921629"/>
    <w:rsid w:val="0092189B"/>
    <w:rsid w:val="00923493"/>
    <w:rsid w:val="009235EB"/>
    <w:rsid w:val="00923FA5"/>
    <w:rsid w:val="009254CD"/>
    <w:rsid w:val="009277F5"/>
    <w:rsid w:val="00927BCD"/>
    <w:rsid w:val="00930A38"/>
    <w:rsid w:val="009318BC"/>
    <w:rsid w:val="00932293"/>
    <w:rsid w:val="00932B02"/>
    <w:rsid w:val="0093404B"/>
    <w:rsid w:val="00935932"/>
    <w:rsid w:val="00936987"/>
    <w:rsid w:val="00937132"/>
    <w:rsid w:val="00937D57"/>
    <w:rsid w:val="00941CE1"/>
    <w:rsid w:val="00942605"/>
    <w:rsid w:val="009427CB"/>
    <w:rsid w:val="00944922"/>
    <w:rsid w:val="00945929"/>
    <w:rsid w:val="009479F4"/>
    <w:rsid w:val="009514CE"/>
    <w:rsid w:val="00951674"/>
    <w:rsid w:val="00954340"/>
    <w:rsid w:val="00954345"/>
    <w:rsid w:val="00954407"/>
    <w:rsid w:val="009568C0"/>
    <w:rsid w:val="00957E37"/>
    <w:rsid w:val="00960B82"/>
    <w:rsid w:val="00961521"/>
    <w:rsid w:val="00962B71"/>
    <w:rsid w:val="00962E83"/>
    <w:rsid w:val="0096327E"/>
    <w:rsid w:val="00963862"/>
    <w:rsid w:val="0096546E"/>
    <w:rsid w:val="00967777"/>
    <w:rsid w:val="00967B6C"/>
    <w:rsid w:val="009720B3"/>
    <w:rsid w:val="00972662"/>
    <w:rsid w:val="00972BEE"/>
    <w:rsid w:val="00973FCE"/>
    <w:rsid w:val="00974CE6"/>
    <w:rsid w:val="009760A0"/>
    <w:rsid w:val="00981823"/>
    <w:rsid w:val="00982364"/>
    <w:rsid w:val="009847DB"/>
    <w:rsid w:val="0098486A"/>
    <w:rsid w:val="00984C5A"/>
    <w:rsid w:val="00985F0B"/>
    <w:rsid w:val="009866C0"/>
    <w:rsid w:val="00986865"/>
    <w:rsid w:val="00986ED0"/>
    <w:rsid w:val="00987781"/>
    <w:rsid w:val="009900EA"/>
    <w:rsid w:val="009907D9"/>
    <w:rsid w:val="0099117D"/>
    <w:rsid w:val="009914C2"/>
    <w:rsid w:val="009916C9"/>
    <w:rsid w:val="00992174"/>
    <w:rsid w:val="00997F4C"/>
    <w:rsid w:val="00997F7D"/>
    <w:rsid w:val="009A05B8"/>
    <w:rsid w:val="009A06F0"/>
    <w:rsid w:val="009A2BF2"/>
    <w:rsid w:val="009A3793"/>
    <w:rsid w:val="009A37EB"/>
    <w:rsid w:val="009A3BDB"/>
    <w:rsid w:val="009A4DC2"/>
    <w:rsid w:val="009A4E88"/>
    <w:rsid w:val="009A542E"/>
    <w:rsid w:val="009A663C"/>
    <w:rsid w:val="009A6910"/>
    <w:rsid w:val="009B135E"/>
    <w:rsid w:val="009B1539"/>
    <w:rsid w:val="009B2320"/>
    <w:rsid w:val="009B2444"/>
    <w:rsid w:val="009B28F6"/>
    <w:rsid w:val="009B2FB2"/>
    <w:rsid w:val="009B4FDC"/>
    <w:rsid w:val="009B6593"/>
    <w:rsid w:val="009C0ADD"/>
    <w:rsid w:val="009C1BFE"/>
    <w:rsid w:val="009C2F5B"/>
    <w:rsid w:val="009C40C1"/>
    <w:rsid w:val="009C54FC"/>
    <w:rsid w:val="009C6530"/>
    <w:rsid w:val="009C6CC8"/>
    <w:rsid w:val="009C6E36"/>
    <w:rsid w:val="009C7B4E"/>
    <w:rsid w:val="009D078D"/>
    <w:rsid w:val="009D1919"/>
    <w:rsid w:val="009D257E"/>
    <w:rsid w:val="009D2BB3"/>
    <w:rsid w:val="009D3038"/>
    <w:rsid w:val="009D3DC0"/>
    <w:rsid w:val="009D71D2"/>
    <w:rsid w:val="009D73C9"/>
    <w:rsid w:val="009D7496"/>
    <w:rsid w:val="009D78C1"/>
    <w:rsid w:val="009E1B11"/>
    <w:rsid w:val="009E2493"/>
    <w:rsid w:val="009E3FC3"/>
    <w:rsid w:val="009E4370"/>
    <w:rsid w:val="009E4866"/>
    <w:rsid w:val="009E7708"/>
    <w:rsid w:val="009E7A01"/>
    <w:rsid w:val="009F00DF"/>
    <w:rsid w:val="009F1146"/>
    <w:rsid w:val="009F285C"/>
    <w:rsid w:val="009F2A21"/>
    <w:rsid w:val="009F390C"/>
    <w:rsid w:val="009F411F"/>
    <w:rsid w:val="009F4661"/>
    <w:rsid w:val="009F7D3A"/>
    <w:rsid w:val="00A02F55"/>
    <w:rsid w:val="00A03F1F"/>
    <w:rsid w:val="00A04C99"/>
    <w:rsid w:val="00A055ED"/>
    <w:rsid w:val="00A05EFB"/>
    <w:rsid w:val="00A06542"/>
    <w:rsid w:val="00A0690A"/>
    <w:rsid w:val="00A06941"/>
    <w:rsid w:val="00A06DB7"/>
    <w:rsid w:val="00A072B5"/>
    <w:rsid w:val="00A07834"/>
    <w:rsid w:val="00A1020D"/>
    <w:rsid w:val="00A10EEB"/>
    <w:rsid w:val="00A12BB8"/>
    <w:rsid w:val="00A12F13"/>
    <w:rsid w:val="00A159A4"/>
    <w:rsid w:val="00A161BB"/>
    <w:rsid w:val="00A16DE2"/>
    <w:rsid w:val="00A17406"/>
    <w:rsid w:val="00A21102"/>
    <w:rsid w:val="00A22398"/>
    <w:rsid w:val="00A227E4"/>
    <w:rsid w:val="00A2330C"/>
    <w:rsid w:val="00A24055"/>
    <w:rsid w:val="00A24D7D"/>
    <w:rsid w:val="00A250F3"/>
    <w:rsid w:val="00A25F7A"/>
    <w:rsid w:val="00A26025"/>
    <w:rsid w:val="00A262FE"/>
    <w:rsid w:val="00A27527"/>
    <w:rsid w:val="00A27781"/>
    <w:rsid w:val="00A302DD"/>
    <w:rsid w:val="00A31523"/>
    <w:rsid w:val="00A318F8"/>
    <w:rsid w:val="00A325C8"/>
    <w:rsid w:val="00A3369F"/>
    <w:rsid w:val="00A34898"/>
    <w:rsid w:val="00A364A6"/>
    <w:rsid w:val="00A37531"/>
    <w:rsid w:val="00A37C03"/>
    <w:rsid w:val="00A403A4"/>
    <w:rsid w:val="00A4056E"/>
    <w:rsid w:val="00A41594"/>
    <w:rsid w:val="00A41D7D"/>
    <w:rsid w:val="00A42D46"/>
    <w:rsid w:val="00A44A30"/>
    <w:rsid w:val="00A45238"/>
    <w:rsid w:val="00A47E3C"/>
    <w:rsid w:val="00A47FFA"/>
    <w:rsid w:val="00A504B6"/>
    <w:rsid w:val="00A522D4"/>
    <w:rsid w:val="00A52461"/>
    <w:rsid w:val="00A52B9A"/>
    <w:rsid w:val="00A53EC5"/>
    <w:rsid w:val="00A540A7"/>
    <w:rsid w:val="00A567C4"/>
    <w:rsid w:val="00A574A3"/>
    <w:rsid w:val="00A57A7C"/>
    <w:rsid w:val="00A61BF4"/>
    <w:rsid w:val="00A62057"/>
    <w:rsid w:val="00A6284C"/>
    <w:rsid w:val="00A63456"/>
    <w:rsid w:val="00A647DD"/>
    <w:rsid w:val="00A650ED"/>
    <w:rsid w:val="00A6537D"/>
    <w:rsid w:val="00A654AE"/>
    <w:rsid w:val="00A65704"/>
    <w:rsid w:val="00A65F24"/>
    <w:rsid w:val="00A6605D"/>
    <w:rsid w:val="00A703D8"/>
    <w:rsid w:val="00A7103A"/>
    <w:rsid w:val="00A713C7"/>
    <w:rsid w:val="00A74669"/>
    <w:rsid w:val="00A75848"/>
    <w:rsid w:val="00A8029A"/>
    <w:rsid w:val="00A80558"/>
    <w:rsid w:val="00A808B5"/>
    <w:rsid w:val="00A82B16"/>
    <w:rsid w:val="00A83DAF"/>
    <w:rsid w:val="00A86AF8"/>
    <w:rsid w:val="00A86F18"/>
    <w:rsid w:val="00A870BE"/>
    <w:rsid w:val="00A91FA0"/>
    <w:rsid w:val="00A92FCD"/>
    <w:rsid w:val="00A931E9"/>
    <w:rsid w:val="00A9589A"/>
    <w:rsid w:val="00A95D1C"/>
    <w:rsid w:val="00A96614"/>
    <w:rsid w:val="00A966B2"/>
    <w:rsid w:val="00A974D0"/>
    <w:rsid w:val="00A97652"/>
    <w:rsid w:val="00AA1520"/>
    <w:rsid w:val="00AA15C8"/>
    <w:rsid w:val="00AA294F"/>
    <w:rsid w:val="00AA2F59"/>
    <w:rsid w:val="00AA3293"/>
    <w:rsid w:val="00AA34FB"/>
    <w:rsid w:val="00AA3BA4"/>
    <w:rsid w:val="00AA3EBF"/>
    <w:rsid w:val="00AA47ED"/>
    <w:rsid w:val="00AA51BB"/>
    <w:rsid w:val="00AA5A16"/>
    <w:rsid w:val="00AA5EF4"/>
    <w:rsid w:val="00AA6C20"/>
    <w:rsid w:val="00AB1D2C"/>
    <w:rsid w:val="00AB2382"/>
    <w:rsid w:val="00AB3025"/>
    <w:rsid w:val="00AB3604"/>
    <w:rsid w:val="00AB52BB"/>
    <w:rsid w:val="00AB58A2"/>
    <w:rsid w:val="00AB5C07"/>
    <w:rsid w:val="00AB66E4"/>
    <w:rsid w:val="00AB6746"/>
    <w:rsid w:val="00AB76B3"/>
    <w:rsid w:val="00AB7FAE"/>
    <w:rsid w:val="00AC02DE"/>
    <w:rsid w:val="00AC06BE"/>
    <w:rsid w:val="00AC1811"/>
    <w:rsid w:val="00AC3240"/>
    <w:rsid w:val="00AC4A80"/>
    <w:rsid w:val="00AC520E"/>
    <w:rsid w:val="00AC5666"/>
    <w:rsid w:val="00AC697D"/>
    <w:rsid w:val="00AD3A6F"/>
    <w:rsid w:val="00AD68C8"/>
    <w:rsid w:val="00AD6938"/>
    <w:rsid w:val="00AD6ECF"/>
    <w:rsid w:val="00AD7311"/>
    <w:rsid w:val="00AE005C"/>
    <w:rsid w:val="00AE008F"/>
    <w:rsid w:val="00AE103E"/>
    <w:rsid w:val="00AE2A52"/>
    <w:rsid w:val="00AE2BE4"/>
    <w:rsid w:val="00AE2BFA"/>
    <w:rsid w:val="00AE3A6F"/>
    <w:rsid w:val="00AE4266"/>
    <w:rsid w:val="00AE4DE4"/>
    <w:rsid w:val="00AE55F6"/>
    <w:rsid w:val="00AE5D6A"/>
    <w:rsid w:val="00AE714C"/>
    <w:rsid w:val="00AE74E4"/>
    <w:rsid w:val="00AF2318"/>
    <w:rsid w:val="00AF286F"/>
    <w:rsid w:val="00AF31D4"/>
    <w:rsid w:val="00AF3C12"/>
    <w:rsid w:val="00AF3D38"/>
    <w:rsid w:val="00AF4224"/>
    <w:rsid w:val="00AF60A4"/>
    <w:rsid w:val="00AF7F55"/>
    <w:rsid w:val="00B00721"/>
    <w:rsid w:val="00B016B8"/>
    <w:rsid w:val="00B019FF"/>
    <w:rsid w:val="00B01B02"/>
    <w:rsid w:val="00B0549D"/>
    <w:rsid w:val="00B05589"/>
    <w:rsid w:val="00B0610A"/>
    <w:rsid w:val="00B063EF"/>
    <w:rsid w:val="00B07F0C"/>
    <w:rsid w:val="00B10414"/>
    <w:rsid w:val="00B11B04"/>
    <w:rsid w:val="00B12D74"/>
    <w:rsid w:val="00B1487A"/>
    <w:rsid w:val="00B14F0C"/>
    <w:rsid w:val="00B1548C"/>
    <w:rsid w:val="00B15806"/>
    <w:rsid w:val="00B15DE4"/>
    <w:rsid w:val="00B16723"/>
    <w:rsid w:val="00B17F26"/>
    <w:rsid w:val="00B20709"/>
    <w:rsid w:val="00B21241"/>
    <w:rsid w:val="00B213FF"/>
    <w:rsid w:val="00B22275"/>
    <w:rsid w:val="00B23B4A"/>
    <w:rsid w:val="00B2622D"/>
    <w:rsid w:val="00B26FDB"/>
    <w:rsid w:val="00B31A3B"/>
    <w:rsid w:val="00B329CC"/>
    <w:rsid w:val="00B331FD"/>
    <w:rsid w:val="00B34536"/>
    <w:rsid w:val="00B346AB"/>
    <w:rsid w:val="00B34DF6"/>
    <w:rsid w:val="00B35F2D"/>
    <w:rsid w:val="00B37E41"/>
    <w:rsid w:val="00B403F3"/>
    <w:rsid w:val="00B4286A"/>
    <w:rsid w:val="00B43743"/>
    <w:rsid w:val="00B43EB4"/>
    <w:rsid w:val="00B44466"/>
    <w:rsid w:val="00B45F9B"/>
    <w:rsid w:val="00B466C9"/>
    <w:rsid w:val="00B4769A"/>
    <w:rsid w:val="00B5066D"/>
    <w:rsid w:val="00B51B89"/>
    <w:rsid w:val="00B51CE2"/>
    <w:rsid w:val="00B51F7A"/>
    <w:rsid w:val="00B52269"/>
    <w:rsid w:val="00B52F0C"/>
    <w:rsid w:val="00B54E5B"/>
    <w:rsid w:val="00B55867"/>
    <w:rsid w:val="00B55D32"/>
    <w:rsid w:val="00B55E3E"/>
    <w:rsid w:val="00B56C26"/>
    <w:rsid w:val="00B60351"/>
    <w:rsid w:val="00B61A9B"/>
    <w:rsid w:val="00B63BD7"/>
    <w:rsid w:val="00B654CA"/>
    <w:rsid w:val="00B65586"/>
    <w:rsid w:val="00B66D5B"/>
    <w:rsid w:val="00B7092B"/>
    <w:rsid w:val="00B730E1"/>
    <w:rsid w:val="00B731A4"/>
    <w:rsid w:val="00B734BC"/>
    <w:rsid w:val="00B739AD"/>
    <w:rsid w:val="00B74DBC"/>
    <w:rsid w:val="00B754C7"/>
    <w:rsid w:val="00B761EF"/>
    <w:rsid w:val="00B76460"/>
    <w:rsid w:val="00B76CC0"/>
    <w:rsid w:val="00B779E2"/>
    <w:rsid w:val="00B82A6C"/>
    <w:rsid w:val="00B8737F"/>
    <w:rsid w:val="00B87ED7"/>
    <w:rsid w:val="00B9030D"/>
    <w:rsid w:val="00B90674"/>
    <w:rsid w:val="00B910AF"/>
    <w:rsid w:val="00B91665"/>
    <w:rsid w:val="00B91B7E"/>
    <w:rsid w:val="00B91CDD"/>
    <w:rsid w:val="00B9224F"/>
    <w:rsid w:val="00B94761"/>
    <w:rsid w:val="00B94B3C"/>
    <w:rsid w:val="00B94C83"/>
    <w:rsid w:val="00B94E49"/>
    <w:rsid w:val="00B97635"/>
    <w:rsid w:val="00BA0147"/>
    <w:rsid w:val="00BA1261"/>
    <w:rsid w:val="00BA1264"/>
    <w:rsid w:val="00BA1B78"/>
    <w:rsid w:val="00BA2148"/>
    <w:rsid w:val="00BA486D"/>
    <w:rsid w:val="00BA5CB2"/>
    <w:rsid w:val="00BA6BFA"/>
    <w:rsid w:val="00BB078C"/>
    <w:rsid w:val="00BB07B6"/>
    <w:rsid w:val="00BB0AF0"/>
    <w:rsid w:val="00BB0AF1"/>
    <w:rsid w:val="00BB278C"/>
    <w:rsid w:val="00BB377B"/>
    <w:rsid w:val="00BB3D59"/>
    <w:rsid w:val="00BB46E2"/>
    <w:rsid w:val="00BB4C63"/>
    <w:rsid w:val="00BB5C46"/>
    <w:rsid w:val="00BB64B7"/>
    <w:rsid w:val="00BB72B3"/>
    <w:rsid w:val="00BC15A9"/>
    <w:rsid w:val="00BC1D7C"/>
    <w:rsid w:val="00BC32FA"/>
    <w:rsid w:val="00BC337F"/>
    <w:rsid w:val="00BC4F52"/>
    <w:rsid w:val="00BC62F7"/>
    <w:rsid w:val="00BD0A7C"/>
    <w:rsid w:val="00BD1224"/>
    <w:rsid w:val="00BD1B82"/>
    <w:rsid w:val="00BD202E"/>
    <w:rsid w:val="00BD467F"/>
    <w:rsid w:val="00BD6801"/>
    <w:rsid w:val="00BD6DE6"/>
    <w:rsid w:val="00BD7951"/>
    <w:rsid w:val="00BD7A47"/>
    <w:rsid w:val="00BE08BF"/>
    <w:rsid w:val="00BE3F9B"/>
    <w:rsid w:val="00BE3FF4"/>
    <w:rsid w:val="00BE40D3"/>
    <w:rsid w:val="00BE4CCB"/>
    <w:rsid w:val="00BE4D3F"/>
    <w:rsid w:val="00BE5F69"/>
    <w:rsid w:val="00BE7D82"/>
    <w:rsid w:val="00BF0112"/>
    <w:rsid w:val="00BF3758"/>
    <w:rsid w:val="00BF3830"/>
    <w:rsid w:val="00BF44DF"/>
    <w:rsid w:val="00BF50E1"/>
    <w:rsid w:val="00BF59EA"/>
    <w:rsid w:val="00BF5BC0"/>
    <w:rsid w:val="00BF622A"/>
    <w:rsid w:val="00BF63AC"/>
    <w:rsid w:val="00BF7196"/>
    <w:rsid w:val="00BF7386"/>
    <w:rsid w:val="00C01083"/>
    <w:rsid w:val="00C014B2"/>
    <w:rsid w:val="00C01BC9"/>
    <w:rsid w:val="00C05A3B"/>
    <w:rsid w:val="00C06D37"/>
    <w:rsid w:val="00C129C0"/>
    <w:rsid w:val="00C13243"/>
    <w:rsid w:val="00C15137"/>
    <w:rsid w:val="00C170EF"/>
    <w:rsid w:val="00C174F3"/>
    <w:rsid w:val="00C17C05"/>
    <w:rsid w:val="00C17CD5"/>
    <w:rsid w:val="00C20151"/>
    <w:rsid w:val="00C20FDE"/>
    <w:rsid w:val="00C211F9"/>
    <w:rsid w:val="00C22C5C"/>
    <w:rsid w:val="00C22D8E"/>
    <w:rsid w:val="00C2359B"/>
    <w:rsid w:val="00C24127"/>
    <w:rsid w:val="00C241CF"/>
    <w:rsid w:val="00C24226"/>
    <w:rsid w:val="00C243AB"/>
    <w:rsid w:val="00C2472C"/>
    <w:rsid w:val="00C25D62"/>
    <w:rsid w:val="00C25EF7"/>
    <w:rsid w:val="00C26DB7"/>
    <w:rsid w:val="00C26F78"/>
    <w:rsid w:val="00C27A9C"/>
    <w:rsid w:val="00C27DB5"/>
    <w:rsid w:val="00C32082"/>
    <w:rsid w:val="00C350BB"/>
    <w:rsid w:val="00C36DA7"/>
    <w:rsid w:val="00C407C8"/>
    <w:rsid w:val="00C41EB8"/>
    <w:rsid w:val="00C42BED"/>
    <w:rsid w:val="00C43657"/>
    <w:rsid w:val="00C43F53"/>
    <w:rsid w:val="00C44B6A"/>
    <w:rsid w:val="00C44ED0"/>
    <w:rsid w:val="00C47429"/>
    <w:rsid w:val="00C479AE"/>
    <w:rsid w:val="00C535E5"/>
    <w:rsid w:val="00C536E4"/>
    <w:rsid w:val="00C54513"/>
    <w:rsid w:val="00C54DB5"/>
    <w:rsid w:val="00C54FAD"/>
    <w:rsid w:val="00C5616D"/>
    <w:rsid w:val="00C57A0D"/>
    <w:rsid w:val="00C60F7F"/>
    <w:rsid w:val="00C626BE"/>
    <w:rsid w:val="00C6321C"/>
    <w:rsid w:val="00C640D1"/>
    <w:rsid w:val="00C660EB"/>
    <w:rsid w:val="00C661E0"/>
    <w:rsid w:val="00C66578"/>
    <w:rsid w:val="00C66F9D"/>
    <w:rsid w:val="00C67C62"/>
    <w:rsid w:val="00C72066"/>
    <w:rsid w:val="00C735B3"/>
    <w:rsid w:val="00C73960"/>
    <w:rsid w:val="00C74594"/>
    <w:rsid w:val="00C74611"/>
    <w:rsid w:val="00C76C82"/>
    <w:rsid w:val="00C82055"/>
    <w:rsid w:val="00C83B7B"/>
    <w:rsid w:val="00C87273"/>
    <w:rsid w:val="00C875FF"/>
    <w:rsid w:val="00C87FA0"/>
    <w:rsid w:val="00C9161C"/>
    <w:rsid w:val="00C91C2A"/>
    <w:rsid w:val="00C92CA9"/>
    <w:rsid w:val="00C94097"/>
    <w:rsid w:val="00C967E1"/>
    <w:rsid w:val="00CA1115"/>
    <w:rsid w:val="00CA1234"/>
    <w:rsid w:val="00CA13B9"/>
    <w:rsid w:val="00CA23E4"/>
    <w:rsid w:val="00CA3591"/>
    <w:rsid w:val="00CA366E"/>
    <w:rsid w:val="00CA3D05"/>
    <w:rsid w:val="00CA3E1F"/>
    <w:rsid w:val="00CA5F1F"/>
    <w:rsid w:val="00CA62FB"/>
    <w:rsid w:val="00CA6807"/>
    <w:rsid w:val="00CA76B4"/>
    <w:rsid w:val="00CA7B41"/>
    <w:rsid w:val="00CA7FB2"/>
    <w:rsid w:val="00CB06FD"/>
    <w:rsid w:val="00CB0A27"/>
    <w:rsid w:val="00CB1632"/>
    <w:rsid w:val="00CB270A"/>
    <w:rsid w:val="00CB2AAA"/>
    <w:rsid w:val="00CB2BFA"/>
    <w:rsid w:val="00CB37E3"/>
    <w:rsid w:val="00CB4612"/>
    <w:rsid w:val="00CB4F14"/>
    <w:rsid w:val="00CB56D2"/>
    <w:rsid w:val="00CB60F6"/>
    <w:rsid w:val="00CB62C5"/>
    <w:rsid w:val="00CB65CB"/>
    <w:rsid w:val="00CB6BF2"/>
    <w:rsid w:val="00CC029E"/>
    <w:rsid w:val="00CC05D0"/>
    <w:rsid w:val="00CC22A9"/>
    <w:rsid w:val="00CC2B60"/>
    <w:rsid w:val="00CC2D2E"/>
    <w:rsid w:val="00CC346C"/>
    <w:rsid w:val="00CC45DA"/>
    <w:rsid w:val="00CC4FEA"/>
    <w:rsid w:val="00CC5A72"/>
    <w:rsid w:val="00CC6F1B"/>
    <w:rsid w:val="00CD04E3"/>
    <w:rsid w:val="00CD3EE6"/>
    <w:rsid w:val="00CD513E"/>
    <w:rsid w:val="00CD5932"/>
    <w:rsid w:val="00CD6ABA"/>
    <w:rsid w:val="00CE09C7"/>
    <w:rsid w:val="00CE0DAD"/>
    <w:rsid w:val="00CE1A20"/>
    <w:rsid w:val="00CE26DC"/>
    <w:rsid w:val="00CE27AF"/>
    <w:rsid w:val="00CE2E1E"/>
    <w:rsid w:val="00CE3511"/>
    <w:rsid w:val="00CE4844"/>
    <w:rsid w:val="00CE4F72"/>
    <w:rsid w:val="00CE5FBC"/>
    <w:rsid w:val="00CE6431"/>
    <w:rsid w:val="00CE667F"/>
    <w:rsid w:val="00CE66AF"/>
    <w:rsid w:val="00CE75B7"/>
    <w:rsid w:val="00CE7A67"/>
    <w:rsid w:val="00CF342C"/>
    <w:rsid w:val="00CF3F4C"/>
    <w:rsid w:val="00CF468F"/>
    <w:rsid w:val="00CF4C5D"/>
    <w:rsid w:val="00CF4C62"/>
    <w:rsid w:val="00CF60E6"/>
    <w:rsid w:val="00CF6640"/>
    <w:rsid w:val="00CF72CF"/>
    <w:rsid w:val="00CF75C9"/>
    <w:rsid w:val="00D0000D"/>
    <w:rsid w:val="00D00196"/>
    <w:rsid w:val="00D00EB2"/>
    <w:rsid w:val="00D01D4B"/>
    <w:rsid w:val="00D04A06"/>
    <w:rsid w:val="00D061FF"/>
    <w:rsid w:val="00D07F7F"/>
    <w:rsid w:val="00D103A9"/>
    <w:rsid w:val="00D10577"/>
    <w:rsid w:val="00D1235D"/>
    <w:rsid w:val="00D1292D"/>
    <w:rsid w:val="00D12A5A"/>
    <w:rsid w:val="00D1515A"/>
    <w:rsid w:val="00D17B76"/>
    <w:rsid w:val="00D201B0"/>
    <w:rsid w:val="00D20689"/>
    <w:rsid w:val="00D20ADF"/>
    <w:rsid w:val="00D2199F"/>
    <w:rsid w:val="00D222EC"/>
    <w:rsid w:val="00D22C25"/>
    <w:rsid w:val="00D22FCC"/>
    <w:rsid w:val="00D23552"/>
    <w:rsid w:val="00D2366E"/>
    <w:rsid w:val="00D24EF8"/>
    <w:rsid w:val="00D25AC3"/>
    <w:rsid w:val="00D25DC6"/>
    <w:rsid w:val="00D2676F"/>
    <w:rsid w:val="00D2712F"/>
    <w:rsid w:val="00D27A9A"/>
    <w:rsid w:val="00D27D0A"/>
    <w:rsid w:val="00D323AC"/>
    <w:rsid w:val="00D330BA"/>
    <w:rsid w:val="00D33B1A"/>
    <w:rsid w:val="00D34922"/>
    <w:rsid w:val="00D35018"/>
    <w:rsid w:val="00D35F58"/>
    <w:rsid w:val="00D36C79"/>
    <w:rsid w:val="00D3737C"/>
    <w:rsid w:val="00D40F5C"/>
    <w:rsid w:val="00D411AE"/>
    <w:rsid w:val="00D41E59"/>
    <w:rsid w:val="00D424C9"/>
    <w:rsid w:val="00D43E40"/>
    <w:rsid w:val="00D44777"/>
    <w:rsid w:val="00D44B75"/>
    <w:rsid w:val="00D45594"/>
    <w:rsid w:val="00D45997"/>
    <w:rsid w:val="00D50015"/>
    <w:rsid w:val="00D501FD"/>
    <w:rsid w:val="00D54A38"/>
    <w:rsid w:val="00D55C1A"/>
    <w:rsid w:val="00D56472"/>
    <w:rsid w:val="00D56725"/>
    <w:rsid w:val="00D56A1A"/>
    <w:rsid w:val="00D56F5E"/>
    <w:rsid w:val="00D57955"/>
    <w:rsid w:val="00D601DC"/>
    <w:rsid w:val="00D61028"/>
    <w:rsid w:val="00D64CAA"/>
    <w:rsid w:val="00D65328"/>
    <w:rsid w:val="00D65D83"/>
    <w:rsid w:val="00D66577"/>
    <w:rsid w:val="00D66D8A"/>
    <w:rsid w:val="00D67527"/>
    <w:rsid w:val="00D713BE"/>
    <w:rsid w:val="00D71940"/>
    <w:rsid w:val="00D7195F"/>
    <w:rsid w:val="00D719BE"/>
    <w:rsid w:val="00D71F79"/>
    <w:rsid w:val="00D72001"/>
    <w:rsid w:val="00D72191"/>
    <w:rsid w:val="00D73885"/>
    <w:rsid w:val="00D765AF"/>
    <w:rsid w:val="00D7692B"/>
    <w:rsid w:val="00D76DDF"/>
    <w:rsid w:val="00D77D25"/>
    <w:rsid w:val="00D80E0F"/>
    <w:rsid w:val="00D8181A"/>
    <w:rsid w:val="00D8274C"/>
    <w:rsid w:val="00D83FC7"/>
    <w:rsid w:val="00D84D41"/>
    <w:rsid w:val="00D8595B"/>
    <w:rsid w:val="00D85ABF"/>
    <w:rsid w:val="00D87169"/>
    <w:rsid w:val="00D9054D"/>
    <w:rsid w:val="00D9113A"/>
    <w:rsid w:val="00D91762"/>
    <w:rsid w:val="00D9184C"/>
    <w:rsid w:val="00D92385"/>
    <w:rsid w:val="00D92DC7"/>
    <w:rsid w:val="00D939AC"/>
    <w:rsid w:val="00D93FA4"/>
    <w:rsid w:val="00D944FC"/>
    <w:rsid w:val="00D94958"/>
    <w:rsid w:val="00D95427"/>
    <w:rsid w:val="00D955D9"/>
    <w:rsid w:val="00D96F74"/>
    <w:rsid w:val="00D97999"/>
    <w:rsid w:val="00DA0F9D"/>
    <w:rsid w:val="00DA1284"/>
    <w:rsid w:val="00DA2246"/>
    <w:rsid w:val="00DA2885"/>
    <w:rsid w:val="00DA4CC1"/>
    <w:rsid w:val="00DA5F80"/>
    <w:rsid w:val="00DB008C"/>
    <w:rsid w:val="00DB0F42"/>
    <w:rsid w:val="00DB110D"/>
    <w:rsid w:val="00DB1A5D"/>
    <w:rsid w:val="00DB1C64"/>
    <w:rsid w:val="00DB286A"/>
    <w:rsid w:val="00DB28F0"/>
    <w:rsid w:val="00DB2E3C"/>
    <w:rsid w:val="00DB2F82"/>
    <w:rsid w:val="00DB3178"/>
    <w:rsid w:val="00DB3ED8"/>
    <w:rsid w:val="00DB4D11"/>
    <w:rsid w:val="00DB6913"/>
    <w:rsid w:val="00DB7030"/>
    <w:rsid w:val="00DB7791"/>
    <w:rsid w:val="00DB7838"/>
    <w:rsid w:val="00DC0726"/>
    <w:rsid w:val="00DC1048"/>
    <w:rsid w:val="00DC1622"/>
    <w:rsid w:val="00DC1AA9"/>
    <w:rsid w:val="00DC2C08"/>
    <w:rsid w:val="00DC2E70"/>
    <w:rsid w:val="00DC38EF"/>
    <w:rsid w:val="00DC406C"/>
    <w:rsid w:val="00DC4242"/>
    <w:rsid w:val="00DC49D6"/>
    <w:rsid w:val="00DC5952"/>
    <w:rsid w:val="00DC7A53"/>
    <w:rsid w:val="00DD0B68"/>
    <w:rsid w:val="00DD0F71"/>
    <w:rsid w:val="00DD12EC"/>
    <w:rsid w:val="00DD1B73"/>
    <w:rsid w:val="00DD27EB"/>
    <w:rsid w:val="00DD2EE3"/>
    <w:rsid w:val="00DD3A94"/>
    <w:rsid w:val="00DD3D86"/>
    <w:rsid w:val="00DD3FEC"/>
    <w:rsid w:val="00DD43C4"/>
    <w:rsid w:val="00DD448F"/>
    <w:rsid w:val="00DD5EF9"/>
    <w:rsid w:val="00DD6DC7"/>
    <w:rsid w:val="00DD7337"/>
    <w:rsid w:val="00DE0258"/>
    <w:rsid w:val="00DE03C7"/>
    <w:rsid w:val="00DE1C2C"/>
    <w:rsid w:val="00DE51D0"/>
    <w:rsid w:val="00DE599D"/>
    <w:rsid w:val="00DE5C23"/>
    <w:rsid w:val="00DE67CC"/>
    <w:rsid w:val="00DE78F3"/>
    <w:rsid w:val="00DF138C"/>
    <w:rsid w:val="00DF1423"/>
    <w:rsid w:val="00DF23D7"/>
    <w:rsid w:val="00DF3AAF"/>
    <w:rsid w:val="00DF402A"/>
    <w:rsid w:val="00DF4A03"/>
    <w:rsid w:val="00DF4BEC"/>
    <w:rsid w:val="00DF50B1"/>
    <w:rsid w:val="00DF6455"/>
    <w:rsid w:val="00DF6E90"/>
    <w:rsid w:val="00E006C0"/>
    <w:rsid w:val="00E00E74"/>
    <w:rsid w:val="00E01772"/>
    <w:rsid w:val="00E02AC4"/>
    <w:rsid w:val="00E031B9"/>
    <w:rsid w:val="00E03DB9"/>
    <w:rsid w:val="00E070AD"/>
    <w:rsid w:val="00E073BE"/>
    <w:rsid w:val="00E10C29"/>
    <w:rsid w:val="00E11457"/>
    <w:rsid w:val="00E11F84"/>
    <w:rsid w:val="00E14AC5"/>
    <w:rsid w:val="00E15FBA"/>
    <w:rsid w:val="00E1642F"/>
    <w:rsid w:val="00E1764A"/>
    <w:rsid w:val="00E17875"/>
    <w:rsid w:val="00E17B3D"/>
    <w:rsid w:val="00E20E5A"/>
    <w:rsid w:val="00E212A4"/>
    <w:rsid w:val="00E21F80"/>
    <w:rsid w:val="00E23EDA"/>
    <w:rsid w:val="00E252AF"/>
    <w:rsid w:val="00E26A95"/>
    <w:rsid w:val="00E27876"/>
    <w:rsid w:val="00E27B79"/>
    <w:rsid w:val="00E3163C"/>
    <w:rsid w:val="00E319F2"/>
    <w:rsid w:val="00E31D5C"/>
    <w:rsid w:val="00E32D45"/>
    <w:rsid w:val="00E33953"/>
    <w:rsid w:val="00E340DF"/>
    <w:rsid w:val="00E346F1"/>
    <w:rsid w:val="00E347CC"/>
    <w:rsid w:val="00E354A7"/>
    <w:rsid w:val="00E36B50"/>
    <w:rsid w:val="00E40139"/>
    <w:rsid w:val="00E41494"/>
    <w:rsid w:val="00E419DD"/>
    <w:rsid w:val="00E41E08"/>
    <w:rsid w:val="00E42272"/>
    <w:rsid w:val="00E42D94"/>
    <w:rsid w:val="00E45554"/>
    <w:rsid w:val="00E46470"/>
    <w:rsid w:val="00E51358"/>
    <w:rsid w:val="00E51749"/>
    <w:rsid w:val="00E53627"/>
    <w:rsid w:val="00E604B8"/>
    <w:rsid w:val="00E604EE"/>
    <w:rsid w:val="00E60C6B"/>
    <w:rsid w:val="00E60C88"/>
    <w:rsid w:val="00E62385"/>
    <w:rsid w:val="00E62D21"/>
    <w:rsid w:val="00E62E5E"/>
    <w:rsid w:val="00E634AF"/>
    <w:rsid w:val="00E645CE"/>
    <w:rsid w:val="00E66133"/>
    <w:rsid w:val="00E6735C"/>
    <w:rsid w:val="00E700A2"/>
    <w:rsid w:val="00E706A8"/>
    <w:rsid w:val="00E70CD3"/>
    <w:rsid w:val="00E7114E"/>
    <w:rsid w:val="00E73ECF"/>
    <w:rsid w:val="00E73FFF"/>
    <w:rsid w:val="00E74876"/>
    <w:rsid w:val="00E75354"/>
    <w:rsid w:val="00E75E0D"/>
    <w:rsid w:val="00E75E15"/>
    <w:rsid w:val="00E76AAD"/>
    <w:rsid w:val="00E80B45"/>
    <w:rsid w:val="00E81DDD"/>
    <w:rsid w:val="00E82E96"/>
    <w:rsid w:val="00E82EAA"/>
    <w:rsid w:val="00E8386E"/>
    <w:rsid w:val="00E84F0E"/>
    <w:rsid w:val="00E876F3"/>
    <w:rsid w:val="00E900C7"/>
    <w:rsid w:val="00E9031D"/>
    <w:rsid w:val="00E913B9"/>
    <w:rsid w:val="00E96035"/>
    <w:rsid w:val="00E97758"/>
    <w:rsid w:val="00EA0F4D"/>
    <w:rsid w:val="00EA54C2"/>
    <w:rsid w:val="00EA7BEA"/>
    <w:rsid w:val="00EA7BF0"/>
    <w:rsid w:val="00EB07F5"/>
    <w:rsid w:val="00EB48C8"/>
    <w:rsid w:val="00EB580F"/>
    <w:rsid w:val="00EB6E25"/>
    <w:rsid w:val="00EC07D0"/>
    <w:rsid w:val="00EC0FC5"/>
    <w:rsid w:val="00EC19F4"/>
    <w:rsid w:val="00EC1A3F"/>
    <w:rsid w:val="00EC2147"/>
    <w:rsid w:val="00EC5617"/>
    <w:rsid w:val="00EC7CFA"/>
    <w:rsid w:val="00ED0C51"/>
    <w:rsid w:val="00ED28A8"/>
    <w:rsid w:val="00ED35A3"/>
    <w:rsid w:val="00ED4E5D"/>
    <w:rsid w:val="00ED6111"/>
    <w:rsid w:val="00ED645A"/>
    <w:rsid w:val="00ED6E16"/>
    <w:rsid w:val="00ED6FCC"/>
    <w:rsid w:val="00ED7515"/>
    <w:rsid w:val="00EE0689"/>
    <w:rsid w:val="00EE092F"/>
    <w:rsid w:val="00EE1A81"/>
    <w:rsid w:val="00EE2652"/>
    <w:rsid w:val="00EE35B6"/>
    <w:rsid w:val="00EE36ED"/>
    <w:rsid w:val="00EE4017"/>
    <w:rsid w:val="00EE494B"/>
    <w:rsid w:val="00EE499B"/>
    <w:rsid w:val="00EE5136"/>
    <w:rsid w:val="00EE6377"/>
    <w:rsid w:val="00EF0BB6"/>
    <w:rsid w:val="00EF1F79"/>
    <w:rsid w:val="00EF5A01"/>
    <w:rsid w:val="00F015C3"/>
    <w:rsid w:val="00F01DC2"/>
    <w:rsid w:val="00F02164"/>
    <w:rsid w:val="00F02423"/>
    <w:rsid w:val="00F02678"/>
    <w:rsid w:val="00F05B73"/>
    <w:rsid w:val="00F064F9"/>
    <w:rsid w:val="00F06872"/>
    <w:rsid w:val="00F069FC"/>
    <w:rsid w:val="00F074D6"/>
    <w:rsid w:val="00F1052C"/>
    <w:rsid w:val="00F10D6E"/>
    <w:rsid w:val="00F1156B"/>
    <w:rsid w:val="00F11F13"/>
    <w:rsid w:val="00F123D4"/>
    <w:rsid w:val="00F12AF6"/>
    <w:rsid w:val="00F1370E"/>
    <w:rsid w:val="00F13A2B"/>
    <w:rsid w:val="00F13DB7"/>
    <w:rsid w:val="00F14131"/>
    <w:rsid w:val="00F15BD7"/>
    <w:rsid w:val="00F16C38"/>
    <w:rsid w:val="00F16C41"/>
    <w:rsid w:val="00F178DC"/>
    <w:rsid w:val="00F20086"/>
    <w:rsid w:val="00F21C23"/>
    <w:rsid w:val="00F226D6"/>
    <w:rsid w:val="00F227E4"/>
    <w:rsid w:val="00F22905"/>
    <w:rsid w:val="00F23619"/>
    <w:rsid w:val="00F245E4"/>
    <w:rsid w:val="00F25224"/>
    <w:rsid w:val="00F26681"/>
    <w:rsid w:val="00F27A02"/>
    <w:rsid w:val="00F309C1"/>
    <w:rsid w:val="00F30D67"/>
    <w:rsid w:val="00F31FEC"/>
    <w:rsid w:val="00F32E9E"/>
    <w:rsid w:val="00F34698"/>
    <w:rsid w:val="00F350AB"/>
    <w:rsid w:val="00F35760"/>
    <w:rsid w:val="00F432EA"/>
    <w:rsid w:val="00F43BCA"/>
    <w:rsid w:val="00F43D6E"/>
    <w:rsid w:val="00F44E5A"/>
    <w:rsid w:val="00F47D1F"/>
    <w:rsid w:val="00F47F89"/>
    <w:rsid w:val="00F51FFB"/>
    <w:rsid w:val="00F54FE3"/>
    <w:rsid w:val="00F55170"/>
    <w:rsid w:val="00F55649"/>
    <w:rsid w:val="00F56BE1"/>
    <w:rsid w:val="00F56E4C"/>
    <w:rsid w:val="00F615E9"/>
    <w:rsid w:val="00F6193C"/>
    <w:rsid w:val="00F6216B"/>
    <w:rsid w:val="00F627EC"/>
    <w:rsid w:val="00F62983"/>
    <w:rsid w:val="00F649E2"/>
    <w:rsid w:val="00F65E99"/>
    <w:rsid w:val="00F67A32"/>
    <w:rsid w:val="00F67E6F"/>
    <w:rsid w:val="00F7048B"/>
    <w:rsid w:val="00F70942"/>
    <w:rsid w:val="00F70F62"/>
    <w:rsid w:val="00F72E02"/>
    <w:rsid w:val="00F7321E"/>
    <w:rsid w:val="00F7335E"/>
    <w:rsid w:val="00F738A5"/>
    <w:rsid w:val="00F739BA"/>
    <w:rsid w:val="00F73BAB"/>
    <w:rsid w:val="00F74F97"/>
    <w:rsid w:val="00F76151"/>
    <w:rsid w:val="00F802FF"/>
    <w:rsid w:val="00F80C06"/>
    <w:rsid w:val="00F82154"/>
    <w:rsid w:val="00F82166"/>
    <w:rsid w:val="00F8254E"/>
    <w:rsid w:val="00F82EF9"/>
    <w:rsid w:val="00F90DE0"/>
    <w:rsid w:val="00F927AE"/>
    <w:rsid w:val="00F92D0B"/>
    <w:rsid w:val="00F92F25"/>
    <w:rsid w:val="00F93672"/>
    <w:rsid w:val="00F93886"/>
    <w:rsid w:val="00F9472F"/>
    <w:rsid w:val="00F97CE3"/>
    <w:rsid w:val="00FA079A"/>
    <w:rsid w:val="00FA112D"/>
    <w:rsid w:val="00FA45A2"/>
    <w:rsid w:val="00FA4F79"/>
    <w:rsid w:val="00FA5618"/>
    <w:rsid w:val="00FA669A"/>
    <w:rsid w:val="00FB079F"/>
    <w:rsid w:val="00FB2261"/>
    <w:rsid w:val="00FB3904"/>
    <w:rsid w:val="00FB6928"/>
    <w:rsid w:val="00FB7794"/>
    <w:rsid w:val="00FC0EAC"/>
    <w:rsid w:val="00FC30D2"/>
    <w:rsid w:val="00FC3AAC"/>
    <w:rsid w:val="00FC477C"/>
    <w:rsid w:val="00FC5DCE"/>
    <w:rsid w:val="00FC750F"/>
    <w:rsid w:val="00FD18F7"/>
    <w:rsid w:val="00FD197C"/>
    <w:rsid w:val="00FD2449"/>
    <w:rsid w:val="00FD3376"/>
    <w:rsid w:val="00FD373E"/>
    <w:rsid w:val="00FD63CF"/>
    <w:rsid w:val="00FD66A3"/>
    <w:rsid w:val="00FD735E"/>
    <w:rsid w:val="00FD7385"/>
    <w:rsid w:val="00FD7420"/>
    <w:rsid w:val="00FD7983"/>
    <w:rsid w:val="00FE05FE"/>
    <w:rsid w:val="00FE061D"/>
    <w:rsid w:val="00FE064D"/>
    <w:rsid w:val="00FE13EC"/>
    <w:rsid w:val="00FE2685"/>
    <w:rsid w:val="00FE45F9"/>
    <w:rsid w:val="00FE571A"/>
    <w:rsid w:val="00FE5A45"/>
    <w:rsid w:val="00FF2240"/>
    <w:rsid w:val="00FF31DC"/>
    <w:rsid w:val="00FF52B0"/>
    <w:rsid w:val="00FF585A"/>
    <w:rsid w:val="00FF5D30"/>
    <w:rsid w:val="00FF704E"/>
    <w:rsid w:val="2036C3A6"/>
    <w:rsid w:val="4A516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61748"/>
  <w15:docId w15:val="{622374E8-AFC0-42AD-9D9F-89827E1A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AU" w:eastAsia="en-US" w:bidi="ar-SA"/>
      </w:rPr>
    </w:rPrDefault>
    <w:pPrDefault>
      <w:pPr>
        <w:spacing w:before="120" w:after="120" w:line="31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195F"/>
    <w:pPr>
      <w:spacing w:before="0"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F53"/>
    <w:pPr>
      <w:keepNext/>
      <w:keepLines/>
      <w:widowControl w:val="0"/>
      <w:tabs>
        <w:tab w:val="left" w:pos="220"/>
        <w:tab w:val="left" w:pos="720"/>
      </w:tabs>
      <w:spacing w:before="240" w:line="252" w:lineRule="auto"/>
      <w:jc w:val="both"/>
      <w:outlineLvl w:val="0"/>
    </w:pPr>
    <w:rPr>
      <w:rFonts w:eastAsiaTheme="minorEastAsia"/>
      <w:b/>
      <w:color w:val="4472C4" w:themeColor="accent1"/>
      <w:spacing w:val="1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C32082"/>
    <w:pPr>
      <w:keepNext/>
      <w:keepLines/>
      <w:widowControl w:val="0"/>
      <w:tabs>
        <w:tab w:val="left" w:pos="220"/>
        <w:tab w:val="left" w:pos="720"/>
      </w:tabs>
      <w:spacing w:before="240"/>
      <w:jc w:val="both"/>
      <w:outlineLvl w:val="1"/>
    </w:pPr>
    <w:rPr>
      <w:rFonts w:eastAsiaTheme="minorEastAsia"/>
      <w:b/>
      <w:color w:val="4472C4" w:themeColor="accent1"/>
      <w:spacing w:val="15"/>
      <w:sz w:val="22"/>
      <w:szCs w:val="22"/>
      <w:lang w:eastAsia="zh-CN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C43F53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rsid w:val="000048DC"/>
    <w:pPr>
      <w:keepNext/>
      <w:keepLines/>
      <w:widowControl w:val="0"/>
      <w:tabs>
        <w:tab w:val="left" w:pos="220"/>
        <w:tab w:val="left" w:pos="720"/>
      </w:tabs>
      <w:spacing w:before="240" w:line="252" w:lineRule="auto"/>
      <w:jc w:val="both"/>
      <w:outlineLvl w:val="3"/>
    </w:pPr>
    <w:rPr>
      <w:rFonts w:eastAsia="Calibri"/>
      <w:b/>
      <w:i/>
      <w:lang w:val="en-US" w:eastAsia="en-GB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C2B26"/>
    <w:pPr>
      <w:widowControl w:val="0"/>
      <w:spacing w:before="240" w:after="120" w:line="252" w:lineRule="auto"/>
      <w:jc w:val="both"/>
      <w:outlineLvl w:val="4"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32FD1"/>
    <w:pPr>
      <w:widowControl w:val="0"/>
      <w:numPr>
        <w:numId w:val="1"/>
      </w:numPr>
      <w:spacing w:before="120" w:after="120" w:line="252" w:lineRule="auto"/>
      <w:contextualSpacing/>
      <w:jc w:val="both"/>
    </w:pPr>
    <w:rPr>
      <w:rFonts w:eastAsia="SimSun"/>
    </w:rPr>
  </w:style>
  <w:style w:type="character" w:customStyle="1" w:styleId="Heading1Char">
    <w:name w:val="Heading 1 Char"/>
    <w:basedOn w:val="DefaultParagraphFont"/>
    <w:link w:val="Heading1"/>
    <w:uiPriority w:val="9"/>
    <w:rsid w:val="00C43F53"/>
    <w:rPr>
      <w:rFonts w:ascii="Times New Roman" w:eastAsiaTheme="minorEastAsia" w:hAnsi="Times New Roman" w:cs="Times New Roman"/>
      <w:b/>
      <w:color w:val="4472C4" w:themeColor="accent1"/>
      <w:spacing w:val="1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2082"/>
    <w:rPr>
      <w:rFonts w:ascii="Times New Roman" w:eastAsiaTheme="minorEastAsia" w:hAnsi="Times New Roman" w:cs="Times New Roman"/>
      <w:b/>
      <w:color w:val="4472C4" w:themeColor="accent1"/>
      <w:spacing w:val="15"/>
      <w:sz w:val="22"/>
      <w:szCs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43F53"/>
    <w:rPr>
      <w:rFonts w:ascii="Times New Roman" w:eastAsiaTheme="minorEastAsia" w:hAnsi="Times New Roman" w:cs="Times New Roman"/>
      <w:b/>
      <w:color w:val="4472C4" w:themeColor="accent1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406DC8"/>
    <w:rPr>
      <w:rFonts w:ascii="Times New Roman" w:eastAsia="Calibri" w:hAnsi="Times New Roman" w:cs="Times New Roman"/>
      <w:b/>
      <w:i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C53D3"/>
    <w:pPr>
      <w:widowControl w:val="0"/>
      <w:spacing w:after="120" w:line="252" w:lineRule="auto"/>
      <w:jc w:val="center"/>
    </w:pPr>
    <w:rPr>
      <w:rFonts w:eastAsiaTheme="majorEastAsia" w:cstheme="majorBidi"/>
      <w:b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C53D3"/>
    <w:rPr>
      <w:rFonts w:ascii="Times New Roman" w:eastAsiaTheme="majorEastAsia" w:hAnsi="Times New Roman" w:cstheme="majorBidi"/>
      <w:b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3D3"/>
    <w:pPr>
      <w:widowControl w:val="0"/>
      <w:spacing w:after="120" w:line="252" w:lineRule="auto"/>
      <w:jc w:val="center"/>
    </w:pPr>
    <w:rPr>
      <w:rFonts w:eastAsiaTheme="minorEastAsia" w:cstheme="minorBidi"/>
      <w:b/>
      <w:color w:val="4472C4" w:themeColor="accent1"/>
      <w:spacing w:val="15"/>
      <w:sz w:val="4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53D3"/>
    <w:rPr>
      <w:rFonts w:ascii="Times New Roman" w:eastAsiaTheme="minorEastAsia" w:hAnsi="Times New Roman"/>
      <w:b/>
      <w:color w:val="4472C4" w:themeColor="accent1"/>
      <w:spacing w:val="15"/>
      <w:sz w:val="48"/>
      <w:szCs w:val="22"/>
    </w:rPr>
  </w:style>
  <w:style w:type="paragraph" w:styleId="Header">
    <w:name w:val="header"/>
    <w:basedOn w:val="Normal"/>
    <w:link w:val="HeaderChar"/>
    <w:uiPriority w:val="99"/>
    <w:qFormat/>
    <w:rsid w:val="00CE2E1E"/>
    <w:pPr>
      <w:widowControl w:val="0"/>
      <w:tabs>
        <w:tab w:val="center" w:pos="4513"/>
        <w:tab w:val="right" w:pos="9026"/>
      </w:tabs>
      <w:jc w:val="right"/>
    </w:pPr>
    <w:rPr>
      <w:rFonts w:eastAsia="SimSu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E2E1E"/>
    <w:rPr>
      <w:sz w:val="20"/>
    </w:rPr>
  </w:style>
  <w:style w:type="paragraph" w:styleId="Footer">
    <w:name w:val="footer"/>
    <w:basedOn w:val="FootnoteText"/>
    <w:link w:val="FooterChar"/>
    <w:uiPriority w:val="99"/>
    <w:qFormat/>
    <w:rsid w:val="00C43F53"/>
  </w:style>
  <w:style w:type="character" w:customStyle="1" w:styleId="FooterChar">
    <w:name w:val="Footer Char"/>
    <w:basedOn w:val="DefaultParagraphFont"/>
    <w:link w:val="Footer"/>
    <w:uiPriority w:val="99"/>
    <w:rsid w:val="00C43F53"/>
    <w:rPr>
      <w:rFonts w:ascii="Times New Roman" w:eastAsia="Times New Roman" w:hAnsi="Times New Roman" w:cs="Times New Roman"/>
      <w:color w:val="000000"/>
      <w:sz w:val="20"/>
      <w:szCs w:val="20"/>
      <w:lang w:val="en-US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782F22"/>
    <w:pPr>
      <w:outlineLvl w:val="9"/>
    </w:pPr>
  </w:style>
  <w:style w:type="character" w:styleId="Strong">
    <w:name w:val="Strong"/>
    <w:basedOn w:val="DefaultParagraphFont"/>
    <w:uiPriority w:val="22"/>
    <w:unhideWhenUsed/>
    <w:rsid w:val="00032FD1"/>
    <w:rPr>
      <w:rFonts w:asciiTheme="minorHAnsi" w:hAnsiTheme="minorHAnsi"/>
      <w:b/>
      <w:bCs/>
      <w:sz w:val="20"/>
    </w:rPr>
  </w:style>
  <w:style w:type="character" w:styleId="Emphasis">
    <w:name w:val="Emphasis"/>
    <w:uiPriority w:val="20"/>
    <w:unhideWhenUsed/>
    <w:rsid w:val="003C2B26"/>
    <w:rPr>
      <w:rFonts w:ascii="Times New Roman" w:hAnsi="Times New Roman"/>
      <w:b/>
      <w:sz w:val="24"/>
    </w:rPr>
  </w:style>
  <w:style w:type="character" w:styleId="Hyperlink">
    <w:name w:val="Hyperlink"/>
    <w:basedOn w:val="DefaultParagraphFont"/>
    <w:uiPriority w:val="99"/>
    <w:unhideWhenUsed/>
    <w:rsid w:val="003D4B4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B72"/>
    <w:pPr>
      <w:widowControl w:val="0"/>
      <w:jc w:val="both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B72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E62D21"/>
    <w:pPr>
      <w:widowControl w:val="0"/>
      <w:tabs>
        <w:tab w:val="right" w:pos="9592"/>
      </w:tabs>
      <w:spacing w:before="120" w:after="100" w:line="252" w:lineRule="auto"/>
      <w:jc w:val="both"/>
    </w:pPr>
    <w:rPr>
      <w:rFonts w:eastAsia="SimSun"/>
      <w:noProof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FE2685"/>
    <w:pPr>
      <w:widowControl w:val="0"/>
      <w:tabs>
        <w:tab w:val="right" w:pos="9592"/>
      </w:tabs>
      <w:spacing w:before="120" w:after="100"/>
      <w:ind w:left="200"/>
      <w:jc w:val="both"/>
    </w:pPr>
    <w:rPr>
      <w:rFonts w:eastAsia="SimSun"/>
    </w:rPr>
  </w:style>
  <w:style w:type="paragraph" w:styleId="TOC3">
    <w:name w:val="toc 3"/>
    <w:basedOn w:val="Normal"/>
    <w:next w:val="Normal"/>
    <w:autoRedefine/>
    <w:uiPriority w:val="39"/>
    <w:unhideWhenUsed/>
    <w:rsid w:val="004E67DA"/>
    <w:pPr>
      <w:widowControl w:val="0"/>
      <w:spacing w:before="120" w:after="100" w:line="252" w:lineRule="auto"/>
      <w:ind w:left="400"/>
      <w:jc w:val="both"/>
    </w:pPr>
    <w:rPr>
      <w:rFonts w:eastAsia="SimSun"/>
    </w:rPr>
  </w:style>
  <w:style w:type="paragraph" w:styleId="Caption">
    <w:name w:val="caption"/>
    <w:basedOn w:val="Normal"/>
    <w:next w:val="Normal"/>
    <w:uiPriority w:val="35"/>
    <w:unhideWhenUsed/>
    <w:qFormat/>
    <w:rsid w:val="00581C04"/>
    <w:pPr>
      <w:widowControl w:val="0"/>
      <w:spacing w:before="120" w:after="120"/>
      <w:jc w:val="both"/>
    </w:pPr>
    <w:rPr>
      <w:rFonts w:eastAsia="SimSun"/>
      <w:iCs/>
      <w:color w:val="595959" w:themeColor="text1" w:themeTint="A6"/>
      <w:sz w:val="20"/>
      <w:szCs w:val="18"/>
    </w:rPr>
  </w:style>
  <w:style w:type="table" w:styleId="TableGrid">
    <w:name w:val="Table Grid"/>
    <w:basedOn w:val="TableNormal"/>
    <w:uiPriority w:val="39"/>
    <w:rsid w:val="00581C0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NUstandard">
    <w:name w:val="ANU standard"/>
    <w:basedOn w:val="TableNormal"/>
    <w:uiPriority w:val="99"/>
    <w:rsid w:val="0028296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table" w:customStyle="1" w:styleId="ANUrowheader">
    <w:name w:val="ANU row header"/>
    <w:basedOn w:val="ANUstandard"/>
    <w:uiPriority w:val="99"/>
    <w:rsid w:val="002E3DA2"/>
    <w:rPr>
      <w:rFonts w:ascii="Times New Roman" w:hAnsi="Times New Roman"/>
    </w:rPr>
    <w:tblPr/>
    <w:tcPr>
      <w:shd w:val="clear" w:color="auto" w:fill="auto"/>
    </w:tcPr>
    <w:tblStylePr w:type="firstRow">
      <w:rPr>
        <w:b/>
      </w:rPr>
      <w:tblPr/>
      <w:tcPr>
        <w:shd w:val="clear" w:color="auto" w:fill="B4C6E7" w:themeFill="accent1" w:themeFillTint="66"/>
      </w:tcPr>
    </w:tblStylePr>
    <w:tblStylePr w:type="firstCol">
      <w:rPr>
        <w:b w:val="0"/>
      </w:rPr>
    </w:tblStylePr>
  </w:style>
  <w:style w:type="table" w:customStyle="1" w:styleId="ANUcolumnheader">
    <w:name w:val="ANU column header"/>
    <w:basedOn w:val="ANUstandard"/>
    <w:uiPriority w:val="99"/>
    <w:rsid w:val="00282969"/>
    <w:tblPr/>
    <w:tcPr>
      <w:shd w:val="clear" w:color="auto" w:fill="auto"/>
    </w:tcPr>
    <w:tblStylePr w:type="firstRow">
      <w:rPr>
        <w:b w:val="0"/>
      </w:rPr>
    </w:tblStylePr>
    <w:tblStylePr w:type="firstCol">
      <w:rPr>
        <w:b/>
      </w:rPr>
      <w:tblPr/>
      <w:tcPr>
        <w:shd w:val="clear" w:color="auto" w:fill="B4C6E7" w:themeFill="accent1" w:themeFillTint="66"/>
      </w:tcPr>
    </w:tblStylePr>
  </w:style>
  <w:style w:type="table" w:customStyle="1" w:styleId="ANUrowcolumnheader">
    <w:name w:val="ANU row/column header"/>
    <w:basedOn w:val="ANUstandard"/>
    <w:uiPriority w:val="99"/>
    <w:rsid w:val="00282969"/>
    <w:tblPr/>
    <w:tblStylePr w:type="firstRow">
      <w:rPr>
        <w:b/>
      </w:rPr>
      <w:tblPr/>
      <w:tcPr>
        <w:shd w:val="clear" w:color="auto" w:fill="B4C6E7" w:themeFill="accent1" w:themeFillTint="66"/>
      </w:tcPr>
    </w:tblStylePr>
    <w:tblStylePr w:type="firstCol">
      <w:rPr>
        <w:b/>
      </w:rPr>
      <w:tblPr/>
      <w:tcPr>
        <w:shd w:val="clear" w:color="auto" w:fill="B4C6E7" w:themeFill="accent1" w:themeFillTint="66"/>
      </w:tcPr>
    </w:tblStylePr>
  </w:style>
  <w:style w:type="paragraph" w:styleId="FootnoteText">
    <w:name w:val="footnote text"/>
    <w:basedOn w:val="Caption"/>
    <w:link w:val="FootnoteTextChar"/>
    <w:uiPriority w:val="99"/>
    <w:unhideWhenUsed/>
    <w:rsid w:val="00B01B02"/>
  </w:style>
  <w:style w:type="character" w:customStyle="1" w:styleId="FootnoteTextChar">
    <w:name w:val="Footnote Text Char"/>
    <w:basedOn w:val="DefaultParagraphFont"/>
    <w:link w:val="FootnoteText"/>
    <w:uiPriority w:val="99"/>
    <w:rsid w:val="00B01B02"/>
    <w:rPr>
      <w:rFonts w:ascii="Times New Roman" w:hAnsi="Times New Roman" w:cs="Times New Roman"/>
      <w:iCs/>
      <w:color w:val="595959" w:themeColor="text1" w:themeTint="A6"/>
      <w:sz w:val="20"/>
      <w:szCs w:val="18"/>
    </w:rPr>
  </w:style>
  <w:style w:type="character" w:customStyle="1" w:styleId="UnresolvedMention1">
    <w:name w:val="Unresolved Mention1"/>
    <w:basedOn w:val="DefaultParagraphFont"/>
    <w:uiPriority w:val="99"/>
    <w:rsid w:val="00E354A7"/>
    <w:rPr>
      <w:color w:val="808080"/>
      <w:shd w:val="clear" w:color="auto" w:fill="E6E6E6"/>
    </w:rPr>
  </w:style>
  <w:style w:type="character" w:styleId="FootnoteReference">
    <w:name w:val="footnote reference"/>
    <w:basedOn w:val="DefaultParagraphFont"/>
    <w:uiPriority w:val="99"/>
    <w:semiHidden/>
    <w:unhideWhenUsed/>
    <w:rsid w:val="009E2493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230EAD"/>
    <w:pPr>
      <w:widowControl w:val="0"/>
      <w:spacing w:before="120" w:after="120" w:line="252" w:lineRule="auto"/>
      <w:ind w:left="220"/>
      <w:jc w:val="both"/>
    </w:pPr>
    <w:rPr>
      <w:rFonts w:eastAsia="SimSun"/>
      <w:i/>
    </w:rPr>
  </w:style>
  <w:style w:type="character" w:customStyle="1" w:styleId="QuoteChar">
    <w:name w:val="Quote Char"/>
    <w:basedOn w:val="DefaultParagraphFont"/>
    <w:link w:val="Quote"/>
    <w:uiPriority w:val="29"/>
    <w:rsid w:val="00230EAD"/>
    <w:rPr>
      <w:rFonts w:ascii="Times New Roman" w:hAnsi="Times New Roman" w:cs="Times New Roman"/>
      <w:i/>
    </w:rPr>
  </w:style>
  <w:style w:type="paragraph" w:customStyle="1" w:styleId="TableFigure">
    <w:name w:val="Table/Figure"/>
    <w:basedOn w:val="Normal"/>
    <w:link w:val="TableFigureChar"/>
    <w:qFormat/>
    <w:rsid w:val="00013223"/>
    <w:pPr>
      <w:widowControl w:val="0"/>
      <w:spacing w:before="120" w:after="120" w:line="252" w:lineRule="auto"/>
      <w:jc w:val="both"/>
    </w:pPr>
    <w:rPr>
      <w:rFonts w:eastAsia="SimSun"/>
      <w:b/>
      <w:sz w:val="28"/>
      <w:szCs w:val="28"/>
    </w:rPr>
  </w:style>
  <w:style w:type="table" w:customStyle="1" w:styleId="GridTable4-Accent51">
    <w:name w:val="Grid Table 4 - Accent 51"/>
    <w:basedOn w:val="TableNormal"/>
    <w:uiPriority w:val="49"/>
    <w:rsid w:val="00882D6F"/>
    <w:pPr>
      <w:spacing w:before="0" w:after="0" w:line="240" w:lineRule="auto"/>
    </w:pPr>
    <w:rPr>
      <w:rFonts w:eastAsiaTheme="minorEastAsia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ableFigureChar">
    <w:name w:val="Table/Figure Char"/>
    <w:basedOn w:val="DefaultParagraphFont"/>
    <w:link w:val="TableFigure"/>
    <w:rsid w:val="00013223"/>
    <w:rPr>
      <w:rFonts w:ascii="Times New Roman" w:hAnsi="Times New Roman" w:cs="Times New Roman"/>
      <w:b/>
      <w:sz w:val="28"/>
      <w:szCs w:val="28"/>
    </w:rPr>
  </w:style>
  <w:style w:type="paragraph" w:customStyle="1" w:styleId="2ndIndentation">
    <w:name w:val="2nd Indentation"/>
    <w:basedOn w:val="ListParagraph"/>
    <w:link w:val="2ndIndentationChar"/>
    <w:uiPriority w:val="99"/>
    <w:rsid w:val="00406DC8"/>
    <w:pPr>
      <w:numPr>
        <w:numId w:val="11"/>
      </w:numPr>
      <w:tabs>
        <w:tab w:val="left" w:pos="720"/>
      </w:tabs>
      <w:spacing w:before="0" w:after="160"/>
      <w:ind w:left="1170" w:hanging="180"/>
    </w:pPr>
  </w:style>
  <w:style w:type="numbering" w:customStyle="1" w:styleId="BulletPoints">
    <w:name w:val="Bullet Points"/>
    <w:basedOn w:val="NoList"/>
    <w:uiPriority w:val="99"/>
    <w:rsid w:val="00406DC8"/>
    <w:pPr>
      <w:numPr>
        <w:numId w:val="1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06DC8"/>
    <w:rPr>
      <w:rFonts w:ascii="Times New Roman" w:hAnsi="Times New Roman" w:cs="Times New Roman"/>
    </w:rPr>
  </w:style>
  <w:style w:type="character" w:customStyle="1" w:styleId="2ndIndentationChar">
    <w:name w:val="2nd Indentation Char"/>
    <w:basedOn w:val="ListParagraphChar"/>
    <w:link w:val="2ndIndentation"/>
    <w:uiPriority w:val="99"/>
    <w:rsid w:val="002F0426"/>
    <w:rPr>
      <w:rFonts w:ascii="Times New Roman" w:hAnsi="Times New Roman" w:cs="Times New Roman"/>
    </w:rPr>
  </w:style>
  <w:style w:type="numbering" w:customStyle="1" w:styleId="Style1">
    <w:name w:val="Style1"/>
    <w:basedOn w:val="BulletPoints"/>
    <w:uiPriority w:val="99"/>
    <w:rsid w:val="002F0426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3C2B26"/>
    <w:rPr>
      <w:rFonts w:ascii="Times New Roman" w:hAnsi="Times New Roman" w:cs="Times New Roman"/>
    </w:rPr>
  </w:style>
  <w:style w:type="character" w:styleId="SubtleEmphasis">
    <w:name w:val="Subtle Emphasis"/>
    <w:uiPriority w:val="19"/>
    <w:qFormat/>
    <w:rsid w:val="003C2B26"/>
    <w:rPr>
      <w:rFonts w:ascii="Times New Roman" w:hAnsi="Times New Roman"/>
      <w:caps/>
      <w:smallCaps w:val="0"/>
      <w:vanish w:val="0"/>
      <w:sz w:val="24"/>
    </w:rPr>
  </w:style>
  <w:style w:type="character" w:styleId="IntenseEmphasis">
    <w:name w:val="Intense Emphasis"/>
    <w:basedOn w:val="DefaultParagraphFont"/>
    <w:uiPriority w:val="21"/>
    <w:qFormat/>
    <w:rsid w:val="003C2B26"/>
    <w:rPr>
      <w:rFonts w:ascii="Times New Roman" w:hAnsi="Times New Roman"/>
      <w:b/>
      <w:i w:val="0"/>
      <w:iCs/>
      <w:caps/>
      <w:smallCaps w:val="0"/>
      <w:vanish w:val="0"/>
      <w:sz w:val="24"/>
    </w:rPr>
  </w:style>
  <w:style w:type="character" w:styleId="BookTitle">
    <w:name w:val="Book Title"/>
    <w:uiPriority w:val="33"/>
    <w:qFormat/>
    <w:rsid w:val="003C2B26"/>
    <w:rPr>
      <w:i/>
      <w:noProof/>
    </w:rPr>
  </w:style>
  <w:style w:type="character" w:styleId="PlaceholderText">
    <w:name w:val="Placeholder Text"/>
    <w:basedOn w:val="DefaultParagraphFont"/>
    <w:uiPriority w:val="99"/>
    <w:semiHidden/>
    <w:rsid w:val="0008746E"/>
    <w:rPr>
      <w:color w:val="808080"/>
    </w:rPr>
  </w:style>
  <w:style w:type="paragraph" w:customStyle="1" w:styleId="paragraph">
    <w:name w:val="paragraph"/>
    <w:basedOn w:val="Normal"/>
    <w:rsid w:val="00C66578"/>
    <w:pPr>
      <w:spacing w:before="100" w:beforeAutospacing="1" w:after="100" w:afterAutospacing="1"/>
    </w:pPr>
    <w:rPr>
      <w:lang w:eastAsia="zh-CN"/>
    </w:rPr>
  </w:style>
  <w:style w:type="character" w:customStyle="1" w:styleId="normaltextrun">
    <w:name w:val="normaltextrun"/>
    <w:basedOn w:val="DefaultParagraphFont"/>
    <w:rsid w:val="00C66578"/>
  </w:style>
  <w:style w:type="character" w:customStyle="1" w:styleId="eop">
    <w:name w:val="eop"/>
    <w:basedOn w:val="DefaultParagraphFont"/>
    <w:rsid w:val="00C66578"/>
  </w:style>
  <w:style w:type="character" w:customStyle="1" w:styleId="apple-converted-space">
    <w:name w:val="apple-converted-space"/>
    <w:basedOn w:val="DefaultParagraphFont"/>
    <w:rsid w:val="00C66578"/>
  </w:style>
  <w:style w:type="character" w:customStyle="1" w:styleId="contextualspellingandgrammarerror">
    <w:name w:val="contextualspellingandgrammarerror"/>
    <w:basedOn w:val="DefaultParagraphFont"/>
    <w:rsid w:val="00C66578"/>
  </w:style>
  <w:style w:type="paragraph" w:styleId="NormalWeb">
    <w:name w:val="Normal (Web)"/>
    <w:basedOn w:val="Normal"/>
    <w:uiPriority w:val="99"/>
    <w:unhideWhenUsed/>
    <w:rsid w:val="006C4354"/>
    <w:pPr>
      <w:spacing w:before="100" w:beforeAutospacing="1" w:after="100" w:afterAutospacing="1"/>
    </w:pPr>
    <w:rPr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914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4C2"/>
    <w:pPr>
      <w:widowControl w:val="0"/>
      <w:spacing w:before="120" w:after="120"/>
      <w:jc w:val="both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4C2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4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4C2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13981"/>
    <w:pPr>
      <w:spacing w:before="0" w:after="0" w:line="240" w:lineRule="auto"/>
    </w:pPr>
    <w:rPr>
      <w:rFonts w:ascii="Times New Roman" w:hAnsi="Times New Roman" w:cs="Times New Roman"/>
    </w:rPr>
  </w:style>
  <w:style w:type="table" w:customStyle="1" w:styleId="TableGrid1">
    <w:name w:val="Table Grid1"/>
    <w:basedOn w:val="TableNormal"/>
    <w:next w:val="TableGrid"/>
    <w:uiPriority w:val="39"/>
    <w:rsid w:val="004D414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512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262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2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9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3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6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4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2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3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3.png"/><Relationship Id="rId26" Type="http://schemas.openxmlformats.org/officeDocument/2006/relationships/hyperlink" Target="https://www.facebook.com/smfAN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rsfas.anu.edu.au/rsfas-education/student-managed-fund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mf.rsfas@anu.edu.au" TargetMode="External"/><Relationship Id="rId25" Type="http://schemas.openxmlformats.org/officeDocument/2006/relationships/hyperlink" Target="https://www.rsfas.anu.edu.au/rsfas-education/student-managed-fund/" TargetMode="External"/><Relationship Id="rId2" Type="http://schemas.openxmlformats.org/officeDocument/2006/relationships/customXml" Target="../customXml/item2.xml"/><Relationship Id="rId20" Type="http://schemas.openxmlformats.org/officeDocument/2006/relationships/hyperlink" Target="mailto:smf.rsfas@anu.edu.a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smf.rsfas@anu.edu.au" TargetMode="External"/><Relationship Id="rId5" Type="http://schemas.openxmlformats.org/officeDocument/2006/relationships/numbering" Target="numbering.xml"/><Relationship Id="rId15" Type="http://schemas.microsoft.com/office/2014/relationships/chartEx" Target="charts/chartEx1.xml"/><Relationship Id="rId23" Type="http://schemas.openxmlformats.org/officeDocument/2006/relationships/hyperlink" Target="http://www.anu.edu.au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policies.anu.edu.au/ppl/document/ANUP_005802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Relationship Id="rId22" Type="http://schemas.openxmlformats.org/officeDocument/2006/relationships/hyperlink" Target="https://www.facebook.com/smfANU/" TargetMode="External"/><Relationship Id="rId27" Type="http://schemas.openxmlformats.org/officeDocument/2006/relationships/hyperlink" Target="http://www.anu.edu.au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\yanfeirao\Downloads\R&amp;C%20Performance%20Attribution%20S2%202019-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/Users\yanfeirao\Downloads\Asset%20Allocatio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325783567159306"/>
          <c:y val="0.14285366410360414"/>
          <c:w val="0.82141408162905816"/>
          <c:h val="0.72943163747191719"/>
        </c:manualLayout>
      </c:layout>
      <c:ofPieChart>
        <c:ofPieType val="pie"/>
        <c:varyColors val="1"/>
        <c:ser>
          <c:idx val="0"/>
          <c:order val="0"/>
          <c:tx>
            <c:strRef>
              <c:f>'Portfolio Weights'!$B$29</c:f>
              <c:strCache>
                <c:ptCount val="1"/>
                <c:pt idx="0">
                  <c:v>Portfolio</c:v>
                </c:pt>
              </c:strCache>
            </c:strRef>
          </c:tx>
          <c:spPr>
            <a:ln w="19050" cap="flat">
              <a:solidFill>
                <a:schemeClr val="bg1"/>
              </a:solidFill>
            </a:ln>
            <a:effectLst>
              <a:outerShdw sx="1000" sy="1000" algn="ctr" rotWithShape="0">
                <a:srgbClr val="000000"/>
              </a:outerShdw>
            </a:effectLst>
          </c:spPr>
          <c:dPt>
            <c:idx val="0"/>
            <c:bubble3D val="0"/>
            <c:spPr>
              <a:solidFill>
                <a:srgbClr val="B4C7E7"/>
              </a:solidFill>
              <a:ln w="19050" cap="flat">
                <a:solidFill>
                  <a:schemeClr val="bg1"/>
                </a:solidFill>
              </a:ln>
              <a:effectLst>
                <a:outerShdw sx="1000" sy="1000" algn="ctr" rotWithShape="0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C2C-7F47-9D1E-0CCA45F66465}"/>
              </c:ext>
            </c:extLst>
          </c:dPt>
          <c:dPt>
            <c:idx val="1"/>
            <c:bubble3D val="0"/>
            <c:spPr>
              <a:solidFill>
                <a:schemeClr val="accent5">
                  <a:lumMod val="75000"/>
                </a:schemeClr>
              </a:solidFill>
              <a:ln w="19050" cap="flat">
                <a:solidFill>
                  <a:schemeClr val="bg1"/>
                </a:solidFill>
              </a:ln>
              <a:effectLst>
                <a:outerShdw sx="1000" sy="1000" algn="ctr" rotWithShape="0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C2C-7F47-9D1E-0CCA45F66465}"/>
              </c:ext>
            </c:extLst>
          </c:dPt>
          <c:dPt>
            <c:idx val="2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19050" cap="flat">
                <a:solidFill>
                  <a:schemeClr val="bg1"/>
                </a:solidFill>
              </a:ln>
              <a:effectLst>
                <a:outerShdw sx="1000" sy="1000" algn="ctr" rotWithShape="0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C2C-7F47-9D1E-0CCA45F66465}"/>
              </c:ext>
            </c:extLst>
          </c:dPt>
          <c:dPt>
            <c:idx val="3"/>
            <c:bubble3D val="0"/>
            <c:spPr>
              <a:solidFill>
                <a:srgbClr val="404040"/>
              </a:solidFill>
              <a:ln w="19050" cap="flat">
                <a:solidFill>
                  <a:schemeClr val="bg1"/>
                </a:solidFill>
              </a:ln>
              <a:effectLst>
                <a:outerShdw sx="1000" sy="1000" algn="ctr" rotWithShape="0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C2C-7F47-9D1E-0CCA45F66465}"/>
              </c:ext>
            </c:extLst>
          </c:dPt>
          <c:dPt>
            <c:idx val="4"/>
            <c:bubble3D val="0"/>
            <c:spPr>
              <a:solidFill>
                <a:srgbClr val="7F7F7F"/>
              </a:solidFill>
              <a:ln w="19050" cap="flat">
                <a:solidFill>
                  <a:schemeClr val="bg1"/>
                </a:solidFill>
              </a:ln>
              <a:effectLst>
                <a:outerShdw sx="1000" sy="1000" algn="ctr" rotWithShape="0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CC2C-7F47-9D1E-0CCA45F66465}"/>
              </c:ext>
            </c:extLst>
          </c:dPt>
          <c:dPt>
            <c:idx val="5"/>
            <c:bubble3D val="0"/>
            <c:spPr>
              <a:solidFill>
                <a:srgbClr val="C9C9C9"/>
              </a:solidFill>
              <a:ln w="19050" cap="flat">
                <a:solidFill>
                  <a:schemeClr val="bg1"/>
                </a:solidFill>
              </a:ln>
              <a:effectLst>
                <a:outerShdw sx="1000" sy="1000" algn="ctr" rotWithShape="0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CC2C-7F47-9D1E-0CCA45F66465}"/>
              </c:ext>
            </c:extLst>
          </c:dPt>
          <c:dPt>
            <c:idx val="6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 cap="flat">
                <a:solidFill>
                  <a:schemeClr val="bg1"/>
                </a:solidFill>
              </a:ln>
              <a:effectLst>
                <a:outerShdw sx="1000" sy="1000" algn="ctr" rotWithShape="0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CC2C-7F47-9D1E-0CCA45F66465}"/>
              </c:ext>
            </c:extLst>
          </c:dPt>
          <c:dPt>
            <c:idx val="7"/>
            <c:bubble3D val="0"/>
            <c:spPr>
              <a:solidFill>
                <a:srgbClr val="EFD06B"/>
              </a:solidFill>
              <a:ln w="19050" cap="flat">
                <a:solidFill>
                  <a:schemeClr val="bg1"/>
                </a:solidFill>
              </a:ln>
              <a:effectLst>
                <a:outerShdw sx="1000" sy="1000" algn="ctr" rotWithShape="0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CC2C-7F47-9D1E-0CCA45F66465}"/>
              </c:ext>
            </c:extLst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 cap="flat">
                <a:solidFill>
                  <a:schemeClr val="bg1"/>
                </a:solidFill>
              </a:ln>
              <a:effectLst>
                <a:outerShdw sx="1000" sy="1000" algn="ctr" rotWithShape="0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CC2C-7F47-9D1E-0CCA45F66465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19050" cap="flat">
                <a:solidFill>
                  <a:schemeClr val="bg1"/>
                </a:solidFill>
              </a:ln>
              <a:effectLst>
                <a:outerShdw sx="1000" sy="1000" algn="ctr" rotWithShape="0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CC2C-7F47-9D1E-0CCA45F6646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19050" cap="flat">
                <a:solidFill>
                  <a:schemeClr val="bg1"/>
                </a:solidFill>
              </a:ln>
              <a:effectLst>
                <a:outerShdw sx="1000" sy="1000" algn="ctr" rotWithShape="0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CC2C-7F47-9D1E-0CCA45F66465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19050" cap="flat">
                <a:solidFill>
                  <a:schemeClr val="bg1"/>
                </a:solidFill>
              </a:ln>
              <a:effectLst>
                <a:outerShdw sx="1000" sy="1000" algn="ctr" rotWithShape="0">
                  <a:srgbClr val="000000"/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CC2C-7F47-9D1E-0CCA45F66465}"/>
              </c:ext>
            </c:extLst>
          </c:dPt>
          <c:dLbls>
            <c:dLbl>
              <c:idx val="0"/>
              <c:layout>
                <c:manualLayout>
                  <c:x val="-5.8299593654892569E-3"/>
                  <c:y val="1.4650388969400095E-2"/>
                </c:manualLayout>
              </c:layout>
              <c:numFmt formatCode="0.00%" sourceLinked="0"/>
              <c:spPr>
                <a:noFill/>
                <a:ln w="12700" cap="flat" cmpd="sng" algn="ctr">
                  <a:noFill/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B4C7E7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C2C-7F47-9D1E-0CCA45F66465}"/>
                </c:ext>
              </c:extLst>
            </c:dLbl>
            <c:dLbl>
              <c:idx val="1"/>
              <c:layout>
                <c:manualLayout>
                  <c:x val="-5.4203228859903987E-2"/>
                  <c:y val="-3.6123844041352098E-2"/>
                </c:manualLayout>
              </c:layout>
              <c:numFmt formatCode="0.00%" sourceLinked="0"/>
              <c:spPr>
                <a:noFill/>
                <a:ln w="12700" cap="flat" cmpd="sng" algn="ctr">
                  <a:noFill/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C2C-7F47-9D1E-0CCA45F66465}"/>
                </c:ext>
              </c:extLst>
            </c:dLbl>
            <c:dLbl>
              <c:idx val="2"/>
              <c:layout>
                <c:manualLayout>
                  <c:x val="-2.2965589097772913E-2"/>
                  <c:y val="-1.2141472910478899E-2"/>
                </c:manualLayout>
              </c:layout>
              <c:numFmt formatCode="0.00%" sourceLinked="0"/>
              <c:spPr>
                <a:noFill/>
                <a:ln w="12700" cap="flat" cmpd="sng" algn="ctr">
                  <a:noFill/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C2C-7F47-9D1E-0CCA45F66465}"/>
                </c:ext>
              </c:extLst>
            </c:dLbl>
            <c:dLbl>
              <c:idx val="3"/>
              <c:layout>
                <c:manualLayout>
                  <c:x val="-4.4807228784941151E-2"/>
                  <c:y val="1.108237418386884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bg2">
                            <a:lumMod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F2FE59FE-92F1-4652-AFC0-B85B79D9C075}" type="CATEGORYNAME">
                      <a:rPr lang="en-US" sz="900">
                        <a:solidFill>
                          <a:srgbClr val="40404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1">
                          <a:solidFill>
                            <a:schemeClr val="bg2">
                              <a:lumMod val="25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en-US" sz="9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185982DC-43FC-429F-939E-FD40B0BA03F8}" type="PERCENTAGE">
                      <a:rPr lang="en-US" sz="9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1">
                          <a:solidFill>
                            <a:schemeClr val="bg2">
                              <a:lumMod val="25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[PERCENTAGE]</a:t>
                    </a:fld>
                    <a:endParaRPr lang="en-US" sz="900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numFmt formatCode="0.00%" sourceLinked="0"/>
              <c:spPr>
                <a:noFill/>
                <a:ln w="12700" cap="flat" cmpd="sng" algn="ctr">
                  <a:noFill/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2">
                          <a:lumMod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C2C-7F47-9D1E-0CCA45F66465}"/>
                </c:ext>
              </c:extLst>
            </c:dLbl>
            <c:dLbl>
              <c:idx val="4"/>
              <c:layout>
                <c:manualLayout>
                  <c:x val="-2.6552791099938286E-2"/>
                  <c:y val="-2.307919325317039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3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F1587B73-04C7-41F3-869A-F233732870E2}" type="CATEGORYNAME">
                      <a:rPr lang="en-US" sz="9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1">
                          <a:solidFill>
                            <a:schemeClr val="accent3">
                              <a:lumMod val="75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en-US" sz="900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</a:t>
                    </a:r>
                    <a:fld id="{667F41E5-E929-4188-91F5-78879DC17D23}" type="PERCENTAGE">
                      <a:rPr lang="en-US" sz="900" baseline="0">
                        <a:solidFill>
                          <a:srgbClr val="7F7F7F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1">
                          <a:solidFill>
                            <a:schemeClr val="accent3">
                              <a:lumMod val="75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[PERCENTAGE]</a:t>
                    </a:fld>
                    <a:endParaRPr lang="en-US" sz="900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numFmt formatCode="0.00%" sourceLinked="0"/>
              <c:spPr>
                <a:noFill/>
                <a:ln w="12700" cap="flat" cmpd="sng" algn="ctr">
                  <a:noFill/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3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C2C-7F47-9D1E-0CCA45F66465}"/>
                </c:ext>
              </c:extLst>
            </c:dLbl>
            <c:dLbl>
              <c:idx val="5"/>
              <c:layout>
                <c:manualLayout>
                  <c:x val="5.1552800837633687E-2"/>
                  <c:y val="6.358316841287098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C9C9C9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1882D798-7B91-E84B-B82A-F640FF20C49E}" type="CATEGORYNAME">
                      <a:rPr lang="en-US" sz="900">
                        <a:solidFill>
                          <a:srgbClr val="C9C9C9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1">
                          <a:solidFill>
                            <a:srgbClr val="C9C9C9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en-US" sz="900" baseline="0">
                        <a:solidFill>
                          <a:srgbClr val="C9C9C9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9.61%</a:t>
                    </a:r>
                  </a:p>
                </c:rich>
              </c:tx>
              <c:numFmt formatCode="0.00%" sourceLinked="0"/>
              <c:spPr>
                <a:noFill/>
                <a:ln w="12700" cap="flat" cmpd="sng" algn="ctr">
                  <a:noFill/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C9C9C9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CC2C-7F47-9D1E-0CCA45F66465}"/>
                </c:ext>
              </c:extLst>
            </c:dLbl>
            <c:dLbl>
              <c:idx val="6"/>
              <c:layout>
                <c:manualLayout>
                  <c:x val="-6.8272076967108744E-4"/>
                  <c:y val="9.107631180680643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2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A36C6B1F-2F74-5A42-B4A7-B51983B42176}" type="CATEGORYNAME">
                      <a:rPr lang="en-US" sz="900"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1">
                          <a:solidFill>
                            <a:schemeClr val="accent2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en-US" sz="900" baseline="0"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3.13%</a:t>
                    </a:r>
                  </a:p>
                </c:rich>
              </c:tx>
              <c:numFmt formatCode="0.00%" sourceLinked="0"/>
              <c:spPr>
                <a:noFill/>
                <a:ln w="12700" cap="flat" cmpd="sng" algn="ctr">
                  <a:noFill/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CC2C-7F47-9D1E-0CCA45F66465}"/>
                </c:ext>
              </c:extLst>
            </c:dLbl>
            <c:dLbl>
              <c:idx val="7"/>
              <c:layout>
                <c:manualLayout>
                  <c:x val="-7.0509454688087187E-3"/>
                  <c:y val="2.707461957493577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rgbClr val="C6AAF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C8925F09-3C98-8F47-837A-EA2CDDD441DB}" type="CATEGORYNAME">
                      <a:rPr lang="en-US" sz="900">
                        <a:solidFill>
                          <a:srgbClr val="EFD06B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1">
                          <a:solidFill>
                            <a:srgbClr val="C6AAF0"/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en-US" sz="900" baseline="0">
                        <a:solidFill>
                          <a:srgbClr val="EFD06B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7.68%</a:t>
                    </a:r>
                  </a:p>
                </c:rich>
              </c:tx>
              <c:numFmt formatCode="0.00%" sourceLinked="0"/>
              <c:spPr>
                <a:noFill/>
                <a:ln w="12700" cap="flat" cmpd="sng" algn="ctr">
                  <a:noFill/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rgbClr val="C6AAF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CC2C-7F47-9D1E-0CCA45F66465}"/>
                </c:ext>
              </c:extLst>
            </c:dLbl>
            <c:dLbl>
              <c:idx val="8"/>
              <c:layout>
                <c:manualLayout>
                  <c:x val="-8.6373086344905849E-3"/>
                  <c:y val="5.158493916131391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56A4DAD9-C8B0-3E4A-B198-DB89A83F4825}" type="CATEGORYNAME">
                      <a:rPr lang="en-US" sz="900" b="1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pPr>
                        <a:defRPr b="1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en-US" sz="900" b="1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rPr>
                      <a:t>
7.28%</a:t>
                    </a:r>
                  </a:p>
                </c:rich>
              </c:tx>
              <c:numFmt formatCode="0.00%" sourceLinked="0"/>
              <c:spPr>
                <a:noFill/>
                <a:ln w="12700" cap="flat" cmpd="sng" algn="ctr">
                  <a:noFill/>
                  <a:prstDash val="solid"/>
                  <a:miter lim="800000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CC2C-7F47-9D1E-0CCA45F66465}"/>
                </c:ext>
              </c:extLst>
            </c:dLbl>
            <c:dLbl>
              <c:idx val="9"/>
              <c:layout>
                <c:manualLayout>
                  <c:x val="-7.8709791575542268E-3"/>
                  <c:y val="5.4527476559132732E-2"/>
                </c:manualLayout>
              </c:layout>
              <c:tx>
                <c:rich>
                  <a:bodyPr/>
                  <a:lstStyle/>
                  <a:p>
                    <a:fld id="{28BA9D16-7F31-D24F-9FF2-67A056B43381}" type="CATEGORYNAME">
                      <a:rPr lang="en-US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pPr/>
                      <a:t>[CATEGORY NAME]</a:t>
                    </a:fld>
                    <a:r>
                      <a:rPr lang="en-US" baseline="0">
                        <a:solidFill>
                          <a:schemeClr val="accent1">
                            <a:lumMod val="75000"/>
                          </a:schemeClr>
                        </a:solidFill>
                      </a:rPr>
                      <a:t>
10.62%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CC2C-7F47-9D1E-0CCA45F66465}"/>
                </c:ext>
              </c:extLst>
            </c:dLbl>
            <c:dLbl>
              <c:idx val="10"/>
              <c:layout>
                <c:manualLayout>
                  <c:x val="-8.7928684798776785E-4"/>
                  <c:y val="-0.1617884222686085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B4912510-EBFD-F346-B271-F0CCC9B734D2}" type="CATEGORYNAME">
                      <a:rPr lang="en-US" sz="900" b="1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 b="1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[CATEGORY NAME]</a:t>
                    </a:fld>
                    <a:r>
                      <a:rPr lang="en-US" sz="900" b="1" baseline="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61.69%</a:t>
                    </a:r>
                  </a:p>
                </c:rich>
              </c:tx>
              <c:numFmt formatCode="0.00%" sourceLinked="0"/>
              <c:spPr>
                <a:noFill/>
                <a:ln w="12700" cap="flat" cmpd="sng" algn="ctr">
                  <a:noFill/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CC2C-7F47-9D1E-0CCA45F66465}"/>
                </c:ext>
              </c:extLst>
            </c:dLbl>
            <c:dLbl>
              <c:idx val="11"/>
              <c:layout>
                <c:manualLayout>
                  <c:x val="-2.6383799100873427E-2"/>
                  <c:y val="-0.2254491904305400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5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solidFill>
                          <a:schemeClr val="accent5">
                            <a:lumMod val="75000"/>
                          </a:schemeClr>
                        </a:solidFill>
                      </a:rPr>
                      <a:t>AAE Portfolio</a:t>
                    </a:r>
                    <a:r>
                      <a:rPr lang="en-US" baseline="0">
                        <a:solidFill>
                          <a:schemeClr val="accent5">
                            <a:lumMod val="75000"/>
                          </a:schemeClr>
                        </a:solidFill>
                      </a:rPr>
                      <a:t>
</a:t>
                    </a:r>
                    <a:fld id="{234D66BB-94F1-064C-8A48-A92E2CF89AC4}" type="PERCENTAGE">
                      <a:rPr lang="en-US" baseline="0">
                        <a:solidFill>
                          <a:schemeClr val="accent5">
                            <a:lumMod val="75000"/>
                          </a:schemeClr>
                        </a:solidFill>
                      </a:rPr>
                      <a:pPr>
                        <a:defRPr b="1">
                          <a:solidFill>
                            <a:schemeClr val="accent5">
                              <a:lumMod val="75000"/>
                            </a:schemeClr>
                          </a:solidFill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[PERCENTAGE]</a:t>
                    </a:fld>
                    <a:endParaRPr lang="en-US" baseline="0">
                      <a:solidFill>
                        <a:schemeClr val="accent5">
                          <a:lumMod val="75000"/>
                        </a:schemeClr>
                      </a:solidFill>
                    </a:endParaRPr>
                  </a:p>
                </c:rich>
              </c:tx>
              <c:numFmt formatCode="0.00%" sourceLinked="0"/>
              <c:spPr>
                <a:noFill/>
                <a:ln w="12700" cap="flat" cmpd="sng" algn="ctr">
                  <a:noFill/>
                  <a:prstDash val="solid"/>
                  <a:miter lim="800000"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5">
                          <a:lumMod val="7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CC2C-7F47-9D1E-0CCA45F66465}"/>
                </c:ext>
              </c:extLst>
            </c:dLbl>
            <c:numFmt formatCode="0.00%" sourceLinked="0"/>
            <c:spPr>
              <a:noFill/>
              <a:ln w="12700" cap="flat" cmpd="sng" algn="ctr">
                <a:noFill/>
                <a:prstDash val="solid"/>
                <a:miter lim="800000"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'Portfolio Weights'!$A$30:$A$40</c:f>
              <c:strCache>
                <c:ptCount val="11"/>
                <c:pt idx="0">
                  <c:v>Australian Equities</c:v>
                </c:pt>
                <c:pt idx="1">
                  <c:v>International
Equities,
Unhedged</c:v>
                </c:pt>
                <c:pt idx="2">
                  <c:v>International
Equities,
Hedged</c:v>
                </c:pt>
                <c:pt idx="3">
                  <c:v>Australian Fixed 
Income</c:v>
                </c:pt>
                <c:pt idx="4">
                  <c:v>Cash and Accruals</c:v>
                </c:pt>
                <c:pt idx="5">
                  <c:v>Telstra</c:v>
                </c:pt>
                <c:pt idx="6">
                  <c:v>Rio Tinto</c:v>
                </c:pt>
                <c:pt idx="7">
                  <c:v>Inghams</c:v>
                </c:pt>
                <c:pt idx="8">
                  <c:v>Bingo Industries</c:v>
                </c:pt>
                <c:pt idx="9">
                  <c:v>Westpac Banking Corporation</c:v>
                </c:pt>
                <c:pt idx="10">
                  <c:v>iShares Core S&amp;P/ASX 200 ETF</c:v>
                </c:pt>
              </c:strCache>
            </c:strRef>
          </c:cat>
          <c:val>
            <c:numRef>
              <c:f>'Portfolio Weights'!$B$30:$B$40</c:f>
              <c:numCache>
                <c:formatCode>_(* #,##0.00_);_(* \(#,##0.00\);_(* "-"??_);_(@_)</c:formatCode>
                <c:ptCount val="11"/>
                <c:pt idx="0">
                  <c:v>70575.680000000008</c:v>
                </c:pt>
                <c:pt idx="1">
                  <c:v>72774.8</c:v>
                </c:pt>
                <c:pt idx="2">
                  <c:v>68657.259999999995</c:v>
                </c:pt>
                <c:pt idx="3">
                  <c:v>101048.34</c:v>
                </c:pt>
                <c:pt idx="4">
                  <c:v>43327.29</c:v>
                </c:pt>
                <c:pt idx="5">
                  <c:v>32439.24</c:v>
                </c:pt>
                <c:pt idx="6">
                  <c:v>10565.52</c:v>
                </c:pt>
                <c:pt idx="7">
                  <c:v>25918.560000000001</c:v>
                </c:pt>
                <c:pt idx="8">
                  <c:v>24581.68</c:v>
                </c:pt>
                <c:pt idx="9">
                  <c:v>35858.94</c:v>
                </c:pt>
                <c:pt idx="10">
                  <c:v>208324.48000000001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CC2C-7F47-9D1E-0CCA45F66465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gapWidth val="100"/>
        <c:splitType val="pos"/>
        <c:splitPos val="6"/>
        <c:secondPieSize val="75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'Portfolio Weights'!$E$38:$E$42</cx:f>
        <cx:lvl ptCount="5">
          <cx:pt idx="0">Inghams</cx:pt>
          <cx:pt idx="1">Bingo Industries</cx:pt>
          <cx:pt idx="2">Rio Tinto</cx:pt>
          <cx:pt idx="3">Telstra</cx:pt>
          <cx:pt idx="4">Westpac Banking Corporation</cx:pt>
        </cx:lvl>
      </cx:strDim>
      <cx:numDim type="size">
        <cx:f>'Portfolio Weights'!$J$38:$J$42</cx:f>
        <cx:lvl ptCount="5" formatCode="0%">
          <cx:pt idx="0">0.10000000000000001</cx:pt>
          <cx:pt idx="1">0.10000000000000001</cx:pt>
          <cx:pt idx="2">0.029999999999999999</cx:pt>
          <cx:pt idx="3">0.059999999999999998</cx:pt>
          <cx:pt idx="4">0.10000000000000001</cx:pt>
        </cx:lvl>
      </cx:numDim>
    </cx:data>
  </cx:chartData>
  <cx:chart>
    <cx:title pos="t" align="ctr" overlay="0">
      <cx:tx>
        <cx:txData>
          <cx:v>AAE Target Weights</cx:v>
        </cx:txData>
      </cx:tx>
      <cx:txPr>
        <a:bodyPr rot="0" spcFirstLastPara="1" vertOverflow="ellipsis" vert="horz" wrap="square" lIns="38100" tIns="19050" rIns="38100" bIns="19050" anchor="ctr" anchorCtr="1" compatLnSpc="0"/>
        <a:lstStyle/>
        <a:p>
          <a:pPr algn="ctr" rtl="0">
            <a:defRPr sz="1400" b="1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r>
            <a:rPr kumimoji="0" lang="en-US" sz="1400" b="1" i="0" u="none" strike="noStrike" kern="1200" cap="none" spc="0" normalizeH="0" baseline="0" noProof="0">
              <a:ln>
                <a:noFill/>
              </a:ln>
              <a:solidFill>
                <a:sysClr val="windowText" lastClr="000000">
                  <a:lumMod val="65000"/>
                  <a:lumOff val="35000"/>
                </a:sysClr>
              </a:solidFill>
              <a:effectLst/>
              <a:uLnTx/>
              <a:uFillTx/>
              <a:latin typeface="Calibri" panose="020F0502020204030204"/>
            </a:rPr>
            <a:t>AAE Target Weights</a:t>
          </a:r>
        </a:p>
      </cx:txPr>
    </cx:title>
    <cx:plotArea>
      <cx:plotAreaRegion>
        <cx:series layoutId="treemap" uniqueId="{B0815BFB-620F-8E4C-A167-0B6ACF013828}">
          <cx:dataPt idx="0">
            <cx:spPr>
              <a:solidFill>
                <a:srgbClr val="FFC000">
                  <a:lumMod val="60000"/>
                  <a:lumOff val="40000"/>
                </a:srgbClr>
              </a:solidFill>
            </cx:spPr>
          </cx:dataPt>
          <cx:dataPt idx="1">
            <cx:spPr>
              <a:solidFill>
                <a:srgbClr val="70AD47">
                  <a:lumMod val="60000"/>
                  <a:lumOff val="40000"/>
                </a:srgbClr>
              </a:solidFill>
            </cx:spPr>
          </cx:dataPt>
          <cx:dataPt idx="2">
            <cx:spPr>
              <a:solidFill>
                <a:srgbClr val="ED7D31">
                  <a:lumMod val="60000"/>
                  <a:lumOff val="40000"/>
                </a:srgbClr>
              </a:solidFill>
            </cx:spPr>
          </cx:dataPt>
          <cx:dataPt idx="3">
            <cx:spPr>
              <a:solidFill>
                <a:srgbClr val="A5A5A5">
                  <a:lumMod val="60000"/>
                  <a:lumOff val="40000"/>
                </a:srgbClr>
              </a:solidFill>
            </cx:spPr>
          </cx:dataPt>
          <cx:dataPt idx="4">
            <cx:spPr>
              <a:solidFill>
                <a:srgbClr val="4472C4">
                  <a:lumMod val="75000"/>
                </a:srgbClr>
              </a:solidFill>
            </cx:spPr>
          </cx:dataPt>
          <cx:dataLabels pos="inEnd">
            <cx:txPr>
              <a:bodyPr spcFirstLastPara="1" vertOverflow="ellipsis" horzOverflow="overflow" wrap="square" lIns="0" tIns="0" rIns="0" bIns="0" anchor="ctr" anchorCtr="1"/>
              <a:lstStyle/>
              <a:p>
                <a:pPr algn="ctr" rtl="0">
                  <a:defRPr b="1">
                    <a:solidFill>
                      <a:schemeClr val="tx1"/>
                    </a:solidFill>
                  </a:defRPr>
                </a:pPr>
                <a:endParaRPr lang="en-US" sz="900" b="1" i="0" u="none" strike="noStrike" baseline="0">
                  <a:solidFill>
                    <a:schemeClr val="tx1"/>
                  </a:solidFill>
                  <a:latin typeface="Calibri" panose="020F0502020204030204"/>
                </a:endParaRPr>
              </a:p>
            </cx:txPr>
            <cx:visibility seriesName="0" categoryName="1" value="1"/>
            <cx:dataLabel idx="0" pos="inEnd">
              <cx:txPr>
                <a:bodyPr spcFirstLastPara="1" vertOverflow="ellipsis" horzOverflow="overflow" wrap="square" lIns="0" tIns="0" rIns="0" bIns="0" anchor="ctr" anchorCtr="1"/>
                <a:lstStyle/>
                <a:p>
                  <a:pPr algn="ctr" rtl="0">
                    <a:defRPr/>
                  </a:pPr>
                  <a:r>
                    <a:rPr lang="en-US" sz="900" b="1" i="0" u="none" strike="noStrike" baseline="0">
                      <a:solidFill>
                        <a:schemeClr val="tx1"/>
                      </a:solidFill>
                      <a:latin typeface="Calibri" panose="020F0502020204030204"/>
                    </a:rPr>
                    <a:t>Inghams, 10%</a:t>
                  </a:r>
                </a:p>
              </cx:txPr>
              <cx:visibility seriesName="0" categoryName="1" value="1"/>
            </cx:dataLabel>
            <cx:dataLabel idx="1" pos="inEnd">
              <cx:txPr>
                <a:bodyPr spcFirstLastPara="1" vertOverflow="ellipsis" horzOverflow="overflow" wrap="square" lIns="0" tIns="0" rIns="0" bIns="0" anchor="ctr" anchorCtr="1"/>
                <a:lstStyle/>
                <a:p>
                  <a:pPr algn="ctr" rtl="0">
                    <a:defRPr b="1"/>
                  </a:pPr>
                  <a:r>
                    <a:rPr lang="en-US" sz="900" b="1" i="0" u="none" strike="noStrike" baseline="0">
                      <a:solidFill>
                        <a:schemeClr val="tx1"/>
                      </a:solidFill>
                      <a:latin typeface="Calibri" panose="020F0502020204030204"/>
                    </a:rPr>
                    <a:t>Bingo Industries, 10%</a:t>
                  </a:r>
                </a:p>
              </cx:txPr>
              <cx:visibility seriesName="0" categoryName="1" value="1"/>
            </cx:dataLabel>
            <cx:dataLabel idx="2" pos="inEnd">
              <cx:txPr>
                <a:bodyPr spcFirstLastPara="1" vertOverflow="ellipsis" horzOverflow="overflow" wrap="square" lIns="0" tIns="0" rIns="0" bIns="0" anchor="ctr" anchorCtr="1"/>
                <a:lstStyle/>
                <a:p>
                  <a:pPr algn="ctr" rtl="0">
                    <a:defRPr b="1"/>
                  </a:pPr>
                  <a:r>
                    <a:rPr lang="en-US" sz="900" b="1" i="0" u="none" strike="noStrike" baseline="0">
                      <a:solidFill>
                        <a:schemeClr val="tx1"/>
                      </a:solidFill>
                      <a:latin typeface="Calibri" panose="020F0502020204030204"/>
                    </a:rPr>
                    <a:t>Rio Tinto, 3%</a:t>
                  </a:r>
                </a:p>
              </cx:txPr>
              <cx:visibility seriesName="0" categoryName="1" value="1"/>
            </cx:dataLabel>
            <cx:dataLabel idx="4" pos="inEnd">
              <cx:txPr>
                <a:bodyPr spcFirstLastPara="1" vertOverflow="ellipsis" horzOverflow="overflow" wrap="square" lIns="0" tIns="0" rIns="0" bIns="0" anchor="ctr" anchorCtr="1"/>
                <a:lstStyle/>
                <a:p>
                  <a:pPr algn="ctr" rtl="0">
                    <a:defRPr b="1">
                      <a:solidFill>
                        <a:schemeClr val="bg1"/>
                      </a:solidFill>
                    </a:defRPr>
                  </a:pPr>
                  <a:r>
                    <a:rPr lang="en-US" sz="900" b="1" i="0" u="none" strike="noStrike" baseline="0">
                      <a:solidFill>
                        <a:schemeClr val="bg1"/>
                      </a:solidFill>
                      <a:latin typeface="Calibri" panose="020F0502020204030204"/>
                    </a:rPr>
                    <a:t>Westpac Banking Corporation, 10%</a:t>
                  </a:r>
                </a:p>
              </cx:txPr>
              <cx:visibility seriesName="0" categoryName="1" value="1"/>
            </cx:dataLabel>
          </cx:dataLabels>
          <cx:dataId val="0"/>
          <cx:layoutPr>
            <cx:parentLabelLayout val="overlapping"/>
          </cx:layoutPr>
        </cx:series>
      </cx:plotAreaRegion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10">
  <cs:axisTitle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>
          <a:lumMod val="65000"/>
        </a:schemeClr>
      </a:solidFill>
      <a:ln w="19050">
        <a:solidFill>
          <a:schemeClr val="bg1"/>
        </a:solidFill>
      </a:ln>
    </cs:spPr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lt1"/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N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9089d7-f8e0-4699-b9aa-0338cd91c886">
      <UserInfo>
        <DisplayName>Geoff Warren</DisplayName>
        <AccountId>26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E1D543FB9164198D765219CBDAB4C" ma:contentTypeVersion="8" ma:contentTypeDescription="Create a new document." ma:contentTypeScope="" ma:versionID="8b9e97004e6cb1bd15079eddc70a7254">
  <xsd:schema xmlns:xsd="http://www.w3.org/2001/XMLSchema" xmlns:xs="http://www.w3.org/2001/XMLSchema" xmlns:p="http://schemas.microsoft.com/office/2006/metadata/properties" xmlns:ns2="45a56532-63ca-4d20-ab2d-f09fd61190d2" xmlns:ns3="759089d7-f8e0-4699-b9aa-0338cd91c886" targetNamespace="http://schemas.microsoft.com/office/2006/metadata/properties" ma:root="true" ma:fieldsID="4738cec047d630d37d54c2c425594019" ns2:_="" ns3:_="">
    <xsd:import namespace="45a56532-63ca-4d20-ab2d-f09fd61190d2"/>
    <xsd:import namespace="759089d7-f8e0-4699-b9aa-0338cd91c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56532-63ca-4d20-ab2d-f09fd6119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089d7-f8e0-4699-b9aa-0338cd91c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0C5A8-FCBE-4801-AE00-F352AE34C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9ED81-BD57-47DF-9CF5-061E3F6DE8D3}">
  <ds:schemaRefs>
    <ds:schemaRef ds:uri="http://schemas.microsoft.com/office/2006/metadata/properties"/>
    <ds:schemaRef ds:uri="http://schemas.microsoft.com/office/infopath/2007/PartnerControls"/>
    <ds:schemaRef ds:uri="759089d7-f8e0-4699-b9aa-0338cd91c886"/>
  </ds:schemaRefs>
</ds:datastoreItem>
</file>

<file path=customXml/itemProps3.xml><?xml version="1.0" encoding="utf-8"?>
<ds:datastoreItem xmlns:ds="http://schemas.openxmlformats.org/officeDocument/2006/customXml" ds:itemID="{B971C153-1EF2-40E7-B8CB-F678FF3A1E1A}"/>
</file>

<file path=customXml/itemProps4.xml><?xml version="1.0" encoding="utf-8"?>
<ds:datastoreItem xmlns:ds="http://schemas.openxmlformats.org/officeDocument/2006/customXml" ds:itemID="{06E30A14-9279-7841-88F2-7E2C16C5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4352</Words>
  <Characters>24810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The Australian National University</Company>
  <LinksUpToDate>false</LinksUpToDate>
  <CharactersWithSpaces>29104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Microsoft Office User</dc:creator>
  <cp:keywords/>
  <dc:description/>
  <cp:lastModifiedBy>Yanfei Rao</cp:lastModifiedBy>
  <cp:revision>3</cp:revision>
  <cp:lastPrinted>2019-09-18T06:32:00Z</cp:lastPrinted>
  <dcterms:created xsi:type="dcterms:W3CDTF">2019-09-18T06:55:00Z</dcterms:created>
  <dcterms:modified xsi:type="dcterms:W3CDTF">2019-09-18T07:14:00Z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0x01010041EE1D543FB9164198D765219CBDAB4C</vt:lpwstr>
  </property>
</Properties>
</file>