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harts/colors2.xml" ContentType="application/vnd.ms-office.chartcolorstyle+xml"/>
  <Override PartName="/word/theme/theme1.xml" ContentType="application/vnd.openxmlformats-officedocument.theme+xml"/>
  <Override PartName="/word/charts/style2.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1.xml" ContentType="application/vnd.ms-office.chartstyl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12D93" w14:textId="77777777" w:rsidR="00277953" w:rsidRPr="006771EF" w:rsidRDefault="00277953" w:rsidP="006771EF">
      <w:pPr>
        <w:pStyle w:val="Title"/>
        <w:rPr>
          <w:rFonts w:cs="Times New Roman"/>
          <w:sz w:val="20"/>
          <w:szCs w:val="20"/>
        </w:rPr>
      </w:pPr>
    </w:p>
    <w:p w14:paraId="24FB7037" w14:textId="77777777" w:rsidR="00380F71" w:rsidRDefault="00380F71" w:rsidP="006771EF">
      <w:pPr>
        <w:pStyle w:val="Title"/>
        <w:rPr>
          <w:rFonts w:cs="Times New Roman"/>
          <w:sz w:val="40"/>
          <w:szCs w:val="40"/>
        </w:rPr>
      </w:pPr>
    </w:p>
    <w:p w14:paraId="3E8E470E" w14:textId="49595A0C" w:rsidR="00DD448F" w:rsidRPr="006771EF" w:rsidRDefault="004C7DE7" w:rsidP="006771EF">
      <w:pPr>
        <w:pStyle w:val="Title"/>
        <w:rPr>
          <w:rFonts w:cs="Times New Roman"/>
          <w:sz w:val="40"/>
          <w:szCs w:val="40"/>
        </w:rPr>
      </w:pPr>
      <w:r w:rsidRPr="006771EF">
        <w:rPr>
          <w:rFonts w:cs="Times New Roman"/>
          <w:sz w:val="40"/>
          <w:szCs w:val="40"/>
        </w:rPr>
        <w:t>Report</w:t>
      </w:r>
      <w:r w:rsidR="00380F71">
        <w:rPr>
          <w:rFonts w:cs="Times New Roman"/>
          <w:sz w:val="40"/>
          <w:szCs w:val="40"/>
        </w:rPr>
        <w:t xml:space="preserve"> for End of Semester 1, 2018</w:t>
      </w:r>
    </w:p>
    <w:p w14:paraId="7348B814" w14:textId="77777777" w:rsidR="00A703D8" w:rsidRPr="006771EF" w:rsidRDefault="00A703D8" w:rsidP="006771EF">
      <w:pPr>
        <w:rPr>
          <w:sz w:val="40"/>
          <w:szCs w:val="40"/>
        </w:rPr>
      </w:pPr>
    </w:p>
    <w:p w14:paraId="47CAC8DB" w14:textId="77777777" w:rsidR="00DD448F" w:rsidRPr="006771EF" w:rsidRDefault="00DD448F" w:rsidP="006771EF">
      <w:pPr>
        <w:pStyle w:val="Subtitle"/>
        <w:rPr>
          <w:rFonts w:cs="Times New Roman"/>
          <w:sz w:val="40"/>
          <w:szCs w:val="40"/>
        </w:rPr>
      </w:pPr>
      <w:r w:rsidRPr="006771EF">
        <w:rPr>
          <w:rFonts w:cs="Times New Roman"/>
          <w:sz w:val="40"/>
          <w:szCs w:val="40"/>
        </w:rPr>
        <w:t>ANU Student Managed Fund</w:t>
      </w:r>
    </w:p>
    <w:p w14:paraId="4988617C" w14:textId="77777777" w:rsidR="00DD448F" w:rsidRPr="006771EF" w:rsidRDefault="00DD448F" w:rsidP="006771EF">
      <w:pPr>
        <w:rPr>
          <w:sz w:val="20"/>
          <w:szCs w:val="20"/>
        </w:rPr>
      </w:pPr>
    </w:p>
    <w:p w14:paraId="1010A96B" w14:textId="376BF2E3" w:rsidR="00DD448F" w:rsidRPr="006771EF" w:rsidRDefault="00DD448F" w:rsidP="00380F71">
      <w:pPr>
        <w:spacing w:before="480"/>
        <w:jc w:val="center"/>
        <w:rPr>
          <w:sz w:val="22"/>
          <w:szCs w:val="22"/>
        </w:rPr>
      </w:pPr>
    </w:p>
    <w:p w14:paraId="6A401967" w14:textId="77777777" w:rsidR="00DD448F" w:rsidRPr="006771EF" w:rsidRDefault="00DD448F" w:rsidP="006771EF">
      <w:pPr>
        <w:jc w:val="center"/>
        <w:rPr>
          <w:sz w:val="22"/>
          <w:szCs w:val="22"/>
        </w:rPr>
      </w:pPr>
    </w:p>
    <w:p w14:paraId="381B72B7" w14:textId="70869400" w:rsidR="00DD448F" w:rsidRPr="006771EF" w:rsidRDefault="00DD448F" w:rsidP="006771EF">
      <w:pPr>
        <w:jc w:val="center"/>
        <w:rPr>
          <w:sz w:val="22"/>
          <w:szCs w:val="22"/>
        </w:rPr>
      </w:pPr>
      <w:r w:rsidRPr="006771EF">
        <w:rPr>
          <w:rFonts w:eastAsia="Times New Roman"/>
          <w:b/>
          <w:noProof/>
          <w:sz w:val="22"/>
          <w:szCs w:val="22"/>
          <w:lang w:eastAsia="en-AU"/>
        </w:rPr>
        <w:drawing>
          <wp:anchor distT="114300" distB="114300" distL="114300" distR="114300" simplePos="0" relativeHeight="251664384" behindDoc="0" locked="0" layoutInCell="1" allowOverlap="1" wp14:anchorId="5210CF54" wp14:editId="69EEA334">
            <wp:simplePos x="0" y="0"/>
            <wp:positionH relativeFrom="page">
              <wp:align>left</wp:align>
            </wp:positionH>
            <wp:positionV relativeFrom="paragraph">
              <wp:posOffset>334010</wp:posOffset>
            </wp:positionV>
            <wp:extent cx="7555230" cy="3752850"/>
            <wp:effectExtent l="0" t="0" r="7620" b="0"/>
            <wp:wrapTopAndBottom/>
            <wp:docPr id="165" name="Picture 165" descr="Screen Shot 2017-09-01 at 3.37.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creen Shot 2017-09-01 at 3.37.4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5230" cy="3752850"/>
                    </a:xfrm>
                    <a:prstGeom prst="rect">
                      <a:avLst/>
                    </a:prstGeom>
                    <a:noFill/>
                  </pic:spPr>
                </pic:pic>
              </a:graphicData>
            </a:graphic>
            <wp14:sizeRelH relativeFrom="page">
              <wp14:pctWidth>0</wp14:pctWidth>
            </wp14:sizeRelH>
            <wp14:sizeRelV relativeFrom="page">
              <wp14:pctHeight>0</wp14:pctHeight>
            </wp14:sizeRelV>
          </wp:anchor>
        </w:drawing>
      </w:r>
      <w:r w:rsidR="004C7DE7" w:rsidRPr="006771EF">
        <w:rPr>
          <w:sz w:val="22"/>
          <w:szCs w:val="22"/>
        </w:rPr>
        <w:t>Creation Date: 11/06/2018</w:t>
      </w:r>
      <w:r w:rsidR="00C661E0" w:rsidRPr="006771EF">
        <w:rPr>
          <w:sz w:val="22"/>
          <w:szCs w:val="22"/>
        </w:rPr>
        <w:t xml:space="preserve"> | </w:t>
      </w:r>
      <w:r w:rsidRPr="006771EF">
        <w:rPr>
          <w:sz w:val="22"/>
          <w:szCs w:val="22"/>
        </w:rPr>
        <w:t xml:space="preserve">Version Date: </w:t>
      </w:r>
      <w:r w:rsidR="00DB3178">
        <w:rPr>
          <w:sz w:val="22"/>
          <w:szCs w:val="22"/>
        </w:rPr>
        <w:t>3/07</w:t>
      </w:r>
      <w:r w:rsidR="004C7DE7" w:rsidRPr="006771EF">
        <w:rPr>
          <w:sz w:val="22"/>
          <w:szCs w:val="22"/>
        </w:rPr>
        <w:t>/2018</w:t>
      </w:r>
      <w:r w:rsidR="005220C5">
        <w:rPr>
          <w:sz w:val="22"/>
          <w:szCs w:val="22"/>
        </w:rPr>
        <w:t xml:space="preserve"> (Final)</w:t>
      </w:r>
      <w:bookmarkStart w:id="0" w:name="_GoBack"/>
      <w:bookmarkEnd w:id="0"/>
    </w:p>
    <w:sdt>
      <w:sdtPr>
        <w:rPr>
          <w:rFonts w:eastAsiaTheme="minorHAnsi"/>
          <w:b w:val="0"/>
          <w:color w:val="auto"/>
          <w:spacing w:val="0"/>
          <w:sz w:val="22"/>
          <w:szCs w:val="22"/>
        </w:rPr>
        <w:id w:val="-1095473894"/>
        <w:docPartObj>
          <w:docPartGallery w:val="Table of Contents"/>
          <w:docPartUnique/>
        </w:docPartObj>
      </w:sdtPr>
      <w:sdtEndPr>
        <w:rPr>
          <w:rFonts w:eastAsia="SimSun"/>
          <w:bCs/>
          <w:noProof/>
          <w:sz w:val="20"/>
          <w:szCs w:val="20"/>
        </w:rPr>
      </w:sdtEndPr>
      <w:sdtContent>
        <w:p w14:paraId="100C9858" w14:textId="77777777" w:rsidR="001C7CD7" w:rsidRPr="006771EF" w:rsidRDefault="001C7CD7" w:rsidP="006771EF">
          <w:pPr>
            <w:pStyle w:val="TOCHeading"/>
            <w:rPr>
              <w:rFonts w:eastAsiaTheme="minorHAnsi"/>
              <w:b w:val="0"/>
              <w:color w:val="auto"/>
              <w:spacing w:val="0"/>
              <w:sz w:val="20"/>
              <w:szCs w:val="20"/>
            </w:rPr>
          </w:pPr>
        </w:p>
        <w:p w14:paraId="4E3D34D8" w14:textId="77777777" w:rsidR="001C7CD7" w:rsidRPr="006771EF" w:rsidRDefault="001C7CD7" w:rsidP="006771EF">
          <w:pPr>
            <w:widowControl/>
            <w:jc w:val="left"/>
            <w:rPr>
              <w:sz w:val="20"/>
              <w:szCs w:val="20"/>
            </w:rPr>
          </w:pPr>
          <w:r w:rsidRPr="006771EF">
            <w:rPr>
              <w:b/>
              <w:sz w:val="20"/>
              <w:szCs w:val="20"/>
            </w:rPr>
            <w:br w:type="page"/>
          </w:r>
        </w:p>
        <w:p w14:paraId="14A880EA" w14:textId="77777777" w:rsidR="007D766D" w:rsidRPr="008B24A4" w:rsidRDefault="00973FCE" w:rsidP="00BF3830">
          <w:pPr>
            <w:pStyle w:val="TOCHeading"/>
            <w:spacing w:after="240"/>
            <w:ind w:right="62"/>
            <w:rPr>
              <w:sz w:val="20"/>
              <w:szCs w:val="20"/>
            </w:rPr>
          </w:pPr>
          <w:r w:rsidRPr="00BF3830">
            <w:rPr>
              <w:sz w:val="24"/>
              <w:szCs w:val="24"/>
            </w:rPr>
            <w:lastRenderedPageBreak/>
            <w:t>Contents</w:t>
          </w:r>
        </w:p>
        <w:p w14:paraId="55C3DD18" w14:textId="42E4C97A" w:rsidR="00813981" w:rsidRPr="00813981" w:rsidRDefault="00973FCE">
          <w:pPr>
            <w:pStyle w:val="TOC1"/>
            <w:tabs>
              <w:tab w:val="right" w:pos="9592"/>
            </w:tabs>
            <w:rPr>
              <w:rFonts w:asciiTheme="minorHAnsi" w:eastAsiaTheme="minorEastAsia" w:hAnsiTheme="minorHAnsi" w:cstheme="minorBidi"/>
              <w:noProof/>
              <w:sz w:val="20"/>
              <w:szCs w:val="20"/>
              <w:lang w:eastAsia="en-AU"/>
            </w:rPr>
          </w:pPr>
          <w:r w:rsidRPr="00F93672">
            <w:rPr>
              <w:sz w:val="20"/>
              <w:szCs w:val="20"/>
            </w:rPr>
            <w:fldChar w:fldCharType="begin"/>
          </w:r>
          <w:r w:rsidRPr="009D2BB3">
            <w:rPr>
              <w:sz w:val="20"/>
              <w:szCs w:val="20"/>
            </w:rPr>
            <w:instrText xml:space="preserve"> TOC \o "1-3" \h \z \u </w:instrText>
          </w:r>
          <w:r w:rsidRPr="00F93672">
            <w:rPr>
              <w:sz w:val="20"/>
              <w:szCs w:val="20"/>
            </w:rPr>
            <w:fldChar w:fldCharType="separate"/>
          </w:r>
          <w:hyperlink w:anchor="_Toc517159286" w:history="1">
            <w:r w:rsidR="00813981" w:rsidRPr="00813981">
              <w:rPr>
                <w:rStyle w:val="Hyperlink"/>
                <w:noProof/>
                <w:sz w:val="20"/>
                <w:szCs w:val="20"/>
                <w:lang w:eastAsia="zh-CN"/>
              </w:rPr>
              <w:t>Glossary</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_Toc517159286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2</w:t>
            </w:r>
            <w:r w:rsidR="00813981" w:rsidRPr="00813981">
              <w:rPr>
                <w:noProof/>
                <w:webHidden/>
                <w:sz w:val="20"/>
                <w:szCs w:val="20"/>
              </w:rPr>
              <w:fldChar w:fldCharType="end"/>
            </w:r>
          </w:hyperlink>
        </w:p>
        <w:p w14:paraId="5605CE83" w14:textId="4FB4A689" w:rsidR="00813981" w:rsidRPr="00813981" w:rsidRDefault="005220C5">
          <w:pPr>
            <w:pStyle w:val="TOC1"/>
            <w:tabs>
              <w:tab w:val="right" w:pos="9592"/>
            </w:tabs>
            <w:rPr>
              <w:rFonts w:asciiTheme="minorHAnsi" w:eastAsiaTheme="minorEastAsia" w:hAnsiTheme="minorHAnsi" w:cstheme="minorBidi"/>
              <w:noProof/>
              <w:sz w:val="20"/>
              <w:szCs w:val="20"/>
              <w:lang w:eastAsia="en-AU"/>
            </w:rPr>
          </w:pPr>
          <w:hyperlink w:anchor="_Toc517159287" w:history="1">
            <w:r w:rsidR="00813981" w:rsidRPr="00813981">
              <w:rPr>
                <w:rStyle w:val="Hyperlink"/>
                <w:noProof/>
                <w:sz w:val="20"/>
                <w:szCs w:val="20"/>
                <w:lang w:eastAsia="zh-CN"/>
              </w:rPr>
              <w:t>About this Report</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_Toc517159287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3</w:t>
            </w:r>
            <w:r w:rsidR="00813981" w:rsidRPr="00813981">
              <w:rPr>
                <w:noProof/>
                <w:webHidden/>
                <w:sz w:val="20"/>
                <w:szCs w:val="20"/>
              </w:rPr>
              <w:fldChar w:fldCharType="end"/>
            </w:r>
          </w:hyperlink>
        </w:p>
        <w:p w14:paraId="37D06DE7" w14:textId="34022FC1" w:rsidR="00813981" w:rsidRPr="00813981" w:rsidRDefault="005220C5">
          <w:pPr>
            <w:pStyle w:val="TOC1"/>
            <w:tabs>
              <w:tab w:val="right" w:pos="9592"/>
            </w:tabs>
            <w:rPr>
              <w:rFonts w:asciiTheme="minorHAnsi" w:eastAsiaTheme="minorEastAsia" w:hAnsiTheme="minorHAnsi" w:cstheme="minorBidi"/>
              <w:noProof/>
              <w:sz w:val="20"/>
              <w:szCs w:val="20"/>
              <w:lang w:eastAsia="en-AU"/>
            </w:rPr>
          </w:pPr>
          <w:hyperlink w:anchor="_Toc517159288" w:history="1">
            <w:r w:rsidR="00813981" w:rsidRPr="00813981">
              <w:rPr>
                <w:rStyle w:val="Hyperlink"/>
                <w:noProof/>
                <w:sz w:val="20"/>
                <w:szCs w:val="20"/>
                <w:lang w:eastAsia="zh-CN"/>
              </w:rPr>
              <w:t>Convenor Report</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_Toc517159288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3</w:t>
            </w:r>
            <w:r w:rsidR="00813981" w:rsidRPr="00813981">
              <w:rPr>
                <w:noProof/>
                <w:webHidden/>
                <w:sz w:val="20"/>
                <w:szCs w:val="20"/>
              </w:rPr>
              <w:fldChar w:fldCharType="end"/>
            </w:r>
          </w:hyperlink>
        </w:p>
        <w:p w14:paraId="5215097D" w14:textId="3F3498AB" w:rsidR="00813981" w:rsidRPr="00813981" w:rsidRDefault="005220C5">
          <w:pPr>
            <w:pStyle w:val="TOC1"/>
            <w:tabs>
              <w:tab w:val="right" w:pos="9592"/>
            </w:tabs>
            <w:rPr>
              <w:rFonts w:asciiTheme="minorHAnsi" w:eastAsiaTheme="minorEastAsia" w:hAnsiTheme="minorHAnsi" w:cstheme="minorBidi"/>
              <w:noProof/>
              <w:sz w:val="20"/>
              <w:szCs w:val="20"/>
              <w:lang w:eastAsia="en-AU"/>
            </w:rPr>
          </w:pPr>
          <w:hyperlink w:anchor="_Toc517159289" w:history="1">
            <w:r w:rsidR="00813981" w:rsidRPr="00813981">
              <w:rPr>
                <w:rStyle w:val="Hyperlink"/>
                <w:noProof/>
                <w:sz w:val="20"/>
                <w:szCs w:val="20"/>
                <w:lang w:eastAsia="zh-CN"/>
              </w:rPr>
              <w:t>Chief Investment Officer Report</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_Toc517159289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4</w:t>
            </w:r>
            <w:r w:rsidR="00813981" w:rsidRPr="00813981">
              <w:rPr>
                <w:noProof/>
                <w:webHidden/>
                <w:sz w:val="20"/>
                <w:szCs w:val="20"/>
              </w:rPr>
              <w:fldChar w:fldCharType="end"/>
            </w:r>
          </w:hyperlink>
        </w:p>
        <w:p w14:paraId="0C19E0B2" w14:textId="3B968A10" w:rsidR="00813981" w:rsidRPr="00813981" w:rsidRDefault="005220C5">
          <w:pPr>
            <w:pStyle w:val="TOC1"/>
            <w:tabs>
              <w:tab w:val="right" w:pos="9592"/>
            </w:tabs>
            <w:rPr>
              <w:rFonts w:asciiTheme="minorHAnsi" w:eastAsiaTheme="minorEastAsia" w:hAnsiTheme="minorHAnsi" w:cstheme="minorBidi"/>
              <w:noProof/>
              <w:sz w:val="20"/>
              <w:szCs w:val="20"/>
              <w:lang w:eastAsia="en-AU"/>
            </w:rPr>
          </w:pPr>
          <w:hyperlink w:anchor="_Toc517159290" w:history="1">
            <w:r w:rsidR="00813981" w:rsidRPr="00813981">
              <w:rPr>
                <w:rStyle w:val="Hyperlink"/>
                <w:noProof/>
                <w:sz w:val="20"/>
                <w:szCs w:val="20"/>
                <w:lang w:eastAsia="zh-CN"/>
              </w:rPr>
              <w:t>Team Updates</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_Toc517159290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5</w:t>
            </w:r>
            <w:r w:rsidR="00813981" w:rsidRPr="00813981">
              <w:rPr>
                <w:noProof/>
                <w:webHidden/>
                <w:sz w:val="20"/>
                <w:szCs w:val="20"/>
              </w:rPr>
              <w:fldChar w:fldCharType="end"/>
            </w:r>
          </w:hyperlink>
        </w:p>
        <w:p w14:paraId="57CDCFCC" w14:textId="09B00009" w:rsidR="00813981" w:rsidRPr="00813981" w:rsidRDefault="005220C5">
          <w:pPr>
            <w:pStyle w:val="TOC3"/>
            <w:tabs>
              <w:tab w:val="right" w:pos="9592"/>
            </w:tabs>
            <w:rPr>
              <w:rFonts w:asciiTheme="minorHAnsi" w:eastAsiaTheme="minorEastAsia" w:hAnsiTheme="minorHAnsi" w:cstheme="minorBidi"/>
              <w:noProof/>
              <w:sz w:val="20"/>
              <w:szCs w:val="20"/>
              <w:lang w:eastAsia="en-AU"/>
            </w:rPr>
          </w:pPr>
          <w:hyperlink w:anchor="_Toc517159291" w:history="1">
            <w:r w:rsidR="00813981" w:rsidRPr="00813981">
              <w:rPr>
                <w:rStyle w:val="Hyperlink"/>
                <w:noProof/>
                <w:sz w:val="20"/>
                <w:szCs w:val="20"/>
                <w:lang w:eastAsia="zh-CN"/>
              </w:rPr>
              <w:t>Active Australian Equities (AAE) Team</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_Toc517159291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5</w:t>
            </w:r>
            <w:r w:rsidR="00813981" w:rsidRPr="00813981">
              <w:rPr>
                <w:noProof/>
                <w:webHidden/>
                <w:sz w:val="20"/>
                <w:szCs w:val="20"/>
              </w:rPr>
              <w:fldChar w:fldCharType="end"/>
            </w:r>
          </w:hyperlink>
        </w:p>
        <w:p w14:paraId="0DA9BBB9" w14:textId="4BD94AE8" w:rsidR="00813981" w:rsidRPr="00813981" w:rsidRDefault="005220C5">
          <w:pPr>
            <w:pStyle w:val="TOC3"/>
            <w:tabs>
              <w:tab w:val="right" w:pos="9592"/>
            </w:tabs>
            <w:rPr>
              <w:rFonts w:asciiTheme="minorHAnsi" w:eastAsiaTheme="minorEastAsia" w:hAnsiTheme="minorHAnsi" w:cstheme="minorBidi"/>
              <w:noProof/>
              <w:sz w:val="20"/>
              <w:szCs w:val="20"/>
              <w:lang w:eastAsia="en-AU"/>
            </w:rPr>
          </w:pPr>
          <w:hyperlink w:anchor="_Toc517159292" w:history="1">
            <w:r w:rsidR="00813981" w:rsidRPr="00813981">
              <w:rPr>
                <w:rStyle w:val="Hyperlink"/>
                <w:noProof/>
                <w:sz w:val="20"/>
                <w:szCs w:val="20"/>
                <w:lang w:eastAsia="zh-CN"/>
              </w:rPr>
              <w:t>Asset Allocation (AA) Team</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_Toc517159292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5</w:t>
            </w:r>
            <w:r w:rsidR="00813981" w:rsidRPr="00813981">
              <w:rPr>
                <w:noProof/>
                <w:webHidden/>
                <w:sz w:val="20"/>
                <w:szCs w:val="20"/>
              </w:rPr>
              <w:fldChar w:fldCharType="end"/>
            </w:r>
          </w:hyperlink>
        </w:p>
        <w:p w14:paraId="4393704A" w14:textId="282DC5F8" w:rsidR="00813981" w:rsidRPr="00813981" w:rsidRDefault="005220C5">
          <w:pPr>
            <w:pStyle w:val="TOC3"/>
            <w:tabs>
              <w:tab w:val="right" w:pos="9592"/>
            </w:tabs>
            <w:rPr>
              <w:rFonts w:asciiTheme="minorHAnsi" w:eastAsiaTheme="minorEastAsia" w:hAnsiTheme="minorHAnsi" w:cstheme="minorBidi"/>
              <w:noProof/>
              <w:sz w:val="20"/>
              <w:szCs w:val="20"/>
              <w:lang w:eastAsia="en-AU"/>
            </w:rPr>
          </w:pPr>
          <w:hyperlink w:anchor="_Toc517159293" w:history="1">
            <w:r w:rsidR="00813981" w:rsidRPr="00813981">
              <w:rPr>
                <w:rStyle w:val="Hyperlink"/>
                <w:noProof/>
                <w:sz w:val="20"/>
                <w:szCs w:val="20"/>
                <w:lang w:val="en-US"/>
              </w:rPr>
              <w:t>Risk &amp; Compliance (R&amp;C) Team</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_Toc517159293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6</w:t>
            </w:r>
            <w:r w:rsidR="00813981" w:rsidRPr="00813981">
              <w:rPr>
                <w:noProof/>
                <w:webHidden/>
                <w:sz w:val="20"/>
                <w:szCs w:val="20"/>
              </w:rPr>
              <w:fldChar w:fldCharType="end"/>
            </w:r>
          </w:hyperlink>
        </w:p>
        <w:p w14:paraId="0A4796AF" w14:textId="5619E9A3" w:rsidR="00813981" w:rsidRPr="00813981" w:rsidRDefault="005220C5">
          <w:pPr>
            <w:pStyle w:val="TOC3"/>
            <w:tabs>
              <w:tab w:val="right" w:pos="9592"/>
            </w:tabs>
            <w:rPr>
              <w:rFonts w:asciiTheme="minorHAnsi" w:eastAsiaTheme="minorEastAsia" w:hAnsiTheme="minorHAnsi" w:cstheme="minorBidi"/>
              <w:noProof/>
              <w:sz w:val="20"/>
              <w:szCs w:val="20"/>
              <w:lang w:eastAsia="en-AU"/>
            </w:rPr>
          </w:pPr>
          <w:hyperlink w:anchor="_Toc517159294" w:history="1">
            <w:r w:rsidR="00813981" w:rsidRPr="00813981">
              <w:rPr>
                <w:rStyle w:val="Hyperlink"/>
                <w:noProof/>
                <w:sz w:val="20"/>
                <w:szCs w:val="20"/>
                <w:lang w:val="en-US"/>
              </w:rPr>
              <w:t>Relationship Team</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_Toc517159294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6</w:t>
            </w:r>
            <w:r w:rsidR="00813981" w:rsidRPr="00813981">
              <w:rPr>
                <w:noProof/>
                <w:webHidden/>
                <w:sz w:val="20"/>
                <w:szCs w:val="20"/>
              </w:rPr>
              <w:fldChar w:fldCharType="end"/>
            </w:r>
          </w:hyperlink>
        </w:p>
        <w:p w14:paraId="776C7C35" w14:textId="4E8A2681" w:rsidR="00813981" w:rsidRPr="00813981" w:rsidRDefault="005220C5">
          <w:pPr>
            <w:pStyle w:val="TOC1"/>
            <w:tabs>
              <w:tab w:val="right" w:pos="9592"/>
            </w:tabs>
            <w:rPr>
              <w:rFonts w:asciiTheme="minorHAnsi" w:eastAsiaTheme="minorEastAsia" w:hAnsiTheme="minorHAnsi" w:cstheme="minorBidi"/>
              <w:noProof/>
              <w:sz w:val="20"/>
              <w:szCs w:val="20"/>
              <w:lang w:eastAsia="en-AU"/>
            </w:rPr>
          </w:pPr>
          <w:hyperlink w:anchor="_Toc517159295" w:history="1">
            <w:r w:rsidR="00813981" w:rsidRPr="00813981">
              <w:rPr>
                <w:rStyle w:val="Hyperlink"/>
                <w:noProof/>
                <w:sz w:val="20"/>
                <w:szCs w:val="20"/>
                <w:lang w:eastAsia="zh-CN"/>
              </w:rPr>
              <w:t>Portfolio Overview</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_Toc517159295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7</w:t>
            </w:r>
            <w:r w:rsidR="00813981" w:rsidRPr="00813981">
              <w:rPr>
                <w:noProof/>
                <w:webHidden/>
                <w:sz w:val="20"/>
                <w:szCs w:val="20"/>
              </w:rPr>
              <w:fldChar w:fldCharType="end"/>
            </w:r>
          </w:hyperlink>
        </w:p>
        <w:p w14:paraId="17E5E5C8" w14:textId="59B2F8F4" w:rsidR="00813981" w:rsidRPr="00813981" w:rsidRDefault="005220C5">
          <w:pPr>
            <w:pStyle w:val="TOC1"/>
            <w:tabs>
              <w:tab w:val="right" w:pos="9592"/>
            </w:tabs>
            <w:rPr>
              <w:rFonts w:asciiTheme="minorHAnsi" w:eastAsiaTheme="minorEastAsia" w:hAnsiTheme="minorHAnsi" w:cstheme="minorBidi"/>
              <w:noProof/>
              <w:sz w:val="20"/>
              <w:szCs w:val="20"/>
              <w:lang w:eastAsia="en-AU"/>
            </w:rPr>
          </w:pPr>
          <w:hyperlink w:anchor="_Toc517159296" w:history="1">
            <w:r w:rsidR="00813981" w:rsidRPr="00813981">
              <w:rPr>
                <w:rStyle w:val="Hyperlink"/>
                <w:noProof/>
                <w:sz w:val="20"/>
                <w:szCs w:val="20"/>
                <w:lang w:eastAsia="zh-CN"/>
              </w:rPr>
              <w:t>Socially Responsible Investment (SRI) Report</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_Toc517159296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9</w:t>
            </w:r>
            <w:r w:rsidR="00813981" w:rsidRPr="00813981">
              <w:rPr>
                <w:noProof/>
                <w:webHidden/>
                <w:sz w:val="20"/>
                <w:szCs w:val="20"/>
              </w:rPr>
              <w:fldChar w:fldCharType="end"/>
            </w:r>
          </w:hyperlink>
        </w:p>
        <w:p w14:paraId="69ACEC1E" w14:textId="47440595" w:rsidR="00813981" w:rsidRPr="00813981" w:rsidRDefault="005220C5">
          <w:pPr>
            <w:pStyle w:val="TOC1"/>
            <w:tabs>
              <w:tab w:val="right" w:pos="9592"/>
            </w:tabs>
            <w:rPr>
              <w:rFonts w:asciiTheme="minorHAnsi" w:eastAsiaTheme="minorEastAsia" w:hAnsiTheme="minorHAnsi" w:cstheme="minorBidi"/>
              <w:noProof/>
              <w:sz w:val="20"/>
              <w:szCs w:val="20"/>
              <w:lang w:eastAsia="en-AU"/>
            </w:rPr>
          </w:pPr>
          <w:hyperlink w:anchor="_Toc517159297" w:history="1">
            <w:r w:rsidR="00813981" w:rsidRPr="00813981">
              <w:rPr>
                <w:rStyle w:val="Hyperlink"/>
                <w:noProof/>
                <w:sz w:val="20"/>
                <w:szCs w:val="20"/>
                <w:lang w:eastAsia="zh-CN"/>
              </w:rPr>
              <w:t>APPENDIX</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_Toc517159297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10</w:t>
            </w:r>
            <w:r w:rsidR="00813981" w:rsidRPr="00813981">
              <w:rPr>
                <w:noProof/>
                <w:webHidden/>
                <w:sz w:val="20"/>
                <w:szCs w:val="20"/>
              </w:rPr>
              <w:fldChar w:fldCharType="end"/>
            </w:r>
          </w:hyperlink>
        </w:p>
        <w:p w14:paraId="29EB1929" w14:textId="291F4BE0" w:rsidR="00813981" w:rsidRPr="00813981" w:rsidRDefault="005220C5">
          <w:pPr>
            <w:pStyle w:val="TOC2"/>
            <w:tabs>
              <w:tab w:val="right" w:pos="9592"/>
            </w:tabs>
            <w:rPr>
              <w:rFonts w:asciiTheme="minorHAnsi" w:eastAsiaTheme="minorEastAsia" w:hAnsiTheme="minorHAnsi" w:cstheme="minorBidi"/>
              <w:noProof/>
              <w:sz w:val="20"/>
              <w:szCs w:val="20"/>
              <w:lang w:eastAsia="en-AU"/>
            </w:rPr>
          </w:pPr>
          <w:hyperlink w:anchor="_Toc517159298" w:history="1">
            <w:r w:rsidR="00813981" w:rsidRPr="00813981">
              <w:rPr>
                <w:rStyle w:val="Hyperlink"/>
                <w:noProof/>
                <w:sz w:val="20"/>
                <w:szCs w:val="20"/>
              </w:rPr>
              <w:t>SMF Activities during Semester 1, 2018</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_Toc517159298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10</w:t>
            </w:r>
            <w:r w:rsidR="00813981" w:rsidRPr="00813981">
              <w:rPr>
                <w:noProof/>
                <w:webHidden/>
                <w:sz w:val="20"/>
                <w:szCs w:val="20"/>
              </w:rPr>
              <w:fldChar w:fldCharType="end"/>
            </w:r>
          </w:hyperlink>
        </w:p>
        <w:p w14:paraId="3B3100B4" w14:textId="3E398286" w:rsidR="00813981" w:rsidRPr="00813981" w:rsidRDefault="005220C5">
          <w:pPr>
            <w:pStyle w:val="TOC2"/>
            <w:tabs>
              <w:tab w:val="right" w:pos="9592"/>
            </w:tabs>
            <w:rPr>
              <w:rFonts w:asciiTheme="minorHAnsi" w:eastAsiaTheme="minorEastAsia" w:hAnsiTheme="minorHAnsi" w:cstheme="minorBidi"/>
              <w:noProof/>
              <w:sz w:val="20"/>
              <w:szCs w:val="20"/>
              <w:lang w:eastAsia="en-AU"/>
            </w:rPr>
          </w:pPr>
          <w:hyperlink w:anchor="_Toc517159299" w:history="1">
            <w:r w:rsidR="00813981" w:rsidRPr="00813981">
              <w:rPr>
                <w:rStyle w:val="Hyperlink"/>
                <w:noProof/>
                <w:sz w:val="20"/>
                <w:szCs w:val="20"/>
              </w:rPr>
              <w:t>SMF Contributors</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_Toc517159299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10</w:t>
            </w:r>
            <w:r w:rsidR="00813981" w:rsidRPr="00813981">
              <w:rPr>
                <w:noProof/>
                <w:webHidden/>
                <w:sz w:val="20"/>
                <w:szCs w:val="20"/>
              </w:rPr>
              <w:fldChar w:fldCharType="end"/>
            </w:r>
          </w:hyperlink>
        </w:p>
        <w:p w14:paraId="61F4C5D1" w14:textId="3FE3DE4D" w:rsidR="00813981" w:rsidRDefault="005220C5">
          <w:pPr>
            <w:pStyle w:val="TOC2"/>
            <w:tabs>
              <w:tab w:val="right" w:pos="9592"/>
            </w:tabs>
            <w:rPr>
              <w:rFonts w:asciiTheme="minorHAnsi" w:eastAsiaTheme="minorEastAsia" w:hAnsiTheme="minorHAnsi" w:cstheme="minorBidi"/>
              <w:noProof/>
              <w:sz w:val="22"/>
              <w:szCs w:val="22"/>
              <w:lang w:eastAsia="en-AU"/>
            </w:rPr>
          </w:pPr>
          <w:hyperlink w:anchor="_Toc517159300" w:history="1">
            <w:r w:rsidR="00813981" w:rsidRPr="00813981">
              <w:rPr>
                <w:rStyle w:val="Hyperlink"/>
                <w:noProof/>
                <w:sz w:val="20"/>
                <w:szCs w:val="20"/>
              </w:rPr>
              <w:t>SMF Team Membership</w:t>
            </w:r>
            <w:r w:rsidR="00813981" w:rsidRPr="00813981">
              <w:rPr>
                <w:noProof/>
                <w:webHidden/>
                <w:sz w:val="20"/>
                <w:szCs w:val="20"/>
              </w:rPr>
              <w:tab/>
            </w:r>
            <w:r w:rsidR="00813981" w:rsidRPr="00813981">
              <w:rPr>
                <w:noProof/>
                <w:webHidden/>
                <w:sz w:val="20"/>
                <w:szCs w:val="20"/>
              </w:rPr>
              <w:fldChar w:fldCharType="begin"/>
            </w:r>
            <w:r w:rsidR="00813981" w:rsidRPr="00813981">
              <w:rPr>
                <w:noProof/>
                <w:webHidden/>
                <w:sz w:val="20"/>
                <w:szCs w:val="20"/>
              </w:rPr>
              <w:instrText xml:space="preserve"> PAGEREF _Toc517159300 \h </w:instrText>
            </w:r>
            <w:r w:rsidR="00813981" w:rsidRPr="00813981">
              <w:rPr>
                <w:noProof/>
                <w:webHidden/>
                <w:sz w:val="20"/>
                <w:szCs w:val="20"/>
              </w:rPr>
            </w:r>
            <w:r w:rsidR="00813981" w:rsidRPr="00813981">
              <w:rPr>
                <w:noProof/>
                <w:webHidden/>
                <w:sz w:val="20"/>
                <w:szCs w:val="20"/>
              </w:rPr>
              <w:fldChar w:fldCharType="separate"/>
            </w:r>
            <w:r w:rsidR="00813981" w:rsidRPr="00813981">
              <w:rPr>
                <w:noProof/>
                <w:webHidden/>
                <w:sz w:val="20"/>
                <w:szCs w:val="20"/>
              </w:rPr>
              <w:t>11</w:t>
            </w:r>
            <w:r w:rsidR="00813981" w:rsidRPr="00813981">
              <w:rPr>
                <w:noProof/>
                <w:webHidden/>
                <w:sz w:val="20"/>
                <w:szCs w:val="20"/>
              </w:rPr>
              <w:fldChar w:fldCharType="end"/>
            </w:r>
          </w:hyperlink>
        </w:p>
        <w:p w14:paraId="13F8AC78" w14:textId="5764EC23" w:rsidR="00973FCE" w:rsidRPr="006771EF" w:rsidRDefault="00973FCE" w:rsidP="00BF3830">
          <w:pPr>
            <w:pStyle w:val="TOC3"/>
            <w:tabs>
              <w:tab w:val="right" w:leader="dot" w:pos="9628"/>
            </w:tabs>
            <w:ind w:left="0" w:right="62"/>
            <w:rPr>
              <w:sz w:val="20"/>
              <w:szCs w:val="20"/>
            </w:rPr>
          </w:pPr>
          <w:r w:rsidRPr="00F93672">
            <w:rPr>
              <w:b/>
              <w:bCs/>
              <w:noProof/>
              <w:sz w:val="20"/>
              <w:szCs w:val="20"/>
            </w:rPr>
            <w:fldChar w:fldCharType="end"/>
          </w:r>
        </w:p>
      </w:sdtContent>
    </w:sdt>
    <w:p w14:paraId="1E588CF8" w14:textId="77777777" w:rsidR="00141975" w:rsidRPr="006771EF" w:rsidRDefault="00141975" w:rsidP="006771EF">
      <w:pPr>
        <w:rPr>
          <w:sz w:val="20"/>
          <w:szCs w:val="20"/>
        </w:rPr>
      </w:pPr>
    </w:p>
    <w:p w14:paraId="0CE105D5" w14:textId="213477B3" w:rsidR="009E2493" w:rsidRPr="00BF3830" w:rsidRDefault="00BF3830" w:rsidP="00BF3830">
      <w:pPr>
        <w:pStyle w:val="Heading1"/>
        <w:spacing w:before="360"/>
        <w:rPr>
          <w:sz w:val="24"/>
          <w:szCs w:val="24"/>
          <w:lang w:eastAsia="zh-CN"/>
        </w:rPr>
      </w:pPr>
      <w:bookmarkStart w:id="1" w:name="_Toc517159286"/>
      <w:bookmarkStart w:id="2" w:name="_Toc385405354"/>
      <w:r>
        <w:rPr>
          <w:sz w:val="24"/>
          <w:szCs w:val="24"/>
          <w:lang w:eastAsia="zh-CN"/>
        </w:rPr>
        <w:t>Glossary</w:t>
      </w:r>
      <w:bookmarkEnd w:id="1"/>
      <w:r w:rsidR="009E2493" w:rsidRPr="006771EF">
        <w:t xml:space="preserve"> </w:t>
      </w:r>
    </w:p>
    <w:p w14:paraId="2FA969DD" w14:textId="4612F76E" w:rsidR="009E2493" w:rsidRPr="006771EF" w:rsidRDefault="009E2493" w:rsidP="00BF3830">
      <w:pPr>
        <w:spacing w:before="60" w:after="0"/>
        <w:rPr>
          <w:sz w:val="20"/>
          <w:szCs w:val="20"/>
        </w:rPr>
      </w:pPr>
      <w:r w:rsidRPr="006771EF">
        <w:rPr>
          <w:b/>
          <w:sz w:val="20"/>
          <w:szCs w:val="20"/>
        </w:rPr>
        <w:t xml:space="preserve">AA </w:t>
      </w:r>
      <w:r w:rsidRPr="006771EF">
        <w:rPr>
          <w:sz w:val="20"/>
          <w:szCs w:val="20"/>
        </w:rPr>
        <w:t xml:space="preserve">– </w:t>
      </w:r>
      <w:r w:rsidR="001C7CD7" w:rsidRPr="006771EF">
        <w:rPr>
          <w:sz w:val="20"/>
          <w:szCs w:val="20"/>
        </w:rPr>
        <w:t>Asset Allocation</w:t>
      </w:r>
    </w:p>
    <w:p w14:paraId="114F0094" w14:textId="77777777" w:rsidR="001C7CD7" w:rsidRPr="006771EF" w:rsidRDefault="009E2493" w:rsidP="00BF3830">
      <w:pPr>
        <w:spacing w:before="60" w:after="0"/>
        <w:rPr>
          <w:sz w:val="20"/>
          <w:szCs w:val="20"/>
        </w:rPr>
      </w:pPr>
      <w:r w:rsidRPr="006771EF">
        <w:rPr>
          <w:b/>
          <w:sz w:val="20"/>
          <w:szCs w:val="20"/>
        </w:rPr>
        <w:t xml:space="preserve">AAE </w:t>
      </w:r>
      <w:r w:rsidRPr="006771EF">
        <w:rPr>
          <w:sz w:val="20"/>
          <w:szCs w:val="20"/>
        </w:rPr>
        <w:t>–</w:t>
      </w:r>
      <w:r w:rsidR="001C7CD7" w:rsidRPr="006771EF">
        <w:rPr>
          <w:sz w:val="20"/>
          <w:szCs w:val="20"/>
        </w:rPr>
        <w:t xml:space="preserve"> Active Australian Equities</w:t>
      </w:r>
    </w:p>
    <w:p w14:paraId="1ED5F793" w14:textId="77777777" w:rsidR="009E2493" w:rsidRPr="006771EF" w:rsidRDefault="009E2493" w:rsidP="00BF3830">
      <w:pPr>
        <w:spacing w:before="60" w:after="0"/>
        <w:rPr>
          <w:sz w:val="20"/>
          <w:szCs w:val="20"/>
        </w:rPr>
      </w:pPr>
      <w:r w:rsidRPr="006771EF">
        <w:rPr>
          <w:b/>
          <w:sz w:val="20"/>
          <w:szCs w:val="20"/>
        </w:rPr>
        <w:t xml:space="preserve">ANU </w:t>
      </w:r>
      <w:r w:rsidRPr="006771EF">
        <w:rPr>
          <w:sz w:val="20"/>
          <w:szCs w:val="20"/>
        </w:rPr>
        <w:t>– The Australian National University</w:t>
      </w:r>
    </w:p>
    <w:p w14:paraId="118772A9" w14:textId="5E062A5E" w:rsidR="000464A2" w:rsidRPr="006771EF" w:rsidRDefault="000464A2" w:rsidP="00BF3830">
      <w:pPr>
        <w:spacing w:before="60" w:after="0"/>
        <w:rPr>
          <w:sz w:val="20"/>
          <w:szCs w:val="20"/>
        </w:rPr>
      </w:pPr>
      <w:r w:rsidRPr="006771EF">
        <w:rPr>
          <w:b/>
          <w:sz w:val="20"/>
          <w:szCs w:val="20"/>
        </w:rPr>
        <w:t xml:space="preserve">CIO – </w:t>
      </w:r>
      <w:r w:rsidRPr="006771EF">
        <w:rPr>
          <w:sz w:val="20"/>
          <w:szCs w:val="20"/>
        </w:rPr>
        <w:t>Chief Investment Officer</w:t>
      </w:r>
    </w:p>
    <w:p w14:paraId="2D9434FC" w14:textId="68726A7E" w:rsidR="00506F52" w:rsidRPr="006771EF" w:rsidRDefault="00506F52" w:rsidP="00BF3830">
      <w:pPr>
        <w:spacing w:before="60" w:after="0"/>
        <w:rPr>
          <w:sz w:val="20"/>
          <w:szCs w:val="20"/>
        </w:rPr>
      </w:pPr>
      <w:r w:rsidRPr="006771EF">
        <w:rPr>
          <w:b/>
          <w:sz w:val="20"/>
          <w:szCs w:val="20"/>
        </w:rPr>
        <w:t xml:space="preserve">CRO </w:t>
      </w:r>
      <w:r w:rsidRPr="006771EF">
        <w:rPr>
          <w:sz w:val="20"/>
          <w:szCs w:val="20"/>
        </w:rPr>
        <w:t>– Chief Risk Officer</w:t>
      </w:r>
    </w:p>
    <w:p w14:paraId="14466FF9" w14:textId="7862D280" w:rsidR="005462FB" w:rsidRPr="006771EF" w:rsidRDefault="005462FB" w:rsidP="00BF3830">
      <w:pPr>
        <w:spacing w:before="60" w:after="0"/>
        <w:rPr>
          <w:sz w:val="20"/>
          <w:szCs w:val="20"/>
        </w:rPr>
      </w:pPr>
      <w:r w:rsidRPr="006771EF">
        <w:rPr>
          <w:b/>
          <w:sz w:val="20"/>
          <w:szCs w:val="20"/>
        </w:rPr>
        <w:t>ESG</w:t>
      </w:r>
      <w:r w:rsidRPr="006771EF">
        <w:rPr>
          <w:sz w:val="20"/>
          <w:szCs w:val="20"/>
        </w:rPr>
        <w:t xml:space="preserve"> – Environmental, Social and Governance</w:t>
      </w:r>
    </w:p>
    <w:p w14:paraId="023266CC" w14:textId="046108B2" w:rsidR="00B76460" w:rsidRPr="006771EF" w:rsidRDefault="00B76460" w:rsidP="00BF3830">
      <w:pPr>
        <w:spacing w:before="60" w:after="0"/>
        <w:rPr>
          <w:sz w:val="20"/>
          <w:szCs w:val="20"/>
        </w:rPr>
      </w:pPr>
      <w:r w:rsidRPr="006771EF">
        <w:rPr>
          <w:b/>
          <w:sz w:val="20"/>
          <w:szCs w:val="20"/>
        </w:rPr>
        <w:t>ETF</w:t>
      </w:r>
      <w:r w:rsidRPr="006771EF">
        <w:rPr>
          <w:sz w:val="20"/>
          <w:szCs w:val="20"/>
        </w:rPr>
        <w:t xml:space="preserve"> – Exchanged-traded Fund</w:t>
      </w:r>
    </w:p>
    <w:p w14:paraId="37F2476B" w14:textId="437BC0B0" w:rsidR="00B76460" w:rsidRPr="006771EF" w:rsidRDefault="00B76460" w:rsidP="00BF3830">
      <w:pPr>
        <w:spacing w:before="60" w:after="0"/>
        <w:rPr>
          <w:sz w:val="20"/>
          <w:szCs w:val="20"/>
        </w:rPr>
      </w:pPr>
      <w:r w:rsidRPr="006771EF">
        <w:rPr>
          <w:b/>
          <w:sz w:val="20"/>
          <w:szCs w:val="20"/>
        </w:rPr>
        <w:t xml:space="preserve">IAC </w:t>
      </w:r>
      <w:r w:rsidRPr="006771EF">
        <w:rPr>
          <w:sz w:val="20"/>
          <w:szCs w:val="20"/>
        </w:rPr>
        <w:t>– Investment Advisory Committee</w:t>
      </w:r>
    </w:p>
    <w:p w14:paraId="7D9C0AA2" w14:textId="5C8E7C1D" w:rsidR="00B76460" w:rsidRPr="006771EF" w:rsidRDefault="00B76460" w:rsidP="00BF3830">
      <w:pPr>
        <w:spacing w:before="60" w:after="0"/>
        <w:rPr>
          <w:b/>
          <w:sz w:val="20"/>
          <w:szCs w:val="20"/>
        </w:rPr>
      </w:pPr>
      <w:r w:rsidRPr="006771EF">
        <w:rPr>
          <w:b/>
          <w:sz w:val="20"/>
          <w:szCs w:val="20"/>
        </w:rPr>
        <w:t>LTIP</w:t>
      </w:r>
      <w:r w:rsidRPr="006771EF">
        <w:rPr>
          <w:sz w:val="20"/>
          <w:szCs w:val="20"/>
        </w:rPr>
        <w:t xml:space="preserve"> – Long Term Investment Pool</w:t>
      </w:r>
    </w:p>
    <w:p w14:paraId="6D426E3C" w14:textId="77777777" w:rsidR="009E2493" w:rsidRPr="006771EF" w:rsidRDefault="009E2493" w:rsidP="00BF3830">
      <w:pPr>
        <w:spacing w:before="60" w:after="0"/>
        <w:rPr>
          <w:sz w:val="20"/>
          <w:szCs w:val="20"/>
        </w:rPr>
      </w:pPr>
      <w:r w:rsidRPr="006771EF">
        <w:rPr>
          <w:b/>
          <w:sz w:val="20"/>
          <w:szCs w:val="20"/>
        </w:rPr>
        <w:t xml:space="preserve">SMF – </w:t>
      </w:r>
      <w:r w:rsidRPr="006771EF">
        <w:rPr>
          <w:sz w:val="20"/>
          <w:szCs w:val="20"/>
        </w:rPr>
        <w:t>Student Managed Fund</w:t>
      </w:r>
    </w:p>
    <w:p w14:paraId="3E22D996" w14:textId="1DAE0DF0" w:rsidR="00B76460" w:rsidRPr="006771EF" w:rsidRDefault="009E2493" w:rsidP="00BF3830">
      <w:pPr>
        <w:spacing w:before="60" w:after="0"/>
        <w:rPr>
          <w:sz w:val="20"/>
          <w:szCs w:val="20"/>
        </w:rPr>
      </w:pPr>
      <w:r w:rsidRPr="006771EF">
        <w:rPr>
          <w:b/>
          <w:sz w:val="20"/>
          <w:szCs w:val="20"/>
        </w:rPr>
        <w:t xml:space="preserve">SRI – </w:t>
      </w:r>
      <w:r w:rsidRPr="006771EF">
        <w:rPr>
          <w:sz w:val="20"/>
          <w:szCs w:val="20"/>
        </w:rPr>
        <w:t>Sociall</w:t>
      </w:r>
      <w:r w:rsidR="001C7CD7" w:rsidRPr="006771EF">
        <w:rPr>
          <w:sz w:val="20"/>
          <w:szCs w:val="20"/>
        </w:rPr>
        <w:t>y Responsible Investment</w:t>
      </w:r>
    </w:p>
    <w:p w14:paraId="17F4E59A" w14:textId="39595FEB" w:rsidR="005462FB" w:rsidRPr="006771EF" w:rsidRDefault="005462FB" w:rsidP="00BF3830">
      <w:pPr>
        <w:spacing w:before="60" w:after="0"/>
        <w:rPr>
          <w:sz w:val="20"/>
          <w:szCs w:val="20"/>
        </w:rPr>
      </w:pPr>
      <w:r w:rsidRPr="006771EF">
        <w:rPr>
          <w:b/>
          <w:sz w:val="20"/>
          <w:szCs w:val="20"/>
        </w:rPr>
        <w:t>R&amp;C</w:t>
      </w:r>
      <w:r w:rsidRPr="006771EF">
        <w:rPr>
          <w:sz w:val="20"/>
          <w:szCs w:val="20"/>
        </w:rPr>
        <w:t xml:space="preserve"> – Risk and Compliance</w:t>
      </w:r>
    </w:p>
    <w:p w14:paraId="34C188E6" w14:textId="624C9C63" w:rsidR="00B76460" w:rsidRPr="006771EF" w:rsidRDefault="00B76460" w:rsidP="00BF3830">
      <w:pPr>
        <w:spacing w:before="60" w:after="0"/>
        <w:rPr>
          <w:sz w:val="20"/>
          <w:szCs w:val="20"/>
        </w:rPr>
      </w:pPr>
      <w:r w:rsidRPr="006771EF">
        <w:rPr>
          <w:b/>
          <w:sz w:val="20"/>
          <w:szCs w:val="20"/>
        </w:rPr>
        <w:t>RIO</w:t>
      </w:r>
      <w:r w:rsidRPr="006771EF">
        <w:rPr>
          <w:sz w:val="20"/>
          <w:szCs w:val="20"/>
        </w:rPr>
        <w:t xml:space="preserve"> – Rio Tinto Limited</w:t>
      </w:r>
    </w:p>
    <w:p w14:paraId="301874FB" w14:textId="42E832D8" w:rsidR="00B76460" w:rsidRPr="006771EF" w:rsidRDefault="00B76460" w:rsidP="00BF3830">
      <w:pPr>
        <w:spacing w:before="60" w:after="0"/>
        <w:rPr>
          <w:sz w:val="20"/>
          <w:szCs w:val="20"/>
        </w:rPr>
      </w:pPr>
      <w:r w:rsidRPr="006771EF">
        <w:rPr>
          <w:b/>
          <w:sz w:val="20"/>
          <w:szCs w:val="20"/>
        </w:rPr>
        <w:t>TLS</w:t>
      </w:r>
      <w:r w:rsidRPr="006771EF">
        <w:rPr>
          <w:sz w:val="20"/>
          <w:szCs w:val="20"/>
        </w:rPr>
        <w:t xml:space="preserve"> – Telstra Corporation Limited</w:t>
      </w:r>
    </w:p>
    <w:p w14:paraId="5F68638D" w14:textId="5B0F6356" w:rsidR="00B76460" w:rsidRPr="006771EF" w:rsidRDefault="00B76460" w:rsidP="00BF3830">
      <w:pPr>
        <w:spacing w:before="60" w:after="0"/>
        <w:rPr>
          <w:sz w:val="20"/>
          <w:szCs w:val="20"/>
        </w:rPr>
      </w:pPr>
      <w:r w:rsidRPr="006771EF">
        <w:rPr>
          <w:b/>
          <w:sz w:val="20"/>
          <w:szCs w:val="20"/>
        </w:rPr>
        <w:t xml:space="preserve">WBC </w:t>
      </w:r>
      <w:r w:rsidRPr="006771EF">
        <w:rPr>
          <w:sz w:val="20"/>
          <w:szCs w:val="20"/>
        </w:rPr>
        <w:t>– Westpac Banking Corporation</w:t>
      </w:r>
    </w:p>
    <w:p w14:paraId="2918F533" w14:textId="77777777" w:rsidR="00515130" w:rsidRPr="006771EF" w:rsidRDefault="001C7CD7" w:rsidP="006771EF">
      <w:pPr>
        <w:widowControl/>
        <w:jc w:val="left"/>
        <w:rPr>
          <w:rFonts w:eastAsiaTheme="minorEastAsia"/>
          <w:b/>
          <w:color w:val="4472C4" w:themeColor="accent1"/>
          <w:spacing w:val="15"/>
          <w:sz w:val="20"/>
          <w:szCs w:val="20"/>
        </w:rPr>
      </w:pPr>
      <w:bookmarkStart w:id="3" w:name="_Toc494985951"/>
      <w:bookmarkStart w:id="4" w:name="_Toc496710173"/>
      <w:bookmarkStart w:id="5" w:name="_Toc496709698"/>
      <w:bookmarkStart w:id="6" w:name="_Toc496709553"/>
      <w:bookmarkStart w:id="7" w:name="_Toc496709491"/>
      <w:bookmarkStart w:id="8" w:name="_Toc496709051"/>
      <w:bookmarkStart w:id="9" w:name="_Toc496708862"/>
      <w:bookmarkStart w:id="10" w:name="_Toc495302408"/>
      <w:bookmarkStart w:id="11" w:name="_Toc495301915"/>
      <w:r w:rsidRPr="006771EF">
        <w:rPr>
          <w:sz w:val="20"/>
          <w:szCs w:val="20"/>
        </w:rPr>
        <w:br w:type="page"/>
      </w:r>
      <w:bookmarkEnd w:id="3"/>
      <w:bookmarkEnd w:id="4"/>
      <w:bookmarkEnd w:id="5"/>
      <w:bookmarkEnd w:id="6"/>
      <w:bookmarkEnd w:id="7"/>
      <w:bookmarkEnd w:id="8"/>
      <w:bookmarkEnd w:id="9"/>
      <w:bookmarkEnd w:id="10"/>
      <w:bookmarkEnd w:id="11"/>
    </w:p>
    <w:p w14:paraId="3D837E78" w14:textId="4259F4B6" w:rsidR="00C66578" w:rsidRPr="00136215" w:rsidRDefault="00D00196" w:rsidP="00DB286A">
      <w:pPr>
        <w:pStyle w:val="Heading1"/>
        <w:spacing w:before="360"/>
        <w:rPr>
          <w:sz w:val="24"/>
          <w:szCs w:val="24"/>
          <w:lang w:eastAsia="zh-CN"/>
        </w:rPr>
      </w:pPr>
      <w:bookmarkStart w:id="12" w:name="_Toc517159287"/>
      <w:r w:rsidRPr="00136215">
        <w:rPr>
          <w:sz w:val="24"/>
          <w:szCs w:val="24"/>
          <w:lang w:eastAsia="zh-CN"/>
        </w:rPr>
        <w:lastRenderedPageBreak/>
        <w:t xml:space="preserve">About </w:t>
      </w:r>
      <w:r w:rsidR="00380F71" w:rsidRPr="00136215">
        <w:rPr>
          <w:sz w:val="24"/>
          <w:szCs w:val="24"/>
          <w:lang w:eastAsia="zh-CN"/>
        </w:rPr>
        <w:t>this Report</w:t>
      </w:r>
      <w:bookmarkEnd w:id="12"/>
    </w:p>
    <w:p w14:paraId="2BB8F530" w14:textId="74D87951" w:rsidR="00136215" w:rsidRDefault="00DB286A" w:rsidP="00136215">
      <w:pPr>
        <w:spacing w:before="180" w:after="0"/>
        <w:rPr>
          <w:sz w:val="20"/>
          <w:szCs w:val="20"/>
          <w:lang w:eastAsia="zh-CN"/>
        </w:rPr>
      </w:pPr>
      <w:r>
        <w:rPr>
          <w:sz w:val="20"/>
          <w:szCs w:val="20"/>
          <w:lang w:eastAsia="zh-CN"/>
        </w:rPr>
        <w:t>Welcome to our</w:t>
      </w:r>
      <w:r w:rsidR="00380F71">
        <w:rPr>
          <w:sz w:val="20"/>
          <w:szCs w:val="20"/>
          <w:lang w:eastAsia="zh-CN"/>
        </w:rPr>
        <w:t xml:space="preserve"> inaugural report for the ANU Student Managed Fund! Th</w:t>
      </w:r>
      <w:r>
        <w:rPr>
          <w:sz w:val="20"/>
          <w:szCs w:val="20"/>
          <w:lang w:eastAsia="zh-CN"/>
        </w:rPr>
        <w:t>i</w:t>
      </w:r>
      <w:r w:rsidR="00380F71">
        <w:rPr>
          <w:sz w:val="20"/>
          <w:szCs w:val="20"/>
          <w:lang w:eastAsia="zh-CN"/>
        </w:rPr>
        <w:t xml:space="preserve">s </w:t>
      </w:r>
      <w:r>
        <w:rPr>
          <w:sz w:val="20"/>
          <w:szCs w:val="20"/>
          <w:lang w:eastAsia="zh-CN"/>
        </w:rPr>
        <w:t xml:space="preserve">is the first of regular </w:t>
      </w:r>
      <w:r w:rsidR="00380F71">
        <w:rPr>
          <w:sz w:val="20"/>
          <w:szCs w:val="20"/>
          <w:lang w:eastAsia="zh-CN"/>
        </w:rPr>
        <w:t>report</w:t>
      </w:r>
      <w:r>
        <w:rPr>
          <w:sz w:val="20"/>
          <w:szCs w:val="20"/>
          <w:lang w:eastAsia="zh-CN"/>
        </w:rPr>
        <w:t>s</w:t>
      </w:r>
      <w:r w:rsidR="00380F71">
        <w:rPr>
          <w:sz w:val="20"/>
          <w:szCs w:val="20"/>
          <w:lang w:eastAsia="zh-CN"/>
        </w:rPr>
        <w:t xml:space="preserve"> on the activities </w:t>
      </w:r>
      <w:r>
        <w:rPr>
          <w:sz w:val="20"/>
          <w:szCs w:val="20"/>
          <w:lang w:eastAsia="zh-CN"/>
        </w:rPr>
        <w:t xml:space="preserve">and achievements of the SMF, </w:t>
      </w:r>
      <w:r w:rsidR="00B51CE2">
        <w:rPr>
          <w:sz w:val="20"/>
          <w:szCs w:val="20"/>
          <w:lang w:eastAsia="zh-CN"/>
        </w:rPr>
        <w:t xml:space="preserve">comprising </w:t>
      </w:r>
      <w:r w:rsidR="00380F71">
        <w:rPr>
          <w:sz w:val="20"/>
          <w:szCs w:val="20"/>
          <w:lang w:eastAsia="zh-CN"/>
        </w:rPr>
        <w:t>updates from the Convenors, the CIO and each</w:t>
      </w:r>
      <w:r>
        <w:rPr>
          <w:sz w:val="20"/>
          <w:szCs w:val="20"/>
          <w:lang w:eastAsia="zh-CN"/>
        </w:rPr>
        <w:t xml:space="preserve"> </w:t>
      </w:r>
      <w:r w:rsidR="00D719BE">
        <w:rPr>
          <w:sz w:val="20"/>
          <w:szCs w:val="20"/>
          <w:lang w:eastAsia="zh-CN"/>
        </w:rPr>
        <w:t>t</w:t>
      </w:r>
      <w:r>
        <w:rPr>
          <w:sz w:val="20"/>
          <w:szCs w:val="20"/>
          <w:lang w:eastAsia="zh-CN"/>
        </w:rPr>
        <w:t xml:space="preserve">eam </w:t>
      </w:r>
      <w:r w:rsidR="00D719BE">
        <w:rPr>
          <w:sz w:val="20"/>
          <w:szCs w:val="20"/>
          <w:lang w:eastAsia="zh-CN"/>
        </w:rPr>
        <w:t>l</w:t>
      </w:r>
      <w:r>
        <w:rPr>
          <w:sz w:val="20"/>
          <w:szCs w:val="20"/>
          <w:lang w:eastAsia="zh-CN"/>
        </w:rPr>
        <w:t>eader; as well as details</w:t>
      </w:r>
      <w:r w:rsidR="00380F71">
        <w:rPr>
          <w:sz w:val="20"/>
          <w:szCs w:val="20"/>
          <w:lang w:eastAsia="zh-CN"/>
        </w:rPr>
        <w:t xml:space="preserve"> on the </w:t>
      </w:r>
      <w:r w:rsidR="00136215">
        <w:rPr>
          <w:sz w:val="20"/>
          <w:szCs w:val="20"/>
          <w:lang w:eastAsia="zh-CN"/>
        </w:rPr>
        <w:t xml:space="preserve">SMF </w:t>
      </w:r>
      <w:r w:rsidR="00380F71">
        <w:rPr>
          <w:sz w:val="20"/>
          <w:szCs w:val="20"/>
          <w:lang w:eastAsia="zh-CN"/>
        </w:rPr>
        <w:t>portfolio</w:t>
      </w:r>
      <w:r>
        <w:rPr>
          <w:sz w:val="20"/>
          <w:szCs w:val="20"/>
          <w:lang w:eastAsia="zh-CN"/>
        </w:rPr>
        <w:t xml:space="preserve"> and any</w:t>
      </w:r>
      <w:r w:rsidR="00136215">
        <w:rPr>
          <w:sz w:val="20"/>
          <w:szCs w:val="20"/>
          <w:lang w:eastAsia="zh-CN"/>
        </w:rPr>
        <w:t xml:space="preserve"> investment</w:t>
      </w:r>
      <w:r>
        <w:rPr>
          <w:sz w:val="20"/>
          <w:szCs w:val="20"/>
          <w:lang w:eastAsia="zh-CN"/>
        </w:rPr>
        <w:t xml:space="preserve">-related </w:t>
      </w:r>
      <w:r w:rsidR="00136215">
        <w:rPr>
          <w:sz w:val="20"/>
          <w:szCs w:val="20"/>
          <w:lang w:eastAsia="zh-CN"/>
        </w:rPr>
        <w:t>and other</w:t>
      </w:r>
      <w:r w:rsidR="00B51CE2">
        <w:rPr>
          <w:sz w:val="20"/>
          <w:szCs w:val="20"/>
          <w:lang w:eastAsia="zh-CN"/>
        </w:rPr>
        <w:t xml:space="preserve"> activities. We intend</w:t>
      </w:r>
      <w:r w:rsidR="00136215">
        <w:rPr>
          <w:sz w:val="20"/>
          <w:szCs w:val="20"/>
          <w:lang w:eastAsia="zh-CN"/>
        </w:rPr>
        <w:t xml:space="preserve"> to generate fou</w:t>
      </w:r>
      <w:r w:rsidR="00380F71">
        <w:rPr>
          <w:sz w:val="20"/>
          <w:szCs w:val="20"/>
          <w:lang w:eastAsia="zh-CN"/>
        </w:rPr>
        <w:t>r such re</w:t>
      </w:r>
      <w:r w:rsidR="00B51CE2">
        <w:rPr>
          <w:sz w:val="20"/>
          <w:szCs w:val="20"/>
          <w:lang w:eastAsia="zh-CN"/>
        </w:rPr>
        <w:t>ports every</w:t>
      </w:r>
      <w:r w:rsidR="00380F71">
        <w:rPr>
          <w:sz w:val="20"/>
          <w:szCs w:val="20"/>
          <w:lang w:eastAsia="zh-CN"/>
        </w:rPr>
        <w:t xml:space="preserve"> year</w:t>
      </w:r>
      <w:r w:rsidR="00136215">
        <w:rPr>
          <w:sz w:val="20"/>
          <w:szCs w:val="20"/>
          <w:lang w:eastAsia="zh-CN"/>
        </w:rPr>
        <w:t>,</w:t>
      </w:r>
      <w:r w:rsidR="00B51CE2">
        <w:rPr>
          <w:sz w:val="20"/>
          <w:szCs w:val="20"/>
          <w:lang w:eastAsia="zh-CN"/>
        </w:rPr>
        <w:t xml:space="preserve"> including </w:t>
      </w:r>
      <w:r w:rsidR="00380F71">
        <w:rPr>
          <w:sz w:val="20"/>
          <w:szCs w:val="20"/>
          <w:lang w:eastAsia="zh-CN"/>
        </w:rPr>
        <w:t>mid-semester and end-semester</w:t>
      </w:r>
      <w:r>
        <w:rPr>
          <w:sz w:val="20"/>
          <w:szCs w:val="20"/>
          <w:lang w:eastAsia="zh-CN"/>
        </w:rPr>
        <w:t xml:space="preserve"> versions</w:t>
      </w:r>
      <w:r w:rsidR="00136215">
        <w:rPr>
          <w:sz w:val="20"/>
          <w:szCs w:val="20"/>
          <w:lang w:eastAsia="zh-CN"/>
        </w:rPr>
        <w:t xml:space="preserve">. </w:t>
      </w:r>
    </w:p>
    <w:p w14:paraId="66D4505C" w14:textId="06EE95C0" w:rsidR="00136215" w:rsidRDefault="00136215" w:rsidP="00136215">
      <w:pPr>
        <w:spacing w:before="180" w:after="0"/>
        <w:rPr>
          <w:sz w:val="20"/>
          <w:szCs w:val="20"/>
        </w:rPr>
      </w:pPr>
      <w:r>
        <w:rPr>
          <w:sz w:val="20"/>
          <w:szCs w:val="20"/>
          <w:lang w:eastAsia="zh-CN"/>
        </w:rPr>
        <w:t xml:space="preserve">We </w:t>
      </w:r>
      <w:r w:rsidR="000305AA">
        <w:rPr>
          <w:sz w:val="20"/>
          <w:szCs w:val="20"/>
          <w:lang w:eastAsia="zh-CN"/>
        </w:rPr>
        <w:t>hope</w:t>
      </w:r>
      <w:r>
        <w:rPr>
          <w:sz w:val="20"/>
          <w:szCs w:val="20"/>
          <w:lang w:eastAsia="zh-CN"/>
        </w:rPr>
        <w:t xml:space="preserve"> that you find these reports </w:t>
      </w:r>
      <w:r w:rsidR="00DB286A">
        <w:rPr>
          <w:sz w:val="20"/>
          <w:szCs w:val="20"/>
          <w:lang w:eastAsia="zh-CN"/>
        </w:rPr>
        <w:t xml:space="preserve">both </w:t>
      </w:r>
      <w:r>
        <w:rPr>
          <w:sz w:val="20"/>
          <w:szCs w:val="20"/>
          <w:lang w:eastAsia="zh-CN"/>
        </w:rPr>
        <w:t>inf</w:t>
      </w:r>
      <w:r w:rsidR="00DB286A">
        <w:rPr>
          <w:sz w:val="20"/>
          <w:szCs w:val="20"/>
          <w:lang w:eastAsia="zh-CN"/>
        </w:rPr>
        <w:t>ormative and interesting. We</w:t>
      </w:r>
      <w:r>
        <w:rPr>
          <w:sz w:val="20"/>
          <w:szCs w:val="20"/>
          <w:lang w:eastAsia="zh-CN"/>
        </w:rPr>
        <w:t xml:space="preserve"> would be glad to receive any feedback that would make </w:t>
      </w:r>
      <w:r w:rsidR="00DB286A">
        <w:rPr>
          <w:sz w:val="20"/>
          <w:szCs w:val="20"/>
          <w:lang w:eastAsia="zh-CN"/>
        </w:rPr>
        <w:t xml:space="preserve">them even better, which you could send either to myself or the SMF email address </w:t>
      </w:r>
      <w:r w:rsidR="00DB286A" w:rsidRPr="00DB286A">
        <w:rPr>
          <w:sz w:val="20"/>
          <w:szCs w:val="20"/>
          <w:lang w:eastAsia="zh-CN"/>
        </w:rPr>
        <w:t>(</w:t>
      </w:r>
      <w:hyperlink r:id="rId9" w:history="1">
        <w:r w:rsidR="00DB286A" w:rsidRPr="006F4BA0">
          <w:rPr>
            <w:rStyle w:val="Hyperlink"/>
            <w:sz w:val="20"/>
            <w:szCs w:val="20"/>
          </w:rPr>
          <w:t>smf.rsfas@anu.edu.au</w:t>
        </w:r>
      </w:hyperlink>
      <w:r w:rsidR="00DB286A">
        <w:rPr>
          <w:sz w:val="20"/>
          <w:szCs w:val="20"/>
        </w:rPr>
        <w:t>).</w:t>
      </w:r>
    </w:p>
    <w:p w14:paraId="3EA37BCB" w14:textId="77777777" w:rsidR="00136215" w:rsidRDefault="00136215" w:rsidP="00136215">
      <w:pPr>
        <w:spacing w:before="180" w:after="0"/>
        <w:rPr>
          <w:i/>
          <w:sz w:val="20"/>
          <w:szCs w:val="20"/>
          <w:lang w:val="en-US"/>
        </w:rPr>
      </w:pPr>
      <w:r w:rsidRPr="006771EF">
        <w:rPr>
          <w:i/>
          <w:sz w:val="20"/>
          <w:szCs w:val="20"/>
          <w:lang w:val="en-US"/>
        </w:rPr>
        <w:t xml:space="preserve">Ruolin </w:t>
      </w:r>
      <w:r>
        <w:rPr>
          <w:i/>
          <w:sz w:val="20"/>
          <w:szCs w:val="20"/>
          <w:lang w:val="en-US"/>
        </w:rPr>
        <w:t>(Alex) Mai</w:t>
      </w:r>
    </w:p>
    <w:p w14:paraId="2380FE1F" w14:textId="4941FB4B" w:rsidR="00C43657" w:rsidRDefault="00136215" w:rsidP="00136215">
      <w:pPr>
        <w:spacing w:before="0" w:after="0"/>
        <w:rPr>
          <w:sz w:val="20"/>
          <w:szCs w:val="20"/>
          <w:lang w:eastAsia="zh-CN"/>
        </w:rPr>
      </w:pPr>
      <w:r w:rsidRPr="006771EF">
        <w:rPr>
          <w:i/>
          <w:sz w:val="20"/>
          <w:szCs w:val="20"/>
          <w:lang w:val="en-US"/>
        </w:rPr>
        <w:t>Relationship Manager</w:t>
      </w:r>
    </w:p>
    <w:p w14:paraId="03524B69" w14:textId="6FD374C7" w:rsidR="00136215" w:rsidRDefault="005220C5" w:rsidP="00136215">
      <w:pPr>
        <w:spacing w:before="0"/>
        <w:rPr>
          <w:i/>
          <w:sz w:val="20"/>
          <w:szCs w:val="20"/>
          <w:lang w:eastAsia="zh-CN"/>
        </w:rPr>
      </w:pPr>
      <w:hyperlink r:id="rId10" w:history="1">
        <w:r w:rsidR="00BB0AF0" w:rsidRPr="00BB0AF0">
          <w:rPr>
            <w:rStyle w:val="Hyperlink"/>
            <w:i/>
            <w:sz w:val="20"/>
            <w:szCs w:val="20"/>
            <w:lang w:eastAsia="zh-CN"/>
          </w:rPr>
          <w:t>u5900218@anu.edu.au</w:t>
        </w:r>
      </w:hyperlink>
    </w:p>
    <w:p w14:paraId="0A93C221" w14:textId="77777777" w:rsidR="001C16C0" w:rsidRPr="00136215" w:rsidRDefault="001C16C0" w:rsidP="00136215">
      <w:pPr>
        <w:spacing w:before="0"/>
        <w:rPr>
          <w:i/>
          <w:sz w:val="20"/>
          <w:szCs w:val="20"/>
          <w:lang w:eastAsia="zh-CN"/>
        </w:rPr>
      </w:pPr>
    </w:p>
    <w:p w14:paraId="26D40AF7" w14:textId="77777777" w:rsidR="00C66578" w:rsidRPr="00136215" w:rsidRDefault="00C66578" w:rsidP="00DB286A">
      <w:pPr>
        <w:pStyle w:val="Heading1"/>
        <w:spacing w:before="360"/>
        <w:rPr>
          <w:sz w:val="24"/>
          <w:szCs w:val="24"/>
          <w:lang w:eastAsia="zh-CN"/>
        </w:rPr>
      </w:pPr>
      <w:bookmarkStart w:id="13" w:name="_Toc517159288"/>
      <w:r w:rsidRPr="00136215">
        <w:rPr>
          <w:sz w:val="24"/>
          <w:szCs w:val="24"/>
          <w:lang w:eastAsia="zh-CN"/>
        </w:rPr>
        <w:t>Convenor Report</w:t>
      </w:r>
      <w:bookmarkEnd w:id="13"/>
    </w:p>
    <w:p w14:paraId="2FB566B2" w14:textId="6297E81B" w:rsidR="00C66578" w:rsidRPr="006771EF" w:rsidRDefault="00C66578" w:rsidP="00136215">
      <w:pPr>
        <w:spacing w:before="180" w:after="0"/>
        <w:rPr>
          <w:sz w:val="20"/>
          <w:szCs w:val="20"/>
        </w:rPr>
      </w:pPr>
      <w:r w:rsidRPr="006771EF">
        <w:rPr>
          <w:sz w:val="20"/>
          <w:szCs w:val="20"/>
        </w:rPr>
        <w:t xml:space="preserve">As the Convenors, our primary aim is to </w:t>
      </w:r>
      <w:r w:rsidR="001C16C0">
        <w:rPr>
          <w:sz w:val="20"/>
          <w:szCs w:val="20"/>
        </w:rPr>
        <w:t>en</w:t>
      </w:r>
      <w:r w:rsidRPr="006771EF">
        <w:rPr>
          <w:sz w:val="20"/>
          <w:szCs w:val="20"/>
        </w:rPr>
        <w:t xml:space="preserve">sure </w:t>
      </w:r>
      <w:r w:rsidR="001C16C0">
        <w:rPr>
          <w:sz w:val="20"/>
          <w:szCs w:val="20"/>
        </w:rPr>
        <w:t xml:space="preserve">that </w:t>
      </w:r>
      <w:r w:rsidRPr="006771EF">
        <w:rPr>
          <w:sz w:val="20"/>
          <w:szCs w:val="20"/>
        </w:rPr>
        <w:t xml:space="preserve">the SMF is functioning well, and the students are learning. We are very pleased on both counts. It has been a joy to watch the students </w:t>
      </w:r>
      <w:r w:rsidR="00E02AC4">
        <w:rPr>
          <w:sz w:val="20"/>
          <w:szCs w:val="20"/>
        </w:rPr>
        <w:t xml:space="preserve">coming together to </w:t>
      </w:r>
      <w:r w:rsidRPr="006771EF">
        <w:rPr>
          <w:sz w:val="20"/>
          <w:szCs w:val="20"/>
        </w:rPr>
        <w:t xml:space="preserve">build the platform for the fund to operate. </w:t>
      </w:r>
      <w:r w:rsidR="004405F4">
        <w:rPr>
          <w:sz w:val="20"/>
          <w:szCs w:val="20"/>
        </w:rPr>
        <w:t xml:space="preserve">Till date, </w:t>
      </w:r>
      <w:r w:rsidRPr="006771EF">
        <w:rPr>
          <w:sz w:val="20"/>
          <w:szCs w:val="20"/>
        </w:rPr>
        <w:t>the AAE team</w:t>
      </w:r>
      <w:r w:rsidR="004405F4">
        <w:rPr>
          <w:sz w:val="20"/>
          <w:szCs w:val="20"/>
        </w:rPr>
        <w:t xml:space="preserve"> has been most advanced in terms of work progress.</w:t>
      </w:r>
      <w:r w:rsidRPr="006771EF">
        <w:rPr>
          <w:sz w:val="20"/>
          <w:szCs w:val="20"/>
        </w:rPr>
        <w:t xml:space="preserve"> </w:t>
      </w:r>
      <w:r w:rsidR="004405F4">
        <w:rPr>
          <w:sz w:val="20"/>
          <w:szCs w:val="20"/>
        </w:rPr>
        <w:t xml:space="preserve"> They have </w:t>
      </w:r>
      <w:r w:rsidRPr="006771EF">
        <w:rPr>
          <w:sz w:val="20"/>
          <w:szCs w:val="20"/>
        </w:rPr>
        <w:t xml:space="preserve">made their first active stock investments towards the end of the semester. The AAE team benefited from the fact that stock analysis is </w:t>
      </w:r>
      <w:r w:rsidR="00E02AC4">
        <w:rPr>
          <w:sz w:val="20"/>
          <w:szCs w:val="20"/>
        </w:rPr>
        <w:t xml:space="preserve">a </w:t>
      </w:r>
      <w:r w:rsidRPr="006771EF">
        <w:rPr>
          <w:sz w:val="20"/>
          <w:szCs w:val="20"/>
        </w:rPr>
        <w:t xml:space="preserve">familiar territory, which students learn in the Corporate Valuation course. The </w:t>
      </w:r>
      <w:r w:rsidR="00487F4A">
        <w:rPr>
          <w:sz w:val="20"/>
          <w:szCs w:val="20"/>
        </w:rPr>
        <w:t>AA</w:t>
      </w:r>
      <w:r w:rsidRPr="006771EF">
        <w:rPr>
          <w:sz w:val="20"/>
          <w:szCs w:val="20"/>
        </w:rPr>
        <w:t xml:space="preserve"> and </w:t>
      </w:r>
      <w:r w:rsidR="00487F4A">
        <w:rPr>
          <w:sz w:val="20"/>
          <w:szCs w:val="20"/>
        </w:rPr>
        <w:t>R&amp;C</w:t>
      </w:r>
      <w:r w:rsidRPr="006771EF">
        <w:rPr>
          <w:sz w:val="20"/>
          <w:szCs w:val="20"/>
        </w:rPr>
        <w:t xml:space="preserve"> teams have had to learn from scratch. This has slowed down the building of their processes, both of which should be substantially completed during the coming semester. The Relationship role was only introduced this last semester, and great strides have been made. We anticipate that the fund will have moved out of the building phase going into 2019.   </w:t>
      </w:r>
    </w:p>
    <w:p w14:paraId="5D3180A5" w14:textId="49934916" w:rsidR="00C66578" w:rsidRPr="006771EF" w:rsidRDefault="00C66578" w:rsidP="00136215">
      <w:pPr>
        <w:spacing w:before="180" w:after="0"/>
        <w:rPr>
          <w:sz w:val="20"/>
          <w:szCs w:val="20"/>
        </w:rPr>
      </w:pPr>
      <w:r w:rsidRPr="006771EF">
        <w:rPr>
          <w:sz w:val="20"/>
          <w:szCs w:val="20"/>
        </w:rPr>
        <w:t>A promising development is that the student numbers have continued to grow. After starting with 8 students last semester, we moved to 12 this semester, and have a tea</w:t>
      </w:r>
      <w:r w:rsidR="00DB3178">
        <w:rPr>
          <w:sz w:val="20"/>
          <w:szCs w:val="20"/>
        </w:rPr>
        <w:t>m of 18 for the next. T</w:t>
      </w:r>
      <w:r w:rsidRPr="006771EF">
        <w:rPr>
          <w:sz w:val="20"/>
          <w:szCs w:val="20"/>
        </w:rPr>
        <w:t>his entails a few 6-month students for the coming semester</w:t>
      </w:r>
      <w:r w:rsidR="00DB3178">
        <w:rPr>
          <w:sz w:val="20"/>
          <w:szCs w:val="20"/>
        </w:rPr>
        <w:t>, whom we accepted as a one-off in order to buffer the numbers during the development phase</w:t>
      </w:r>
      <w:r w:rsidRPr="006771EF">
        <w:rPr>
          <w:sz w:val="20"/>
          <w:szCs w:val="20"/>
        </w:rPr>
        <w:t xml:space="preserve">. </w:t>
      </w:r>
      <w:r w:rsidR="00DB3178">
        <w:rPr>
          <w:sz w:val="20"/>
          <w:szCs w:val="20"/>
        </w:rPr>
        <w:t>I</w:t>
      </w:r>
      <w:r w:rsidR="00DB3178" w:rsidRPr="00DB3178">
        <w:rPr>
          <w:sz w:val="20"/>
          <w:szCs w:val="20"/>
        </w:rPr>
        <w:t xml:space="preserve">nitial applications have been lower than expected, </w:t>
      </w:r>
      <w:r w:rsidR="00DB3178">
        <w:rPr>
          <w:sz w:val="20"/>
          <w:szCs w:val="20"/>
        </w:rPr>
        <w:t>and w</w:t>
      </w:r>
      <w:r w:rsidRPr="006771EF">
        <w:rPr>
          <w:sz w:val="20"/>
          <w:szCs w:val="20"/>
        </w:rPr>
        <w:t xml:space="preserve">e are still working through aspects like degree paths to ensure that </w:t>
      </w:r>
      <w:r w:rsidR="00DB3178">
        <w:rPr>
          <w:sz w:val="20"/>
          <w:szCs w:val="20"/>
        </w:rPr>
        <w:t xml:space="preserve">good students are able to apply. </w:t>
      </w:r>
      <w:r w:rsidRPr="006771EF">
        <w:rPr>
          <w:sz w:val="20"/>
          <w:szCs w:val="20"/>
        </w:rPr>
        <w:t>Capacity is 24 students under the current fund structure and activity scope, although we will not compromise quality to reach this target. We only accept smart and innovative students who are team players and can take charge of their assigned roles, as well as having a passion to learn about the science and art of investing.</w:t>
      </w:r>
    </w:p>
    <w:p w14:paraId="4F212CCE" w14:textId="73FE29AB" w:rsidR="00C66578" w:rsidRPr="006771EF" w:rsidRDefault="00C66578" w:rsidP="00136215">
      <w:pPr>
        <w:spacing w:before="180" w:after="0"/>
        <w:rPr>
          <w:sz w:val="20"/>
          <w:szCs w:val="20"/>
        </w:rPr>
      </w:pPr>
      <w:r w:rsidRPr="006771EF">
        <w:rPr>
          <w:sz w:val="20"/>
          <w:szCs w:val="20"/>
        </w:rPr>
        <w:t xml:space="preserve">In terms of the fund’s learning objectives, the unanimous feedback we </w:t>
      </w:r>
      <w:r w:rsidR="001C16C0">
        <w:rPr>
          <w:sz w:val="20"/>
          <w:szCs w:val="20"/>
        </w:rPr>
        <w:t xml:space="preserve">are </w:t>
      </w:r>
      <w:r w:rsidRPr="006771EF">
        <w:rPr>
          <w:sz w:val="20"/>
          <w:szCs w:val="20"/>
        </w:rPr>
        <w:t>get</w:t>
      </w:r>
      <w:r w:rsidR="001C16C0">
        <w:rPr>
          <w:sz w:val="20"/>
          <w:szCs w:val="20"/>
        </w:rPr>
        <w:t>ting</w:t>
      </w:r>
      <w:r w:rsidRPr="006771EF">
        <w:rPr>
          <w:sz w:val="20"/>
          <w:szCs w:val="20"/>
        </w:rPr>
        <w:t xml:space="preserve"> from the students is that they are learning a lot, with many saying that the SMF is the </w:t>
      </w:r>
      <w:r w:rsidRPr="006771EF">
        <w:rPr>
          <w:i/>
          <w:sz w:val="20"/>
          <w:szCs w:val="20"/>
        </w:rPr>
        <w:t>BEST</w:t>
      </w:r>
      <w:r w:rsidRPr="006771EF">
        <w:rPr>
          <w:sz w:val="20"/>
          <w:szCs w:val="20"/>
        </w:rPr>
        <w:t xml:space="preserve"> course they have taken at ANU. Most gratifyingly, we are not only seeing students build a deep understanding of investing and related technical skills, but we are also watching them grow personally through taking on responsibility. The CBE motto is “we build leaders”. The SMF is proving powerful in this dimension.         </w:t>
      </w:r>
    </w:p>
    <w:p w14:paraId="46C0C622" w14:textId="1218E736" w:rsidR="00C66578" w:rsidRPr="006771EF" w:rsidRDefault="00C66578" w:rsidP="00136215">
      <w:pPr>
        <w:spacing w:before="180" w:after="0"/>
        <w:rPr>
          <w:sz w:val="20"/>
          <w:szCs w:val="20"/>
        </w:rPr>
      </w:pPr>
      <w:r w:rsidRPr="006771EF">
        <w:rPr>
          <w:sz w:val="20"/>
          <w:szCs w:val="20"/>
        </w:rPr>
        <w:t xml:space="preserve">We could not be prouder of what the SMF team is achieving. At the start of the semester, we threw up the challenge for the students to take ownership of the fund for themselves, and this is the way it is turning out. The leadership group comprising four carry-over members from second semester 2017 – Olaide Yinka-Kehinde, Vipul Nijhawan, Ben Rada-Martin and Sarah Zhu – all did a great job in guiding the new members and passing on knowledge. Each has made a meaningful contribution, and we will miss them as they move on. They are handing over to a group that is proving equally enthusiastic and capable. We are sure they will similarly impress in leading the SMF forward and building on the legacy. </w:t>
      </w:r>
    </w:p>
    <w:p w14:paraId="6C7DE462" w14:textId="77777777" w:rsidR="00C66578" w:rsidRPr="006771EF" w:rsidRDefault="00C66578" w:rsidP="00136215">
      <w:pPr>
        <w:spacing w:before="180" w:after="0"/>
        <w:rPr>
          <w:sz w:val="20"/>
          <w:szCs w:val="20"/>
        </w:rPr>
      </w:pPr>
      <w:r w:rsidRPr="006771EF">
        <w:rPr>
          <w:sz w:val="20"/>
          <w:szCs w:val="20"/>
        </w:rPr>
        <w:t xml:space="preserve">As this is the first formal report, we would like to take the opportunity to thank those who have assisted in getting the SMF up and running. They are too numerous to name without blowing the word count, but include the donors who made it possible (Russell Clark as the initial seed donor, as well as the family of Andre Morony), the SMF Investment Advisory Committee members, and the University and numerous staff members who helped along the way. The list of acknowledgements in our 2018 Annual Report will be long.    </w:t>
      </w:r>
    </w:p>
    <w:p w14:paraId="4C23EA60" w14:textId="77777777" w:rsidR="00C66578" w:rsidRPr="006771EF" w:rsidRDefault="00195F3E" w:rsidP="00136215">
      <w:pPr>
        <w:spacing w:before="180" w:after="0"/>
        <w:rPr>
          <w:i/>
          <w:sz w:val="20"/>
          <w:szCs w:val="20"/>
        </w:rPr>
      </w:pPr>
      <w:r w:rsidRPr="006771EF">
        <w:rPr>
          <w:i/>
          <w:sz w:val="20"/>
          <w:szCs w:val="20"/>
        </w:rPr>
        <w:t xml:space="preserve">By </w:t>
      </w:r>
      <w:r w:rsidR="00C66578" w:rsidRPr="006771EF">
        <w:rPr>
          <w:i/>
          <w:sz w:val="20"/>
          <w:szCs w:val="20"/>
        </w:rPr>
        <w:t>Dr Anna von Reibnitz, Course Convenor</w:t>
      </w:r>
    </w:p>
    <w:p w14:paraId="18E32FA8" w14:textId="77777777" w:rsidR="00C66578" w:rsidRPr="006771EF" w:rsidRDefault="00C66578" w:rsidP="00136215">
      <w:pPr>
        <w:spacing w:before="0" w:after="0"/>
        <w:rPr>
          <w:i/>
          <w:sz w:val="20"/>
          <w:szCs w:val="20"/>
        </w:rPr>
      </w:pPr>
      <w:r w:rsidRPr="006771EF">
        <w:rPr>
          <w:i/>
          <w:sz w:val="20"/>
          <w:szCs w:val="20"/>
        </w:rPr>
        <w:t>A/Prof. Geoff Warren, Fund Convenor</w:t>
      </w:r>
    </w:p>
    <w:p w14:paraId="5EA7FE25" w14:textId="77777777" w:rsidR="00C66578" w:rsidRPr="006771EF" w:rsidRDefault="00C66578" w:rsidP="006771EF">
      <w:pPr>
        <w:rPr>
          <w:b/>
          <w:sz w:val="20"/>
          <w:szCs w:val="20"/>
        </w:rPr>
      </w:pPr>
      <w:r w:rsidRPr="006771EF">
        <w:rPr>
          <w:b/>
          <w:sz w:val="20"/>
          <w:szCs w:val="20"/>
        </w:rPr>
        <w:br w:type="page"/>
      </w:r>
    </w:p>
    <w:p w14:paraId="6DCDC188" w14:textId="77777777" w:rsidR="00E82EAA" w:rsidRPr="00136215" w:rsidRDefault="00E82EAA" w:rsidP="00DB286A">
      <w:pPr>
        <w:pStyle w:val="Heading1"/>
        <w:spacing w:before="360"/>
        <w:rPr>
          <w:sz w:val="24"/>
          <w:szCs w:val="24"/>
          <w:lang w:eastAsia="zh-CN"/>
        </w:rPr>
      </w:pPr>
      <w:bookmarkStart w:id="14" w:name="_Toc517159289"/>
      <w:r w:rsidRPr="00136215">
        <w:rPr>
          <w:sz w:val="24"/>
          <w:szCs w:val="24"/>
          <w:lang w:eastAsia="zh-CN"/>
        </w:rPr>
        <w:lastRenderedPageBreak/>
        <w:t>Chief Investment Officer Report</w:t>
      </w:r>
      <w:bookmarkEnd w:id="14"/>
    </w:p>
    <w:p w14:paraId="0986746C" w14:textId="3010ACE8" w:rsidR="00E82EAA" w:rsidRPr="006771EF" w:rsidRDefault="003810FD" w:rsidP="00136215">
      <w:pPr>
        <w:spacing w:before="180" w:after="0"/>
        <w:rPr>
          <w:sz w:val="20"/>
          <w:szCs w:val="20"/>
        </w:rPr>
      </w:pPr>
      <w:r>
        <w:rPr>
          <w:sz w:val="20"/>
          <w:szCs w:val="20"/>
          <w:lang w:eastAsia="zh-CN"/>
        </w:rPr>
        <w:t>One of the primary</w:t>
      </w:r>
      <w:r w:rsidR="00E82EAA" w:rsidRPr="006771EF">
        <w:rPr>
          <w:sz w:val="20"/>
          <w:szCs w:val="20"/>
        </w:rPr>
        <w:t xml:space="preserve"> theme</w:t>
      </w:r>
      <w:r>
        <w:rPr>
          <w:sz w:val="20"/>
          <w:szCs w:val="20"/>
        </w:rPr>
        <w:t>s</w:t>
      </w:r>
      <w:r w:rsidR="00E82EAA" w:rsidRPr="006771EF">
        <w:rPr>
          <w:sz w:val="20"/>
          <w:szCs w:val="20"/>
        </w:rPr>
        <w:t xml:space="preserve"> </w:t>
      </w:r>
      <w:r>
        <w:rPr>
          <w:sz w:val="20"/>
          <w:szCs w:val="20"/>
        </w:rPr>
        <w:t>in</w:t>
      </w:r>
      <w:r w:rsidR="00E82EAA" w:rsidRPr="006771EF">
        <w:rPr>
          <w:sz w:val="20"/>
          <w:szCs w:val="20"/>
        </w:rPr>
        <w:t xml:space="preserve"> this quarter has been “progress”. This </w:t>
      </w:r>
      <w:r w:rsidR="00166D01" w:rsidRPr="006771EF">
        <w:rPr>
          <w:sz w:val="20"/>
          <w:szCs w:val="20"/>
        </w:rPr>
        <w:t>was</w:t>
      </w:r>
      <w:r w:rsidR="00E82EAA" w:rsidRPr="006771EF">
        <w:rPr>
          <w:sz w:val="20"/>
          <w:szCs w:val="20"/>
        </w:rPr>
        <w:t xml:space="preserve"> coupled with the rise in headcount within the fund from eight </w:t>
      </w:r>
      <w:r w:rsidR="00073060">
        <w:rPr>
          <w:sz w:val="20"/>
          <w:szCs w:val="20"/>
        </w:rPr>
        <w:t xml:space="preserve">students last semester </w:t>
      </w:r>
      <w:r w:rsidR="00E82EAA" w:rsidRPr="006771EF">
        <w:rPr>
          <w:sz w:val="20"/>
          <w:szCs w:val="20"/>
        </w:rPr>
        <w:t xml:space="preserve">to twelve students </w:t>
      </w:r>
      <w:r w:rsidR="00073060">
        <w:rPr>
          <w:sz w:val="20"/>
          <w:szCs w:val="20"/>
        </w:rPr>
        <w:t>this</w:t>
      </w:r>
      <w:r w:rsidR="00073060" w:rsidRPr="006771EF">
        <w:rPr>
          <w:sz w:val="20"/>
          <w:szCs w:val="20"/>
        </w:rPr>
        <w:t xml:space="preserve"> </w:t>
      </w:r>
      <w:r w:rsidR="00E82EAA" w:rsidRPr="006771EF">
        <w:rPr>
          <w:sz w:val="20"/>
          <w:szCs w:val="20"/>
        </w:rPr>
        <w:t xml:space="preserve">semester. The main objective for this semester was to move from a start-up phase to a growth phase. This was evidenced by the </w:t>
      </w:r>
      <w:r w:rsidR="000464A2" w:rsidRPr="006771EF">
        <w:rPr>
          <w:sz w:val="20"/>
          <w:szCs w:val="20"/>
        </w:rPr>
        <w:t>group</w:t>
      </w:r>
      <w:r w:rsidR="00E82EAA" w:rsidRPr="006771EF">
        <w:rPr>
          <w:sz w:val="20"/>
          <w:szCs w:val="20"/>
        </w:rPr>
        <w:t xml:space="preserve">’s first investment recommendation and progression towards completion of work products. As CIO, I was tasked with the logistics and organisation of the </w:t>
      </w:r>
      <w:r w:rsidR="000464A2" w:rsidRPr="006771EF">
        <w:rPr>
          <w:sz w:val="20"/>
          <w:szCs w:val="20"/>
        </w:rPr>
        <w:t>group</w:t>
      </w:r>
      <w:r w:rsidR="00E82EAA" w:rsidRPr="006771EF">
        <w:rPr>
          <w:sz w:val="20"/>
          <w:szCs w:val="20"/>
        </w:rPr>
        <w:t xml:space="preserve"> to make sure we reached all our goals by semester end. </w:t>
      </w:r>
      <w:r w:rsidR="00F649E2">
        <w:rPr>
          <w:sz w:val="20"/>
          <w:szCs w:val="20"/>
        </w:rPr>
        <w:t>This involved the improvement of systematic tasks such as team meetings and development of more efficient communication methods within the group</w:t>
      </w:r>
      <w:r w:rsidR="00E82EAA" w:rsidRPr="006771EF">
        <w:rPr>
          <w:sz w:val="20"/>
          <w:szCs w:val="20"/>
        </w:rPr>
        <w:t>. </w:t>
      </w:r>
      <w:r w:rsidR="007C7E60">
        <w:rPr>
          <w:sz w:val="20"/>
          <w:szCs w:val="20"/>
        </w:rPr>
        <w:t xml:space="preserve">The overall aim was to get the SMF team working efficiently, and taking on the management responsibilities rather than relying on the </w:t>
      </w:r>
      <w:r w:rsidR="001C16C0">
        <w:rPr>
          <w:sz w:val="20"/>
          <w:szCs w:val="20"/>
        </w:rPr>
        <w:t>C</w:t>
      </w:r>
      <w:r w:rsidR="00E82EAA" w:rsidRPr="006771EF">
        <w:rPr>
          <w:sz w:val="20"/>
          <w:szCs w:val="20"/>
        </w:rPr>
        <w:t>onvenors.  </w:t>
      </w:r>
    </w:p>
    <w:p w14:paraId="062D0A03" w14:textId="091F5C89" w:rsidR="00E82EAA" w:rsidRPr="006771EF" w:rsidRDefault="00E82EAA" w:rsidP="00136215">
      <w:pPr>
        <w:spacing w:before="180" w:after="0"/>
        <w:rPr>
          <w:sz w:val="20"/>
          <w:szCs w:val="20"/>
        </w:rPr>
      </w:pPr>
      <w:r w:rsidRPr="006771EF">
        <w:rPr>
          <w:sz w:val="20"/>
          <w:szCs w:val="20"/>
        </w:rPr>
        <w:t xml:space="preserve">Beyond my tasks as the CIO, I also oversaw and supported the </w:t>
      </w:r>
      <w:r w:rsidR="000464A2" w:rsidRPr="006771EF">
        <w:rPr>
          <w:sz w:val="20"/>
          <w:szCs w:val="20"/>
        </w:rPr>
        <w:t>AAE team</w:t>
      </w:r>
      <w:r w:rsidRPr="006771EF">
        <w:rPr>
          <w:sz w:val="20"/>
          <w:szCs w:val="20"/>
        </w:rPr>
        <w:t>’s progress and completion of our first two investment recommendations. In addition, we saw the successful implementation of our SRI policy which ensures all our ac</w:t>
      </w:r>
      <w:r w:rsidR="00D24EF8">
        <w:rPr>
          <w:sz w:val="20"/>
          <w:szCs w:val="20"/>
        </w:rPr>
        <w:t xml:space="preserve">tive equity recommendations </w:t>
      </w:r>
      <w:r w:rsidRPr="006771EF">
        <w:rPr>
          <w:sz w:val="20"/>
          <w:szCs w:val="20"/>
        </w:rPr>
        <w:t xml:space="preserve">adhere to ANU’s ESG and carbon intensity policies. The AAE </w:t>
      </w:r>
      <w:r w:rsidR="000464A2" w:rsidRPr="006771EF">
        <w:rPr>
          <w:sz w:val="20"/>
          <w:szCs w:val="20"/>
        </w:rPr>
        <w:t>team</w:t>
      </w:r>
      <w:r w:rsidRPr="006771EF">
        <w:rPr>
          <w:sz w:val="20"/>
          <w:szCs w:val="20"/>
        </w:rPr>
        <w:t> </w:t>
      </w:r>
      <w:r w:rsidR="00362564">
        <w:rPr>
          <w:sz w:val="20"/>
          <w:szCs w:val="20"/>
        </w:rPr>
        <w:t>progressed further than</w:t>
      </w:r>
      <w:r w:rsidRPr="006771EF">
        <w:rPr>
          <w:sz w:val="20"/>
          <w:szCs w:val="20"/>
        </w:rPr>
        <w:t> </w:t>
      </w:r>
      <w:r w:rsidR="00166D01" w:rsidRPr="006771EF">
        <w:rPr>
          <w:sz w:val="20"/>
          <w:szCs w:val="20"/>
        </w:rPr>
        <w:t>the</w:t>
      </w:r>
      <w:r w:rsidRPr="006771EF">
        <w:rPr>
          <w:sz w:val="20"/>
          <w:szCs w:val="20"/>
        </w:rPr>
        <w:t xml:space="preserve"> </w:t>
      </w:r>
      <w:r w:rsidR="000464A2" w:rsidRPr="006771EF">
        <w:rPr>
          <w:sz w:val="20"/>
          <w:szCs w:val="20"/>
        </w:rPr>
        <w:t xml:space="preserve">AA </w:t>
      </w:r>
      <w:r w:rsidRPr="006771EF">
        <w:rPr>
          <w:sz w:val="20"/>
          <w:szCs w:val="20"/>
        </w:rPr>
        <w:t>and R&amp;C</w:t>
      </w:r>
      <w:r w:rsidR="000464A2" w:rsidRPr="006771EF">
        <w:rPr>
          <w:sz w:val="20"/>
          <w:szCs w:val="20"/>
        </w:rPr>
        <w:t xml:space="preserve"> team</w:t>
      </w:r>
      <w:r w:rsidR="00487F4A">
        <w:rPr>
          <w:sz w:val="20"/>
          <w:szCs w:val="20"/>
        </w:rPr>
        <w:t>s</w:t>
      </w:r>
      <w:r w:rsidRPr="006771EF">
        <w:rPr>
          <w:sz w:val="20"/>
          <w:szCs w:val="20"/>
        </w:rPr>
        <w:t xml:space="preserve">. </w:t>
      </w:r>
      <w:r w:rsidR="00F649E2">
        <w:rPr>
          <w:sz w:val="20"/>
          <w:szCs w:val="20"/>
        </w:rPr>
        <w:t>T</w:t>
      </w:r>
      <w:r w:rsidRPr="006771EF">
        <w:rPr>
          <w:sz w:val="20"/>
          <w:szCs w:val="20"/>
        </w:rPr>
        <w:t xml:space="preserve">he AA </w:t>
      </w:r>
      <w:r w:rsidR="000464A2" w:rsidRPr="006771EF">
        <w:rPr>
          <w:sz w:val="20"/>
          <w:szCs w:val="20"/>
        </w:rPr>
        <w:t>team</w:t>
      </w:r>
      <w:r w:rsidR="00F649E2">
        <w:rPr>
          <w:sz w:val="20"/>
          <w:szCs w:val="20"/>
        </w:rPr>
        <w:t xml:space="preserve"> </w:t>
      </w:r>
      <w:r w:rsidRPr="006771EF">
        <w:rPr>
          <w:sz w:val="20"/>
          <w:szCs w:val="20"/>
        </w:rPr>
        <w:t>overc</w:t>
      </w:r>
      <w:r w:rsidR="00166D01" w:rsidRPr="006771EF">
        <w:rPr>
          <w:sz w:val="20"/>
          <w:szCs w:val="20"/>
        </w:rPr>
        <w:t>a</w:t>
      </w:r>
      <w:r w:rsidRPr="006771EF">
        <w:rPr>
          <w:sz w:val="20"/>
          <w:szCs w:val="20"/>
        </w:rPr>
        <w:t xml:space="preserve">me particular modelling and practical obstacles to further the AA </w:t>
      </w:r>
      <w:r w:rsidR="00487F4A">
        <w:rPr>
          <w:sz w:val="20"/>
          <w:szCs w:val="20"/>
        </w:rPr>
        <w:t>IP</w:t>
      </w:r>
      <w:r w:rsidR="00F649E2">
        <w:rPr>
          <w:sz w:val="20"/>
          <w:szCs w:val="20"/>
        </w:rPr>
        <w:t xml:space="preserve">, </w:t>
      </w:r>
      <w:r w:rsidRPr="006771EF">
        <w:rPr>
          <w:sz w:val="20"/>
          <w:szCs w:val="20"/>
        </w:rPr>
        <w:t>whi</w:t>
      </w:r>
      <w:r w:rsidR="000464A2" w:rsidRPr="006771EF">
        <w:rPr>
          <w:sz w:val="20"/>
          <w:szCs w:val="20"/>
        </w:rPr>
        <w:t>le playing a small part in the two</w:t>
      </w:r>
      <w:r w:rsidRPr="006771EF">
        <w:rPr>
          <w:sz w:val="20"/>
          <w:szCs w:val="20"/>
        </w:rPr>
        <w:t xml:space="preserve"> AAE investment recommendations. The R&amp;C </w:t>
      </w:r>
      <w:r w:rsidR="000464A2" w:rsidRPr="006771EF">
        <w:rPr>
          <w:sz w:val="20"/>
          <w:szCs w:val="20"/>
        </w:rPr>
        <w:t xml:space="preserve">team </w:t>
      </w:r>
      <w:r w:rsidRPr="006771EF">
        <w:rPr>
          <w:sz w:val="20"/>
          <w:szCs w:val="20"/>
        </w:rPr>
        <w:t xml:space="preserve">have also made significant progress by building </w:t>
      </w:r>
      <w:r w:rsidR="009D2BB3">
        <w:rPr>
          <w:sz w:val="20"/>
          <w:szCs w:val="20"/>
        </w:rPr>
        <w:t>R&amp;C p</w:t>
      </w:r>
      <w:r w:rsidRPr="006771EF">
        <w:rPr>
          <w:sz w:val="20"/>
          <w:szCs w:val="20"/>
        </w:rPr>
        <w:t>olicies, frameworks and protocols to ensure the SMF remains compliant to its objective and risk levels.  </w:t>
      </w:r>
    </w:p>
    <w:p w14:paraId="08E5C01A" w14:textId="33FFA6DD" w:rsidR="00E82EAA" w:rsidRPr="006771EF" w:rsidRDefault="00E82EAA" w:rsidP="00136215">
      <w:pPr>
        <w:spacing w:before="180" w:after="0"/>
        <w:rPr>
          <w:sz w:val="20"/>
          <w:szCs w:val="20"/>
        </w:rPr>
      </w:pPr>
      <w:r w:rsidRPr="006771EF">
        <w:rPr>
          <w:sz w:val="20"/>
          <w:szCs w:val="20"/>
        </w:rPr>
        <w:t xml:space="preserve">This semester, we’ve introduced the Relationship Manager to the </w:t>
      </w:r>
      <w:r w:rsidR="000464A2" w:rsidRPr="006771EF">
        <w:rPr>
          <w:sz w:val="20"/>
          <w:szCs w:val="20"/>
        </w:rPr>
        <w:t>team</w:t>
      </w:r>
      <w:r w:rsidR="007C7E60">
        <w:rPr>
          <w:sz w:val="20"/>
          <w:szCs w:val="20"/>
        </w:rPr>
        <w:t>. Alex</w:t>
      </w:r>
      <w:r w:rsidR="00166D01" w:rsidRPr="006771EF">
        <w:rPr>
          <w:sz w:val="20"/>
          <w:szCs w:val="20"/>
        </w:rPr>
        <w:t xml:space="preserve"> was</w:t>
      </w:r>
      <w:r w:rsidRPr="006771EF">
        <w:rPr>
          <w:sz w:val="20"/>
          <w:szCs w:val="20"/>
        </w:rPr>
        <w:t xml:space="preserve"> a one-person team, </w:t>
      </w:r>
      <w:r w:rsidR="007C7E60">
        <w:rPr>
          <w:sz w:val="20"/>
          <w:szCs w:val="20"/>
        </w:rPr>
        <w:t>and</w:t>
      </w:r>
      <w:r w:rsidRPr="006771EF">
        <w:rPr>
          <w:sz w:val="20"/>
          <w:szCs w:val="20"/>
        </w:rPr>
        <w:t xml:space="preserve"> excelled beyond all expectations after starting from nothing. She begun the initiation stage for numerous social platforms (i.e. Facebook, LinkedIn) and the creation of the SMF </w:t>
      </w:r>
      <w:r w:rsidR="000464A2" w:rsidRPr="006771EF">
        <w:rPr>
          <w:sz w:val="20"/>
          <w:szCs w:val="20"/>
        </w:rPr>
        <w:t xml:space="preserve">team </w:t>
      </w:r>
      <w:r w:rsidRPr="006771EF">
        <w:rPr>
          <w:sz w:val="20"/>
          <w:szCs w:val="20"/>
        </w:rPr>
        <w:t>website. More importantly, </w:t>
      </w:r>
      <w:r w:rsidR="000464A2" w:rsidRPr="006771EF">
        <w:rPr>
          <w:sz w:val="20"/>
          <w:szCs w:val="20"/>
        </w:rPr>
        <w:t xml:space="preserve">she </w:t>
      </w:r>
      <w:r w:rsidRPr="006771EF">
        <w:rPr>
          <w:sz w:val="20"/>
          <w:szCs w:val="20"/>
        </w:rPr>
        <w:t>worked on expanding the awareness and network of the </w:t>
      </w:r>
      <w:r w:rsidR="00166D01" w:rsidRPr="006771EF">
        <w:rPr>
          <w:sz w:val="20"/>
          <w:szCs w:val="20"/>
        </w:rPr>
        <w:t>SMF</w:t>
      </w:r>
      <w:r w:rsidRPr="006771EF">
        <w:rPr>
          <w:sz w:val="20"/>
          <w:szCs w:val="20"/>
        </w:rPr>
        <w:t> to our growing alumni base.  </w:t>
      </w:r>
    </w:p>
    <w:p w14:paraId="710762F5" w14:textId="1AB05C0E" w:rsidR="00E82EAA" w:rsidRPr="006771EF" w:rsidRDefault="00E82EAA" w:rsidP="00136215">
      <w:pPr>
        <w:spacing w:before="180" w:after="0"/>
        <w:rPr>
          <w:sz w:val="20"/>
          <w:szCs w:val="20"/>
        </w:rPr>
      </w:pPr>
      <w:r w:rsidRPr="006771EF">
        <w:rPr>
          <w:sz w:val="20"/>
          <w:szCs w:val="20"/>
        </w:rPr>
        <w:t>Beyond this semester, our new cohort (a mixture of this semester</w:t>
      </w:r>
      <w:r w:rsidR="00166D01" w:rsidRPr="006771EF">
        <w:rPr>
          <w:sz w:val="20"/>
          <w:szCs w:val="20"/>
        </w:rPr>
        <w:t>’</w:t>
      </w:r>
      <w:r w:rsidRPr="006771EF">
        <w:rPr>
          <w:sz w:val="20"/>
          <w:szCs w:val="20"/>
        </w:rPr>
        <w:t xml:space="preserve">s junior analysts and incoming analysts) will seek to push forward from an early growth phase to an advanced growth phase. </w:t>
      </w:r>
      <w:r w:rsidR="007C7E60">
        <w:rPr>
          <w:sz w:val="20"/>
          <w:szCs w:val="20"/>
        </w:rPr>
        <w:t xml:space="preserve">The </w:t>
      </w:r>
      <w:r w:rsidRPr="006771EF">
        <w:rPr>
          <w:sz w:val="20"/>
          <w:szCs w:val="20"/>
        </w:rPr>
        <w:t xml:space="preserve">expectation </w:t>
      </w:r>
      <w:r w:rsidR="007C7E60">
        <w:rPr>
          <w:sz w:val="20"/>
          <w:szCs w:val="20"/>
        </w:rPr>
        <w:t xml:space="preserve">is </w:t>
      </w:r>
      <w:r w:rsidRPr="006771EF">
        <w:rPr>
          <w:sz w:val="20"/>
          <w:szCs w:val="20"/>
        </w:rPr>
        <w:t xml:space="preserve">that the fund will complete </w:t>
      </w:r>
      <w:r w:rsidR="007E64A2">
        <w:rPr>
          <w:sz w:val="20"/>
          <w:szCs w:val="20"/>
        </w:rPr>
        <w:t>the AA IP and produce investment recommendations from the AA team</w:t>
      </w:r>
      <w:r w:rsidRPr="006771EF">
        <w:rPr>
          <w:sz w:val="20"/>
          <w:szCs w:val="20"/>
        </w:rPr>
        <w:t xml:space="preserve">. Further, we expect to see accumulation of stocks away from the ASX200 Index and completion of R&amp;C protocols and procedure by </w:t>
      </w:r>
      <w:r w:rsidR="007E64A2">
        <w:rPr>
          <w:sz w:val="20"/>
          <w:szCs w:val="20"/>
        </w:rPr>
        <w:t xml:space="preserve">the </w:t>
      </w:r>
      <w:r w:rsidRPr="006771EF">
        <w:rPr>
          <w:sz w:val="20"/>
          <w:szCs w:val="20"/>
        </w:rPr>
        <w:t>year end. This is made possible by the ten recruited junior analysts to replace the four out-going senior members. With the expansion of head count, significant progress and capabilities will allow the group to achieve its objectives and aims.  </w:t>
      </w:r>
    </w:p>
    <w:p w14:paraId="2E2F0785" w14:textId="5CEE617E" w:rsidR="00E82EAA" w:rsidRPr="006771EF" w:rsidRDefault="00E82EAA" w:rsidP="00136215">
      <w:pPr>
        <w:spacing w:before="180" w:after="0"/>
        <w:rPr>
          <w:i/>
          <w:sz w:val="20"/>
          <w:szCs w:val="20"/>
        </w:rPr>
      </w:pPr>
      <w:r w:rsidRPr="006771EF">
        <w:rPr>
          <w:i/>
          <w:sz w:val="20"/>
          <w:szCs w:val="20"/>
        </w:rPr>
        <w:t>Olaide Yinka-Kehinde</w:t>
      </w:r>
      <w:r w:rsidR="00E75E0D" w:rsidRPr="006771EF">
        <w:rPr>
          <w:i/>
          <w:sz w:val="20"/>
          <w:szCs w:val="20"/>
        </w:rPr>
        <w:t>, CIO</w:t>
      </w:r>
    </w:p>
    <w:p w14:paraId="43CBF54E" w14:textId="77777777" w:rsidR="007D766D" w:rsidRDefault="007D766D">
      <w:pPr>
        <w:widowControl/>
        <w:spacing w:line="312" w:lineRule="auto"/>
        <w:jc w:val="left"/>
        <w:rPr>
          <w:rFonts w:eastAsiaTheme="minorEastAsia"/>
          <w:b/>
          <w:color w:val="4472C4" w:themeColor="accent1"/>
          <w:spacing w:val="15"/>
          <w:lang w:eastAsia="zh-CN"/>
        </w:rPr>
      </w:pPr>
      <w:r>
        <w:rPr>
          <w:lang w:eastAsia="zh-CN"/>
        </w:rPr>
        <w:br w:type="page"/>
      </w:r>
    </w:p>
    <w:p w14:paraId="31F67E10" w14:textId="189C6B45" w:rsidR="00BF3830" w:rsidRPr="00BF3830" w:rsidRDefault="00BF3830" w:rsidP="00BF3830">
      <w:pPr>
        <w:pStyle w:val="Heading1"/>
        <w:spacing w:before="360"/>
        <w:rPr>
          <w:sz w:val="24"/>
          <w:szCs w:val="24"/>
          <w:lang w:eastAsia="zh-CN"/>
        </w:rPr>
      </w:pPr>
      <w:bookmarkStart w:id="15" w:name="_Toc517159290"/>
      <w:r>
        <w:rPr>
          <w:sz w:val="24"/>
          <w:szCs w:val="24"/>
          <w:lang w:eastAsia="zh-CN"/>
        </w:rPr>
        <w:lastRenderedPageBreak/>
        <w:t>Team Updates</w:t>
      </w:r>
      <w:bookmarkEnd w:id="15"/>
    </w:p>
    <w:p w14:paraId="0FB1E7B2" w14:textId="7FCC396D" w:rsidR="00C66578" w:rsidRPr="00AB58A2" w:rsidRDefault="00C66578" w:rsidP="00813981">
      <w:pPr>
        <w:pStyle w:val="Heading3"/>
        <w:rPr>
          <w:lang w:eastAsia="zh-CN"/>
        </w:rPr>
      </w:pPr>
      <w:bookmarkStart w:id="16" w:name="_Toc517159291"/>
      <w:r w:rsidRPr="00AB58A2">
        <w:rPr>
          <w:lang w:eastAsia="zh-CN"/>
        </w:rPr>
        <w:t xml:space="preserve">Active Australian Equities </w:t>
      </w:r>
      <w:r w:rsidR="00044DD5">
        <w:rPr>
          <w:lang w:eastAsia="zh-CN"/>
        </w:rPr>
        <w:t xml:space="preserve">(AAE) </w:t>
      </w:r>
      <w:r w:rsidRPr="00AB58A2">
        <w:rPr>
          <w:lang w:eastAsia="zh-CN"/>
        </w:rPr>
        <w:t>Team</w:t>
      </w:r>
      <w:bookmarkEnd w:id="16"/>
    </w:p>
    <w:p w14:paraId="37123E67" w14:textId="517C6A49" w:rsidR="00515130" w:rsidRPr="006771EF" w:rsidRDefault="00515130" w:rsidP="00F74F97">
      <w:pPr>
        <w:spacing w:before="180"/>
        <w:rPr>
          <w:sz w:val="20"/>
          <w:szCs w:val="20"/>
        </w:rPr>
      </w:pPr>
      <w:r w:rsidRPr="006771EF">
        <w:rPr>
          <w:sz w:val="20"/>
          <w:szCs w:val="20"/>
        </w:rPr>
        <w:t xml:space="preserve">The AAE </w:t>
      </w:r>
      <w:r w:rsidR="00D719BE">
        <w:rPr>
          <w:sz w:val="20"/>
          <w:szCs w:val="20"/>
        </w:rPr>
        <w:t>t</w:t>
      </w:r>
      <w:r w:rsidRPr="006771EF">
        <w:rPr>
          <w:sz w:val="20"/>
          <w:szCs w:val="20"/>
        </w:rPr>
        <w:t>eam undertakes research and makes investment recommendations on the purchase and sale of Australian shares. Their investment approach is based around long-term company fundamentals. The AAE team is responsible for managing half of the fund’s assets.</w:t>
      </w:r>
    </w:p>
    <w:p w14:paraId="51F0CBBC" w14:textId="63CEE7DD" w:rsidR="00C66578" w:rsidRPr="006771EF" w:rsidRDefault="00C66578" w:rsidP="00F74F97">
      <w:pPr>
        <w:spacing w:before="180"/>
        <w:rPr>
          <w:sz w:val="20"/>
          <w:szCs w:val="20"/>
        </w:rPr>
      </w:pPr>
      <w:r w:rsidRPr="006771EF">
        <w:rPr>
          <w:sz w:val="20"/>
          <w:szCs w:val="20"/>
        </w:rPr>
        <w:t xml:space="preserve">For the </w:t>
      </w:r>
      <w:r w:rsidR="000464A2" w:rsidRPr="006771EF">
        <w:rPr>
          <w:sz w:val="20"/>
          <w:szCs w:val="20"/>
        </w:rPr>
        <w:t>AAE</w:t>
      </w:r>
      <w:r w:rsidRPr="006771EF">
        <w:rPr>
          <w:sz w:val="20"/>
          <w:szCs w:val="20"/>
        </w:rPr>
        <w:t xml:space="preserve"> </w:t>
      </w:r>
      <w:r w:rsidR="00D719BE">
        <w:rPr>
          <w:sz w:val="20"/>
          <w:szCs w:val="20"/>
        </w:rPr>
        <w:t>t</w:t>
      </w:r>
      <w:r w:rsidRPr="006771EF">
        <w:rPr>
          <w:sz w:val="20"/>
          <w:szCs w:val="20"/>
        </w:rPr>
        <w:t>eam, this semester has been one of excellent progress. Having completed ou</w:t>
      </w:r>
      <w:r w:rsidR="001C16C0">
        <w:rPr>
          <w:sz w:val="20"/>
          <w:szCs w:val="20"/>
        </w:rPr>
        <w:t xml:space="preserve">r </w:t>
      </w:r>
      <w:r w:rsidR="000464A2" w:rsidRPr="006771EF">
        <w:rPr>
          <w:sz w:val="20"/>
          <w:szCs w:val="20"/>
        </w:rPr>
        <w:t>IP</w:t>
      </w:r>
      <w:r w:rsidRPr="006771EF">
        <w:rPr>
          <w:sz w:val="20"/>
          <w:szCs w:val="20"/>
        </w:rPr>
        <w:t xml:space="preserve"> at the end of last year, we were able to proceed with its implementation, and were successful in </w:t>
      </w:r>
      <w:r w:rsidR="001C16C0">
        <w:rPr>
          <w:sz w:val="20"/>
          <w:szCs w:val="20"/>
        </w:rPr>
        <w:t>getting the SMF</w:t>
      </w:r>
      <w:r w:rsidR="00487F4A">
        <w:rPr>
          <w:sz w:val="20"/>
          <w:szCs w:val="20"/>
        </w:rPr>
        <w:t xml:space="preserve"> </w:t>
      </w:r>
      <w:r w:rsidR="001C16C0">
        <w:rPr>
          <w:sz w:val="20"/>
          <w:szCs w:val="20"/>
        </w:rPr>
        <w:t xml:space="preserve">IAC to endorse our </w:t>
      </w:r>
      <w:r w:rsidRPr="006771EF">
        <w:rPr>
          <w:sz w:val="20"/>
          <w:szCs w:val="20"/>
        </w:rPr>
        <w:t>recommend</w:t>
      </w:r>
      <w:r w:rsidR="001C16C0">
        <w:rPr>
          <w:sz w:val="20"/>
          <w:szCs w:val="20"/>
        </w:rPr>
        <w:t>ations for investment in</w:t>
      </w:r>
      <w:r w:rsidRPr="006771EF">
        <w:rPr>
          <w:sz w:val="20"/>
          <w:szCs w:val="20"/>
        </w:rPr>
        <w:t xml:space="preserve"> two stocks: Rio Tinto (RIO.ASX) and Telstra (TLS.ASX).</w:t>
      </w:r>
    </w:p>
    <w:p w14:paraId="1DC4CEBB" w14:textId="600DDECA" w:rsidR="00C66578" w:rsidRPr="006771EF" w:rsidRDefault="00C66578" w:rsidP="00F74F97">
      <w:pPr>
        <w:spacing w:before="180"/>
        <w:rPr>
          <w:sz w:val="20"/>
          <w:szCs w:val="20"/>
        </w:rPr>
      </w:pPr>
      <w:r w:rsidRPr="006771EF">
        <w:rPr>
          <w:sz w:val="20"/>
          <w:szCs w:val="20"/>
        </w:rPr>
        <w:t xml:space="preserve">This semester </w:t>
      </w:r>
      <w:r w:rsidR="00A504B6">
        <w:rPr>
          <w:rFonts w:hint="eastAsia"/>
          <w:sz w:val="20"/>
          <w:szCs w:val="20"/>
          <w:lang w:eastAsia="zh-CN"/>
        </w:rPr>
        <w:t>began</w:t>
      </w:r>
      <w:r w:rsidR="00A504B6">
        <w:rPr>
          <w:sz w:val="20"/>
          <w:szCs w:val="20"/>
          <w:lang w:eastAsia="zh-CN"/>
        </w:rPr>
        <w:t xml:space="preserve"> </w:t>
      </w:r>
      <w:r w:rsidRPr="006771EF">
        <w:rPr>
          <w:sz w:val="20"/>
          <w:szCs w:val="20"/>
        </w:rPr>
        <w:t>with the introduction of the incoming cohort to the key SMF values</w:t>
      </w:r>
      <w:r w:rsidR="001C16C0">
        <w:rPr>
          <w:sz w:val="20"/>
          <w:szCs w:val="20"/>
        </w:rPr>
        <w:t xml:space="preserve">, </w:t>
      </w:r>
      <w:r w:rsidRPr="006771EF">
        <w:rPr>
          <w:sz w:val="20"/>
          <w:szCs w:val="20"/>
        </w:rPr>
        <w:t>and in particular</w:t>
      </w:r>
      <w:r w:rsidR="001C16C0">
        <w:rPr>
          <w:sz w:val="20"/>
          <w:szCs w:val="20"/>
        </w:rPr>
        <w:t>,</w:t>
      </w:r>
      <w:r w:rsidRPr="006771EF">
        <w:rPr>
          <w:sz w:val="20"/>
          <w:szCs w:val="20"/>
        </w:rPr>
        <w:t xml:space="preserve"> the transfer of knowledge around the AAE IP. Using this foundation, the team proceeded to create the Initialisation screen, which screens our stock universe through value, growth and dividend yield filters. Due to the capacity constraints of having a small team, the team referred the 20 stocks which passed this initialisation process to </w:t>
      </w:r>
      <w:r w:rsidR="008A47BC">
        <w:rPr>
          <w:sz w:val="20"/>
          <w:szCs w:val="20"/>
        </w:rPr>
        <w:t xml:space="preserve">IAC </w:t>
      </w:r>
      <w:r w:rsidRPr="006771EF">
        <w:rPr>
          <w:sz w:val="20"/>
          <w:szCs w:val="20"/>
        </w:rPr>
        <w:t>member Heath Behncke for feedback. The list was narrowed to 9 stocks, which under our candidate stock analysis process, were analysed thro</w:t>
      </w:r>
      <w:r w:rsidR="000464A2" w:rsidRPr="006771EF">
        <w:rPr>
          <w:sz w:val="20"/>
          <w:szCs w:val="20"/>
        </w:rPr>
        <w:t xml:space="preserve">ugh </w:t>
      </w:r>
      <w:r w:rsidR="008A47BC">
        <w:rPr>
          <w:sz w:val="20"/>
          <w:szCs w:val="20"/>
        </w:rPr>
        <w:t>basic ‘b</w:t>
      </w:r>
      <w:r w:rsidR="000464A2" w:rsidRPr="006771EF">
        <w:rPr>
          <w:sz w:val="20"/>
          <w:szCs w:val="20"/>
        </w:rPr>
        <w:t>are-</w:t>
      </w:r>
      <w:r w:rsidR="008A47BC">
        <w:rPr>
          <w:sz w:val="20"/>
          <w:szCs w:val="20"/>
        </w:rPr>
        <w:t>b</w:t>
      </w:r>
      <w:r w:rsidR="000464A2" w:rsidRPr="006771EF">
        <w:rPr>
          <w:sz w:val="20"/>
          <w:szCs w:val="20"/>
        </w:rPr>
        <w:t>ones</w:t>
      </w:r>
      <w:r w:rsidR="008A47BC">
        <w:rPr>
          <w:sz w:val="20"/>
          <w:szCs w:val="20"/>
        </w:rPr>
        <w:t>’</w:t>
      </w:r>
      <w:r w:rsidR="000464A2" w:rsidRPr="006771EF">
        <w:rPr>
          <w:sz w:val="20"/>
          <w:szCs w:val="20"/>
        </w:rPr>
        <w:t xml:space="preserve"> </w:t>
      </w:r>
      <w:r w:rsidR="008A47BC">
        <w:rPr>
          <w:sz w:val="20"/>
          <w:szCs w:val="20"/>
        </w:rPr>
        <w:t>v</w:t>
      </w:r>
      <w:r w:rsidR="000464A2" w:rsidRPr="006771EF">
        <w:rPr>
          <w:sz w:val="20"/>
          <w:szCs w:val="20"/>
        </w:rPr>
        <w:t>aluations and 2-</w:t>
      </w:r>
      <w:r w:rsidRPr="006771EF">
        <w:rPr>
          <w:sz w:val="20"/>
          <w:szCs w:val="20"/>
        </w:rPr>
        <w:t xml:space="preserve">page stock reports. </w:t>
      </w:r>
    </w:p>
    <w:p w14:paraId="223B90D6" w14:textId="44B8729E" w:rsidR="00C66578" w:rsidRPr="006771EF" w:rsidRDefault="00C66578" w:rsidP="00F74F97">
      <w:pPr>
        <w:spacing w:before="180"/>
        <w:rPr>
          <w:sz w:val="20"/>
          <w:szCs w:val="20"/>
        </w:rPr>
      </w:pPr>
      <w:r w:rsidRPr="006771EF">
        <w:rPr>
          <w:sz w:val="20"/>
          <w:szCs w:val="20"/>
        </w:rPr>
        <w:t xml:space="preserve">As this was the first semester </w:t>
      </w:r>
      <w:r w:rsidR="008A47BC">
        <w:rPr>
          <w:sz w:val="20"/>
          <w:szCs w:val="20"/>
        </w:rPr>
        <w:t xml:space="preserve">that </w:t>
      </w:r>
      <w:r w:rsidRPr="006771EF">
        <w:rPr>
          <w:sz w:val="20"/>
          <w:szCs w:val="20"/>
        </w:rPr>
        <w:t xml:space="preserve">our process was implemented, a key task was the development of the AAE Valuation Model. The model implemented the SENSCENARIO distribution framework devised in the </w:t>
      </w:r>
      <w:r w:rsidR="003F4F26">
        <w:rPr>
          <w:sz w:val="20"/>
          <w:szCs w:val="20"/>
        </w:rPr>
        <w:t>IP</w:t>
      </w:r>
      <w:r w:rsidRPr="006771EF">
        <w:rPr>
          <w:sz w:val="20"/>
          <w:szCs w:val="20"/>
        </w:rPr>
        <w:t xml:space="preserve"> and included fr</w:t>
      </w:r>
      <w:r w:rsidR="006E20CD" w:rsidRPr="006771EF">
        <w:rPr>
          <w:sz w:val="20"/>
          <w:szCs w:val="20"/>
        </w:rPr>
        <w:t>anking credits (due to the zero-</w:t>
      </w:r>
      <w:r w:rsidRPr="006771EF">
        <w:rPr>
          <w:sz w:val="20"/>
          <w:szCs w:val="20"/>
        </w:rPr>
        <w:t xml:space="preserve">tax status of the ANU) amongst other changes. The model was built with future cohorts in mind, and a corresponding handbook was developed to allow accessibility.   </w:t>
      </w:r>
      <w:r w:rsidRPr="006771EF">
        <w:rPr>
          <w:sz w:val="20"/>
          <w:szCs w:val="20"/>
        </w:rPr>
        <w:tab/>
      </w:r>
    </w:p>
    <w:p w14:paraId="62301E5B" w14:textId="078F7FAB" w:rsidR="00C66578" w:rsidRPr="006771EF" w:rsidRDefault="007C7E60" w:rsidP="00F74F97">
      <w:pPr>
        <w:spacing w:before="180"/>
        <w:rPr>
          <w:sz w:val="20"/>
          <w:szCs w:val="20"/>
        </w:rPr>
      </w:pPr>
      <w:r>
        <w:rPr>
          <w:sz w:val="20"/>
          <w:szCs w:val="20"/>
        </w:rPr>
        <w:t>With the model developed, three stocks (Westpac</w:t>
      </w:r>
      <w:r w:rsidR="00C66578" w:rsidRPr="006771EF">
        <w:rPr>
          <w:sz w:val="20"/>
          <w:szCs w:val="20"/>
        </w:rPr>
        <w:t xml:space="preserve">, </w:t>
      </w:r>
      <w:r>
        <w:rPr>
          <w:sz w:val="20"/>
          <w:szCs w:val="20"/>
        </w:rPr>
        <w:t xml:space="preserve">as well as </w:t>
      </w:r>
      <w:r w:rsidR="00C66578" w:rsidRPr="006771EF">
        <w:rPr>
          <w:sz w:val="20"/>
          <w:szCs w:val="20"/>
        </w:rPr>
        <w:t xml:space="preserve">RIO and TLS) then proceeded to our In-Depth Valuation stage, where each stock was </w:t>
      </w:r>
      <w:r w:rsidR="007E64A2">
        <w:rPr>
          <w:sz w:val="20"/>
          <w:szCs w:val="20"/>
        </w:rPr>
        <w:t>researched</w:t>
      </w:r>
      <w:r w:rsidR="007E64A2" w:rsidRPr="006771EF">
        <w:rPr>
          <w:sz w:val="20"/>
          <w:szCs w:val="20"/>
        </w:rPr>
        <w:t xml:space="preserve"> </w:t>
      </w:r>
      <w:r w:rsidR="00C66578" w:rsidRPr="006771EF">
        <w:rPr>
          <w:sz w:val="20"/>
          <w:szCs w:val="20"/>
        </w:rPr>
        <w:t xml:space="preserve">by </w:t>
      </w:r>
      <w:r w:rsidR="008A47BC">
        <w:rPr>
          <w:sz w:val="20"/>
          <w:szCs w:val="20"/>
        </w:rPr>
        <w:t>an</w:t>
      </w:r>
      <w:r w:rsidR="00C66578" w:rsidRPr="006771EF">
        <w:rPr>
          <w:sz w:val="20"/>
          <w:szCs w:val="20"/>
        </w:rPr>
        <w:t xml:space="preserve"> </w:t>
      </w:r>
      <w:r w:rsidR="007E64A2">
        <w:rPr>
          <w:sz w:val="20"/>
          <w:szCs w:val="20"/>
        </w:rPr>
        <w:t>a</w:t>
      </w:r>
      <w:r w:rsidR="00C66578" w:rsidRPr="006771EF">
        <w:rPr>
          <w:sz w:val="20"/>
          <w:szCs w:val="20"/>
        </w:rPr>
        <w:t xml:space="preserve">nalyst using </w:t>
      </w:r>
      <w:r w:rsidR="007E64A2">
        <w:rPr>
          <w:sz w:val="20"/>
          <w:szCs w:val="20"/>
        </w:rPr>
        <w:t xml:space="preserve">a </w:t>
      </w:r>
      <w:r w:rsidR="00C66578" w:rsidRPr="006771EF">
        <w:rPr>
          <w:sz w:val="20"/>
          <w:szCs w:val="20"/>
        </w:rPr>
        <w:t>DCF</w:t>
      </w:r>
      <w:r w:rsidR="000464A2" w:rsidRPr="006771EF">
        <w:rPr>
          <w:sz w:val="20"/>
          <w:szCs w:val="20"/>
        </w:rPr>
        <w:t xml:space="preserve"> valuation</w:t>
      </w:r>
      <w:r w:rsidR="007E64A2">
        <w:rPr>
          <w:sz w:val="20"/>
          <w:szCs w:val="20"/>
        </w:rPr>
        <w:t xml:space="preserve"> framework</w:t>
      </w:r>
      <w:r w:rsidR="00C66578" w:rsidRPr="006771EF">
        <w:rPr>
          <w:sz w:val="20"/>
          <w:szCs w:val="20"/>
        </w:rPr>
        <w:t xml:space="preserve">. Within this process, the SMF group and Convenors provided extensive feedback on the AAE team’s modelling before the stocks progressed to the IAC approval. </w:t>
      </w:r>
      <w:r w:rsidR="000243E0">
        <w:rPr>
          <w:sz w:val="20"/>
          <w:szCs w:val="20"/>
        </w:rPr>
        <w:t>RIO and TLS</w:t>
      </w:r>
      <w:r w:rsidR="00C66578" w:rsidRPr="006771EF">
        <w:rPr>
          <w:sz w:val="20"/>
          <w:szCs w:val="20"/>
        </w:rPr>
        <w:t xml:space="preserve"> advanced as investment recommendations to the IAC Meeting on the 21st of May. During this meeting, the initial</w:t>
      </w:r>
      <w:r w:rsidR="00A504B6">
        <w:rPr>
          <w:sz w:val="20"/>
          <w:szCs w:val="20"/>
        </w:rPr>
        <w:t>ly</w:t>
      </w:r>
      <w:r w:rsidR="00C66578" w:rsidRPr="006771EF">
        <w:rPr>
          <w:sz w:val="20"/>
          <w:szCs w:val="20"/>
        </w:rPr>
        <w:t xml:space="preserve"> proposed portfolio weightings were revised due to a concern around the market timing and firm risk of Telstra. The revised weightings (within the AAE portion of the portfolio) were a 3% investment in RIO and a 6% investment in TLS. We were extremely pleased with this outcome.  At the conclusion of the semester the team reviewed the AAE </w:t>
      </w:r>
      <w:r w:rsidR="00487F4A">
        <w:rPr>
          <w:sz w:val="20"/>
          <w:szCs w:val="20"/>
        </w:rPr>
        <w:t>IP</w:t>
      </w:r>
      <w:r w:rsidR="00C66578" w:rsidRPr="006771EF">
        <w:rPr>
          <w:sz w:val="20"/>
          <w:szCs w:val="20"/>
        </w:rPr>
        <w:t xml:space="preserve">, alongside the CIO, </w:t>
      </w:r>
      <w:r w:rsidR="008A47BC">
        <w:rPr>
          <w:sz w:val="20"/>
          <w:szCs w:val="20"/>
        </w:rPr>
        <w:t xml:space="preserve">and the </w:t>
      </w:r>
      <w:r w:rsidR="00F47D1F">
        <w:rPr>
          <w:sz w:val="20"/>
          <w:szCs w:val="20"/>
        </w:rPr>
        <w:t>R&amp;C</w:t>
      </w:r>
      <w:r w:rsidR="00C66578" w:rsidRPr="006771EF">
        <w:rPr>
          <w:sz w:val="20"/>
          <w:szCs w:val="20"/>
        </w:rPr>
        <w:t xml:space="preserve"> and Relationship </w:t>
      </w:r>
      <w:r w:rsidR="00D719BE">
        <w:rPr>
          <w:sz w:val="20"/>
          <w:szCs w:val="20"/>
        </w:rPr>
        <w:t>t</w:t>
      </w:r>
      <w:r w:rsidR="00C66578" w:rsidRPr="006771EF">
        <w:rPr>
          <w:sz w:val="20"/>
          <w:szCs w:val="20"/>
        </w:rPr>
        <w:t xml:space="preserve">eams.  </w:t>
      </w:r>
    </w:p>
    <w:p w14:paraId="6B09873C" w14:textId="77777777" w:rsidR="006E20CD" w:rsidRPr="006771EF" w:rsidRDefault="00C66578" w:rsidP="00F74F97">
      <w:pPr>
        <w:spacing w:before="180"/>
        <w:rPr>
          <w:sz w:val="20"/>
          <w:szCs w:val="20"/>
        </w:rPr>
      </w:pPr>
      <w:r w:rsidRPr="006771EF">
        <w:rPr>
          <w:sz w:val="20"/>
          <w:szCs w:val="20"/>
        </w:rPr>
        <w:t xml:space="preserve">The team now welcomes 5 junior analysts next semester, with Zhan Zhang taking over the role as Head of Equities. I thoroughly look forward to the future legacy of both the AAE team and the SMF in future semesters. </w:t>
      </w:r>
    </w:p>
    <w:p w14:paraId="01379E83" w14:textId="6FEBCC8D" w:rsidR="00C66578" w:rsidRPr="006771EF" w:rsidRDefault="00C66578" w:rsidP="00DB286A">
      <w:pPr>
        <w:tabs>
          <w:tab w:val="left" w:pos="7340"/>
        </w:tabs>
        <w:spacing w:before="180"/>
        <w:rPr>
          <w:i/>
          <w:sz w:val="20"/>
          <w:szCs w:val="20"/>
        </w:rPr>
      </w:pPr>
      <w:r w:rsidRPr="006771EF">
        <w:rPr>
          <w:i/>
          <w:sz w:val="20"/>
          <w:szCs w:val="20"/>
        </w:rPr>
        <w:t>Ben Rada Martin</w:t>
      </w:r>
      <w:r w:rsidR="00E75E0D" w:rsidRPr="006771EF">
        <w:rPr>
          <w:i/>
          <w:sz w:val="20"/>
          <w:szCs w:val="20"/>
        </w:rPr>
        <w:t>, Head of AAE</w:t>
      </w:r>
    </w:p>
    <w:p w14:paraId="203F3F34" w14:textId="6002F32F" w:rsidR="00C66578" w:rsidRPr="00AB58A2" w:rsidRDefault="00C66578" w:rsidP="00813981">
      <w:pPr>
        <w:pStyle w:val="Heading3"/>
        <w:rPr>
          <w:lang w:eastAsia="zh-CN"/>
        </w:rPr>
      </w:pPr>
      <w:bookmarkStart w:id="17" w:name="_Toc517159292"/>
      <w:r w:rsidRPr="00AB58A2">
        <w:rPr>
          <w:lang w:eastAsia="zh-CN"/>
        </w:rPr>
        <w:t>Asset Allocation</w:t>
      </w:r>
      <w:r w:rsidR="00044DD5">
        <w:rPr>
          <w:lang w:eastAsia="zh-CN"/>
        </w:rPr>
        <w:t xml:space="preserve"> (AA)</w:t>
      </w:r>
      <w:r w:rsidRPr="00AB58A2">
        <w:rPr>
          <w:lang w:eastAsia="zh-CN"/>
        </w:rPr>
        <w:t xml:space="preserve"> Team</w:t>
      </w:r>
      <w:bookmarkEnd w:id="17"/>
    </w:p>
    <w:p w14:paraId="5FCA7A3C" w14:textId="3CC8C20D" w:rsidR="00DB286A" w:rsidRPr="00DB286A" w:rsidRDefault="00DB286A" w:rsidP="00F74F97">
      <w:pPr>
        <w:spacing w:before="180"/>
        <w:rPr>
          <w:sz w:val="20"/>
          <w:szCs w:val="20"/>
        </w:rPr>
      </w:pPr>
      <w:r w:rsidRPr="00DB286A">
        <w:rPr>
          <w:sz w:val="20"/>
          <w:szCs w:val="20"/>
        </w:rPr>
        <w:t xml:space="preserve">The AA </w:t>
      </w:r>
      <w:r w:rsidR="00D719BE">
        <w:rPr>
          <w:sz w:val="20"/>
          <w:szCs w:val="20"/>
        </w:rPr>
        <w:t>t</w:t>
      </w:r>
      <w:r w:rsidRPr="00DB286A">
        <w:rPr>
          <w:sz w:val="20"/>
          <w:szCs w:val="20"/>
        </w:rPr>
        <w:t>eam undertakes research and makes investment recommendations regarding changes to asset allocation, which are implemented via the purchase and sale of ETFs. Overall asset allocation is managed through making changes to the other half of the portfolio that is not managed by the AAE team.</w:t>
      </w:r>
    </w:p>
    <w:p w14:paraId="75C033D3" w14:textId="300AB54A" w:rsidR="00DB286A" w:rsidRPr="00DB286A" w:rsidRDefault="008A47BC" w:rsidP="00F74F97">
      <w:pPr>
        <w:spacing w:before="180"/>
        <w:rPr>
          <w:sz w:val="20"/>
          <w:szCs w:val="20"/>
        </w:rPr>
      </w:pPr>
      <w:r>
        <w:rPr>
          <w:sz w:val="20"/>
          <w:szCs w:val="20"/>
        </w:rPr>
        <w:t xml:space="preserve">The </w:t>
      </w:r>
      <w:r w:rsidR="00DB286A" w:rsidRPr="00DB286A">
        <w:rPr>
          <w:sz w:val="20"/>
          <w:szCs w:val="20"/>
        </w:rPr>
        <w:t>AA</w:t>
      </w:r>
      <w:r>
        <w:rPr>
          <w:sz w:val="20"/>
          <w:szCs w:val="20"/>
        </w:rPr>
        <w:t xml:space="preserve"> </w:t>
      </w:r>
      <w:r w:rsidR="00D719BE">
        <w:rPr>
          <w:sz w:val="20"/>
          <w:szCs w:val="20"/>
        </w:rPr>
        <w:t>t</w:t>
      </w:r>
      <w:r>
        <w:rPr>
          <w:sz w:val="20"/>
          <w:szCs w:val="20"/>
        </w:rPr>
        <w:t>eam</w:t>
      </w:r>
      <w:r w:rsidR="00DB286A" w:rsidRPr="00DB286A">
        <w:rPr>
          <w:sz w:val="20"/>
          <w:szCs w:val="20"/>
        </w:rPr>
        <w:t xml:space="preserve"> ha</w:t>
      </w:r>
      <w:r>
        <w:rPr>
          <w:sz w:val="20"/>
          <w:szCs w:val="20"/>
        </w:rPr>
        <w:t xml:space="preserve">d three </w:t>
      </w:r>
      <w:r w:rsidR="00DB286A" w:rsidRPr="00DB286A">
        <w:rPr>
          <w:sz w:val="20"/>
          <w:szCs w:val="20"/>
        </w:rPr>
        <w:t>members this semester</w:t>
      </w:r>
      <w:r>
        <w:rPr>
          <w:sz w:val="20"/>
          <w:szCs w:val="20"/>
        </w:rPr>
        <w:t xml:space="preserve">. The prime </w:t>
      </w:r>
      <w:r w:rsidR="00DB286A" w:rsidRPr="00DB286A">
        <w:rPr>
          <w:sz w:val="20"/>
          <w:szCs w:val="20"/>
        </w:rPr>
        <w:t>focus</w:t>
      </w:r>
      <w:r>
        <w:rPr>
          <w:sz w:val="20"/>
          <w:szCs w:val="20"/>
        </w:rPr>
        <w:t xml:space="preserve"> was </w:t>
      </w:r>
      <w:r w:rsidR="00DB286A" w:rsidRPr="00DB286A">
        <w:rPr>
          <w:sz w:val="20"/>
          <w:szCs w:val="20"/>
        </w:rPr>
        <w:t xml:space="preserve">working on the </w:t>
      </w:r>
      <w:r w:rsidR="000243E0">
        <w:rPr>
          <w:sz w:val="20"/>
          <w:szCs w:val="20"/>
        </w:rPr>
        <w:t xml:space="preserve">investment process (AA </w:t>
      </w:r>
      <w:r w:rsidR="00DB286A" w:rsidRPr="00DB286A">
        <w:rPr>
          <w:sz w:val="20"/>
          <w:szCs w:val="20"/>
        </w:rPr>
        <w:t>IP</w:t>
      </w:r>
      <w:r w:rsidR="000243E0">
        <w:rPr>
          <w:sz w:val="20"/>
          <w:szCs w:val="20"/>
        </w:rPr>
        <w:t>). We built</w:t>
      </w:r>
      <w:r w:rsidR="00DB286A" w:rsidRPr="00DB286A">
        <w:rPr>
          <w:sz w:val="20"/>
          <w:szCs w:val="20"/>
        </w:rPr>
        <w:t xml:space="preserve"> on last semester’s work</w:t>
      </w:r>
      <w:r>
        <w:rPr>
          <w:sz w:val="20"/>
          <w:szCs w:val="20"/>
        </w:rPr>
        <w:t>, when the p</w:t>
      </w:r>
      <w:r w:rsidR="000243E0">
        <w:rPr>
          <w:sz w:val="20"/>
          <w:szCs w:val="20"/>
        </w:rPr>
        <w:t xml:space="preserve">revious AA team specified the first </w:t>
      </w:r>
      <w:r w:rsidR="00DB286A" w:rsidRPr="00DB286A">
        <w:rPr>
          <w:sz w:val="20"/>
          <w:szCs w:val="20"/>
        </w:rPr>
        <w:t>of the four phases of the AA IP</w:t>
      </w:r>
      <w:r>
        <w:rPr>
          <w:sz w:val="20"/>
          <w:szCs w:val="20"/>
        </w:rPr>
        <w:t>,</w:t>
      </w:r>
      <w:r w:rsidR="00DB286A" w:rsidRPr="00DB286A">
        <w:rPr>
          <w:sz w:val="20"/>
          <w:szCs w:val="20"/>
        </w:rPr>
        <w:t xml:space="preserve"> and </w:t>
      </w:r>
      <w:r>
        <w:rPr>
          <w:sz w:val="20"/>
          <w:szCs w:val="20"/>
        </w:rPr>
        <w:t>defined</w:t>
      </w:r>
      <w:r w:rsidR="00DB286A" w:rsidRPr="00DB286A">
        <w:rPr>
          <w:sz w:val="20"/>
          <w:szCs w:val="20"/>
        </w:rPr>
        <w:t xml:space="preserve"> the overall stru</w:t>
      </w:r>
      <w:r w:rsidR="000243E0">
        <w:rPr>
          <w:sz w:val="20"/>
          <w:szCs w:val="20"/>
        </w:rPr>
        <w:t>cture of our models to forecast</w:t>
      </w:r>
      <w:r w:rsidR="00DB286A" w:rsidRPr="00DB286A">
        <w:rPr>
          <w:sz w:val="20"/>
          <w:szCs w:val="20"/>
        </w:rPr>
        <w:t xml:space="preserve"> expected returns for the three main asset classes (Australian Equity, Australian Fixed Income and Cash)</w:t>
      </w:r>
      <w:r>
        <w:rPr>
          <w:sz w:val="20"/>
          <w:szCs w:val="20"/>
        </w:rPr>
        <w:t>. The</w:t>
      </w:r>
      <w:r w:rsidR="000243E0">
        <w:rPr>
          <w:sz w:val="20"/>
          <w:szCs w:val="20"/>
        </w:rPr>
        <w:t>se models form</w:t>
      </w:r>
      <w:r w:rsidR="00DB286A" w:rsidRPr="00DB286A">
        <w:rPr>
          <w:sz w:val="20"/>
          <w:szCs w:val="20"/>
        </w:rPr>
        <w:t xml:space="preserve"> the base of the second phase of the AA IP. </w:t>
      </w:r>
    </w:p>
    <w:p w14:paraId="6991124C" w14:textId="79BF727A" w:rsidR="00DB286A" w:rsidRPr="00DB286A" w:rsidRDefault="00AB58A2" w:rsidP="00F74F97">
      <w:pPr>
        <w:spacing w:before="180"/>
        <w:rPr>
          <w:sz w:val="20"/>
          <w:szCs w:val="20"/>
        </w:rPr>
      </w:pPr>
      <w:r>
        <w:rPr>
          <w:sz w:val="20"/>
          <w:szCs w:val="20"/>
        </w:rPr>
        <w:t xml:space="preserve">In </w:t>
      </w:r>
      <w:r w:rsidR="008A47BC">
        <w:rPr>
          <w:sz w:val="20"/>
          <w:szCs w:val="20"/>
        </w:rPr>
        <w:t>t</w:t>
      </w:r>
      <w:r w:rsidR="00DB286A" w:rsidRPr="00DB286A">
        <w:rPr>
          <w:sz w:val="20"/>
          <w:szCs w:val="20"/>
        </w:rPr>
        <w:t>his semester</w:t>
      </w:r>
      <w:r w:rsidR="008A47BC">
        <w:rPr>
          <w:sz w:val="20"/>
          <w:szCs w:val="20"/>
        </w:rPr>
        <w:t>,</w:t>
      </w:r>
      <w:r w:rsidR="00DB286A" w:rsidRPr="00DB286A">
        <w:rPr>
          <w:sz w:val="20"/>
          <w:szCs w:val="20"/>
        </w:rPr>
        <w:t xml:space="preserve"> the AA team further developed the second and third phase of the AA IP</w:t>
      </w:r>
      <w:r w:rsidR="008A47BC">
        <w:rPr>
          <w:sz w:val="20"/>
          <w:szCs w:val="20"/>
        </w:rPr>
        <w:t xml:space="preserve">. </w:t>
      </w:r>
      <w:r w:rsidR="00DB286A" w:rsidRPr="00DB286A">
        <w:rPr>
          <w:sz w:val="20"/>
          <w:szCs w:val="20"/>
        </w:rPr>
        <w:t xml:space="preserve">For phase two, the AA team modified the models, researched </w:t>
      </w:r>
      <w:r w:rsidR="008A47BC">
        <w:rPr>
          <w:sz w:val="20"/>
          <w:szCs w:val="20"/>
        </w:rPr>
        <w:t xml:space="preserve">the </w:t>
      </w:r>
      <w:r w:rsidR="00DB286A" w:rsidRPr="00DB286A">
        <w:rPr>
          <w:sz w:val="20"/>
          <w:szCs w:val="20"/>
        </w:rPr>
        <w:t xml:space="preserve">current market state to study the relationship </w:t>
      </w:r>
      <w:r>
        <w:rPr>
          <w:sz w:val="20"/>
          <w:szCs w:val="20"/>
        </w:rPr>
        <w:t>between</w:t>
      </w:r>
      <w:r w:rsidR="00DB286A" w:rsidRPr="00DB286A">
        <w:rPr>
          <w:sz w:val="20"/>
          <w:szCs w:val="20"/>
        </w:rPr>
        <w:t xml:space="preserve"> </w:t>
      </w:r>
      <w:r w:rsidR="008A47BC">
        <w:rPr>
          <w:sz w:val="20"/>
          <w:szCs w:val="20"/>
        </w:rPr>
        <w:t xml:space="preserve">macro </w:t>
      </w:r>
      <w:r w:rsidR="00DB286A" w:rsidRPr="00DB286A">
        <w:rPr>
          <w:sz w:val="20"/>
          <w:szCs w:val="20"/>
        </w:rPr>
        <w:t>inputs</w:t>
      </w:r>
      <w:r w:rsidR="008A47BC">
        <w:rPr>
          <w:sz w:val="20"/>
          <w:szCs w:val="20"/>
        </w:rPr>
        <w:t>,</w:t>
      </w:r>
      <w:r w:rsidR="00DB286A" w:rsidRPr="00DB286A">
        <w:rPr>
          <w:sz w:val="20"/>
          <w:szCs w:val="20"/>
        </w:rPr>
        <w:t xml:space="preserve"> and further aligned the scenario analysis with the model inputs.</w:t>
      </w:r>
      <w:r w:rsidR="000150BD">
        <w:rPr>
          <w:sz w:val="20"/>
          <w:szCs w:val="20"/>
        </w:rPr>
        <w:t xml:space="preserve"> The</w:t>
      </w:r>
      <w:r w:rsidR="00DB286A" w:rsidRPr="00DB286A">
        <w:rPr>
          <w:sz w:val="20"/>
          <w:szCs w:val="20"/>
        </w:rPr>
        <w:t xml:space="preserve"> AA </w:t>
      </w:r>
      <w:r w:rsidR="00487F4A">
        <w:rPr>
          <w:sz w:val="20"/>
          <w:szCs w:val="20"/>
        </w:rPr>
        <w:t xml:space="preserve">team </w:t>
      </w:r>
      <w:r w:rsidR="00DB286A" w:rsidRPr="00DB286A">
        <w:rPr>
          <w:sz w:val="20"/>
          <w:szCs w:val="20"/>
        </w:rPr>
        <w:t xml:space="preserve">is </w:t>
      </w:r>
      <w:r w:rsidR="008A47BC">
        <w:rPr>
          <w:sz w:val="20"/>
          <w:szCs w:val="20"/>
        </w:rPr>
        <w:t>developing</w:t>
      </w:r>
      <w:r w:rsidR="00DB286A" w:rsidRPr="00DB286A">
        <w:rPr>
          <w:sz w:val="20"/>
          <w:szCs w:val="20"/>
        </w:rPr>
        <w:t xml:space="preserve"> method</w:t>
      </w:r>
      <w:r w:rsidR="008A47BC">
        <w:rPr>
          <w:sz w:val="20"/>
          <w:szCs w:val="20"/>
        </w:rPr>
        <w:t>s</w:t>
      </w:r>
      <w:r w:rsidR="00DB286A" w:rsidRPr="00DB286A">
        <w:rPr>
          <w:sz w:val="20"/>
          <w:szCs w:val="20"/>
        </w:rPr>
        <w:t xml:space="preserve"> to forecast model inputs</w:t>
      </w:r>
      <w:r w:rsidR="008A47BC">
        <w:rPr>
          <w:sz w:val="20"/>
          <w:szCs w:val="20"/>
        </w:rPr>
        <w:t>, which will be based around scenarios</w:t>
      </w:r>
      <w:r w:rsidR="000243E0">
        <w:rPr>
          <w:sz w:val="20"/>
          <w:szCs w:val="20"/>
        </w:rPr>
        <w:t xml:space="preserve">. For </w:t>
      </w:r>
      <w:r w:rsidR="00DB286A" w:rsidRPr="00DB286A">
        <w:rPr>
          <w:sz w:val="20"/>
          <w:szCs w:val="20"/>
        </w:rPr>
        <w:t>phase</w:t>
      </w:r>
      <w:r w:rsidR="000243E0">
        <w:rPr>
          <w:sz w:val="20"/>
          <w:szCs w:val="20"/>
        </w:rPr>
        <w:t xml:space="preserve"> three</w:t>
      </w:r>
      <w:r w:rsidR="00DB286A" w:rsidRPr="00DB286A">
        <w:rPr>
          <w:sz w:val="20"/>
          <w:szCs w:val="20"/>
        </w:rPr>
        <w:t xml:space="preserve">, </w:t>
      </w:r>
      <w:r w:rsidR="00C74611">
        <w:rPr>
          <w:sz w:val="20"/>
          <w:szCs w:val="20"/>
        </w:rPr>
        <w:t xml:space="preserve">the </w:t>
      </w:r>
      <w:r w:rsidR="00DB286A" w:rsidRPr="00DB286A">
        <w:rPr>
          <w:sz w:val="20"/>
          <w:szCs w:val="20"/>
        </w:rPr>
        <w:t xml:space="preserve">AA </w:t>
      </w:r>
      <w:r w:rsidR="00487F4A">
        <w:rPr>
          <w:sz w:val="20"/>
          <w:szCs w:val="20"/>
        </w:rPr>
        <w:t xml:space="preserve">team </w:t>
      </w:r>
      <w:r w:rsidR="00DB286A" w:rsidRPr="00DB286A">
        <w:rPr>
          <w:sz w:val="20"/>
          <w:szCs w:val="20"/>
        </w:rPr>
        <w:t>intr</w:t>
      </w:r>
      <w:r w:rsidR="000243E0">
        <w:rPr>
          <w:sz w:val="20"/>
          <w:szCs w:val="20"/>
        </w:rPr>
        <w:t>oduced a utility-based method to construct a</w:t>
      </w:r>
      <w:r w:rsidR="00DB286A" w:rsidRPr="00DB286A">
        <w:rPr>
          <w:sz w:val="20"/>
          <w:szCs w:val="20"/>
        </w:rPr>
        <w:t xml:space="preserve"> portfolio </w:t>
      </w:r>
      <w:r w:rsidR="000243E0">
        <w:rPr>
          <w:sz w:val="20"/>
          <w:szCs w:val="20"/>
        </w:rPr>
        <w:t xml:space="preserve">using output from </w:t>
      </w:r>
      <w:r w:rsidR="00DB286A" w:rsidRPr="00DB286A">
        <w:rPr>
          <w:sz w:val="20"/>
          <w:szCs w:val="20"/>
        </w:rPr>
        <w:t xml:space="preserve">the </w:t>
      </w:r>
      <w:r w:rsidR="000243E0">
        <w:rPr>
          <w:sz w:val="20"/>
          <w:szCs w:val="20"/>
        </w:rPr>
        <w:t>asset modelling</w:t>
      </w:r>
      <w:r w:rsidR="00DB286A" w:rsidRPr="00DB286A">
        <w:rPr>
          <w:sz w:val="20"/>
          <w:szCs w:val="20"/>
        </w:rPr>
        <w:t xml:space="preserve">. </w:t>
      </w:r>
      <w:r w:rsidR="008A47BC">
        <w:rPr>
          <w:sz w:val="20"/>
          <w:szCs w:val="20"/>
        </w:rPr>
        <w:t xml:space="preserve">Team review may lead to further </w:t>
      </w:r>
      <w:r w:rsidR="00DB286A" w:rsidRPr="00DB286A">
        <w:rPr>
          <w:sz w:val="20"/>
          <w:szCs w:val="20"/>
        </w:rPr>
        <w:t xml:space="preserve">changes before completion of both phases. </w:t>
      </w:r>
    </w:p>
    <w:p w14:paraId="1EF1DA95" w14:textId="415D0701" w:rsidR="00106FB4" w:rsidRPr="006771EF" w:rsidRDefault="00DB286A" w:rsidP="00F74F97">
      <w:pPr>
        <w:spacing w:before="180"/>
        <w:rPr>
          <w:sz w:val="20"/>
          <w:szCs w:val="20"/>
        </w:rPr>
      </w:pPr>
      <w:r w:rsidRPr="00DB286A">
        <w:rPr>
          <w:sz w:val="20"/>
          <w:szCs w:val="20"/>
        </w:rPr>
        <w:t xml:space="preserve">The AA team faced challenges over the semester as the team was required to both review the work that has been done from the past semester and make developments in new areas. The short-term goal for AA team is to complete the AA IP in </w:t>
      </w:r>
      <w:r w:rsidR="00AB58A2" w:rsidRPr="00DB286A">
        <w:rPr>
          <w:sz w:val="20"/>
          <w:szCs w:val="20"/>
        </w:rPr>
        <w:t>the</w:t>
      </w:r>
      <w:r w:rsidR="00AB58A2">
        <w:rPr>
          <w:sz w:val="20"/>
          <w:szCs w:val="20"/>
        </w:rPr>
        <w:t xml:space="preserve"> coming</w:t>
      </w:r>
      <w:r w:rsidRPr="00DB286A">
        <w:rPr>
          <w:sz w:val="20"/>
          <w:szCs w:val="20"/>
        </w:rPr>
        <w:t xml:space="preserve"> semester.</w:t>
      </w:r>
    </w:p>
    <w:p w14:paraId="2A19BCD8" w14:textId="3128D55E" w:rsidR="00106FB4" w:rsidRPr="006E40EA" w:rsidRDefault="00195F3E" w:rsidP="006E40EA">
      <w:pPr>
        <w:spacing w:before="180"/>
        <w:rPr>
          <w:i/>
          <w:sz w:val="20"/>
          <w:szCs w:val="20"/>
        </w:rPr>
      </w:pPr>
      <w:r w:rsidRPr="006771EF">
        <w:rPr>
          <w:i/>
          <w:sz w:val="20"/>
          <w:szCs w:val="20"/>
        </w:rPr>
        <w:t xml:space="preserve">Manling </w:t>
      </w:r>
      <w:r w:rsidR="006E40EA">
        <w:rPr>
          <w:i/>
          <w:sz w:val="20"/>
          <w:szCs w:val="20"/>
        </w:rPr>
        <w:t xml:space="preserve">(Sarah) </w:t>
      </w:r>
      <w:r w:rsidRPr="006771EF">
        <w:rPr>
          <w:i/>
          <w:sz w:val="20"/>
          <w:szCs w:val="20"/>
        </w:rPr>
        <w:t>Zhu</w:t>
      </w:r>
      <w:r w:rsidR="00E75E0D" w:rsidRPr="006771EF">
        <w:rPr>
          <w:i/>
          <w:sz w:val="20"/>
          <w:szCs w:val="20"/>
        </w:rPr>
        <w:t>, Head of AA</w:t>
      </w:r>
      <w:bookmarkEnd w:id="2"/>
    </w:p>
    <w:p w14:paraId="386E7313" w14:textId="5BE1233A" w:rsidR="00106FB4" w:rsidRPr="00AB58A2" w:rsidRDefault="00106FB4" w:rsidP="00813981">
      <w:pPr>
        <w:pStyle w:val="Heading3"/>
        <w:rPr>
          <w:lang w:val="en-US"/>
        </w:rPr>
      </w:pPr>
      <w:bookmarkStart w:id="18" w:name="_Toc517159293"/>
      <w:r w:rsidRPr="00AB58A2">
        <w:rPr>
          <w:lang w:val="en-US"/>
        </w:rPr>
        <w:lastRenderedPageBreak/>
        <w:t xml:space="preserve">Risk &amp; Compliance (R&amp;C) </w:t>
      </w:r>
      <w:r w:rsidR="00250DAF" w:rsidRPr="00AB58A2">
        <w:rPr>
          <w:lang w:val="en-US"/>
        </w:rPr>
        <w:t>Team</w:t>
      </w:r>
      <w:bookmarkEnd w:id="18"/>
      <w:r w:rsidR="00250DAF" w:rsidRPr="00AB58A2">
        <w:rPr>
          <w:lang w:val="en-US"/>
        </w:rPr>
        <w:t xml:space="preserve"> </w:t>
      </w:r>
    </w:p>
    <w:p w14:paraId="00417A1F" w14:textId="36514A51" w:rsidR="00106FB4" w:rsidRPr="006771EF" w:rsidRDefault="00106FB4" w:rsidP="00136215">
      <w:pPr>
        <w:spacing w:before="180" w:after="0"/>
        <w:rPr>
          <w:sz w:val="20"/>
          <w:szCs w:val="20"/>
        </w:rPr>
      </w:pPr>
      <w:r w:rsidRPr="006771EF">
        <w:rPr>
          <w:sz w:val="20"/>
          <w:szCs w:val="20"/>
        </w:rPr>
        <w:t xml:space="preserve">The R&amp;C </w:t>
      </w:r>
      <w:r w:rsidR="00D719BE">
        <w:rPr>
          <w:sz w:val="20"/>
          <w:szCs w:val="20"/>
        </w:rPr>
        <w:t>t</w:t>
      </w:r>
      <w:r w:rsidRPr="006771EF">
        <w:rPr>
          <w:sz w:val="20"/>
          <w:szCs w:val="20"/>
        </w:rPr>
        <w:t xml:space="preserve">eam was established for the </w:t>
      </w:r>
      <w:r w:rsidR="009D2BB3">
        <w:rPr>
          <w:sz w:val="20"/>
          <w:szCs w:val="20"/>
        </w:rPr>
        <w:t>purpose of</w:t>
      </w:r>
      <w:r w:rsidR="00B26FDB">
        <w:rPr>
          <w:sz w:val="20"/>
          <w:szCs w:val="20"/>
        </w:rPr>
        <w:t xml:space="preserve"> </w:t>
      </w:r>
      <w:r w:rsidRPr="006771EF">
        <w:rPr>
          <w:sz w:val="20"/>
          <w:szCs w:val="20"/>
        </w:rPr>
        <w:t>risk management,</w:t>
      </w:r>
      <w:r w:rsidR="00E340DF">
        <w:rPr>
          <w:sz w:val="20"/>
          <w:szCs w:val="20"/>
        </w:rPr>
        <w:t xml:space="preserve"> </w:t>
      </w:r>
      <w:r w:rsidRPr="006771EF">
        <w:rPr>
          <w:sz w:val="20"/>
          <w:szCs w:val="20"/>
        </w:rPr>
        <w:t>ensur</w:t>
      </w:r>
      <w:r w:rsidR="00E340DF">
        <w:rPr>
          <w:sz w:val="20"/>
          <w:szCs w:val="20"/>
        </w:rPr>
        <w:t>ing</w:t>
      </w:r>
      <w:r w:rsidRPr="006771EF">
        <w:rPr>
          <w:sz w:val="20"/>
          <w:szCs w:val="20"/>
        </w:rPr>
        <w:t xml:space="preserve"> that the Fund and its members comply with the SMF’s policies, and perform</w:t>
      </w:r>
      <w:r w:rsidR="00E340DF">
        <w:rPr>
          <w:sz w:val="20"/>
          <w:szCs w:val="20"/>
        </w:rPr>
        <w:t>ing</w:t>
      </w:r>
      <w:r w:rsidRPr="006771EF">
        <w:rPr>
          <w:sz w:val="20"/>
          <w:szCs w:val="20"/>
        </w:rPr>
        <w:t xml:space="preserve"> portfolio analysis. </w:t>
      </w:r>
      <w:r w:rsidR="000243E0">
        <w:rPr>
          <w:sz w:val="20"/>
          <w:szCs w:val="20"/>
        </w:rPr>
        <w:t xml:space="preserve">The R&amp;C team had three members during </w:t>
      </w:r>
      <w:r w:rsidRPr="006771EF">
        <w:rPr>
          <w:sz w:val="20"/>
          <w:szCs w:val="20"/>
        </w:rPr>
        <w:t xml:space="preserve">Semester 1 of 2018, with </w:t>
      </w:r>
      <w:r w:rsidR="000243E0">
        <w:rPr>
          <w:sz w:val="20"/>
          <w:szCs w:val="20"/>
        </w:rPr>
        <w:t xml:space="preserve">myself </w:t>
      </w:r>
      <w:r w:rsidRPr="006771EF">
        <w:rPr>
          <w:sz w:val="20"/>
          <w:szCs w:val="20"/>
        </w:rPr>
        <w:t xml:space="preserve">leading the team as the </w:t>
      </w:r>
      <w:r w:rsidR="00F93672">
        <w:rPr>
          <w:sz w:val="20"/>
          <w:szCs w:val="20"/>
        </w:rPr>
        <w:t>CRO</w:t>
      </w:r>
      <w:r w:rsidRPr="006771EF">
        <w:rPr>
          <w:sz w:val="20"/>
          <w:szCs w:val="20"/>
        </w:rPr>
        <w:t xml:space="preserve">, </w:t>
      </w:r>
      <w:r w:rsidR="000243E0">
        <w:rPr>
          <w:sz w:val="20"/>
          <w:szCs w:val="20"/>
        </w:rPr>
        <w:t xml:space="preserve">and Lanyu Zhang </w:t>
      </w:r>
      <w:r w:rsidR="000243E0" w:rsidRPr="006771EF">
        <w:rPr>
          <w:sz w:val="20"/>
          <w:szCs w:val="20"/>
        </w:rPr>
        <w:t xml:space="preserve">and </w:t>
      </w:r>
      <w:r w:rsidR="000243E0">
        <w:rPr>
          <w:sz w:val="20"/>
          <w:szCs w:val="20"/>
        </w:rPr>
        <w:t xml:space="preserve">Zhongxi Zheng as </w:t>
      </w:r>
      <w:r w:rsidRPr="006771EF">
        <w:rPr>
          <w:sz w:val="20"/>
          <w:szCs w:val="20"/>
        </w:rPr>
        <w:t>Risk Analysts</w:t>
      </w:r>
      <w:r w:rsidR="000243E0">
        <w:rPr>
          <w:sz w:val="20"/>
          <w:szCs w:val="20"/>
        </w:rPr>
        <w:t xml:space="preserve">. They </w:t>
      </w:r>
      <w:r w:rsidRPr="006771EF">
        <w:rPr>
          <w:sz w:val="20"/>
          <w:szCs w:val="20"/>
        </w:rPr>
        <w:t>will take on senior roles in the coming semester.</w:t>
      </w:r>
    </w:p>
    <w:p w14:paraId="6AF69F0C" w14:textId="4F41E107" w:rsidR="00106FB4" w:rsidRPr="006771EF" w:rsidRDefault="00106FB4" w:rsidP="00136215">
      <w:pPr>
        <w:spacing w:before="180" w:after="0"/>
        <w:rPr>
          <w:sz w:val="20"/>
          <w:szCs w:val="20"/>
        </w:rPr>
      </w:pPr>
      <w:r w:rsidRPr="006771EF">
        <w:rPr>
          <w:sz w:val="20"/>
          <w:szCs w:val="20"/>
        </w:rPr>
        <w:t>Our team began in Semester 2 of 2017</w:t>
      </w:r>
      <w:r w:rsidR="000243E0">
        <w:rPr>
          <w:sz w:val="20"/>
          <w:szCs w:val="20"/>
        </w:rPr>
        <w:t xml:space="preserve"> facing the challenge </w:t>
      </w:r>
      <w:r w:rsidRPr="006771EF">
        <w:rPr>
          <w:sz w:val="20"/>
          <w:szCs w:val="20"/>
        </w:rPr>
        <w:t xml:space="preserve">of </w:t>
      </w:r>
      <w:r w:rsidR="000243E0">
        <w:rPr>
          <w:sz w:val="20"/>
          <w:szCs w:val="20"/>
        </w:rPr>
        <w:t>outlining</w:t>
      </w:r>
      <w:r w:rsidRPr="006771EF">
        <w:rPr>
          <w:sz w:val="20"/>
          <w:szCs w:val="20"/>
        </w:rPr>
        <w:t xml:space="preserve"> the key procedures </w:t>
      </w:r>
      <w:r w:rsidR="00E340DF">
        <w:rPr>
          <w:sz w:val="20"/>
          <w:szCs w:val="20"/>
        </w:rPr>
        <w:t xml:space="preserve">that </w:t>
      </w:r>
      <w:r w:rsidRPr="006771EF">
        <w:rPr>
          <w:sz w:val="20"/>
          <w:szCs w:val="20"/>
        </w:rPr>
        <w:t xml:space="preserve">the R&amp;C </w:t>
      </w:r>
      <w:r w:rsidR="00D719BE">
        <w:rPr>
          <w:sz w:val="20"/>
          <w:szCs w:val="20"/>
        </w:rPr>
        <w:t>t</w:t>
      </w:r>
      <w:r w:rsidRPr="006771EF">
        <w:rPr>
          <w:sz w:val="20"/>
          <w:szCs w:val="20"/>
        </w:rPr>
        <w:t>eam is responsible for. We faced numerous challenges along the way. For example, we had to learn a lot about risk management in the investment fund context</w:t>
      </w:r>
      <w:r w:rsidR="00E340DF">
        <w:rPr>
          <w:sz w:val="20"/>
          <w:szCs w:val="20"/>
        </w:rPr>
        <w:t>,</w:t>
      </w:r>
      <w:r w:rsidRPr="006771EF">
        <w:rPr>
          <w:sz w:val="20"/>
          <w:szCs w:val="20"/>
        </w:rPr>
        <w:t xml:space="preserve"> as </w:t>
      </w:r>
      <w:r w:rsidR="00E340DF">
        <w:rPr>
          <w:sz w:val="20"/>
          <w:szCs w:val="20"/>
        </w:rPr>
        <w:t xml:space="preserve">not much is taught </w:t>
      </w:r>
      <w:r w:rsidRPr="006771EF">
        <w:rPr>
          <w:sz w:val="20"/>
          <w:szCs w:val="20"/>
        </w:rPr>
        <w:t>about this topic in the Finance courses</w:t>
      </w:r>
      <w:r w:rsidR="00E340DF">
        <w:rPr>
          <w:sz w:val="20"/>
          <w:szCs w:val="20"/>
        </w:rPr>
        <w:t xml:space="preserve"> we had taken</w:t>
      </w:r>
      <w:r w:rsidRPr="006771EF">
        <w:rPr>
          <w:sz w:val="20"/>
          <w:szCs w:val="20"/>
        </w:rPr>
        <w:t>. Our team took the initiative to implement innovative ideas</w:t>
      </w:r>
      <w:r w:rsidR="00E340DF">
        <w:rPr>
          <w:sz w:val="20"/>
          <w:szCs w:val="20"/>
        </w:rPr>
        <w:t>,</w:t>
      </w:r>
      <w:r w:rsidRPr="006771EF">
        <w:rPr>
          <w:sz w:val="20"/>
          <w:szCs w:val="20"/>
        </w:rPr>
        <w:t xml:space="preserve"> and to prepare</w:t>
      </w:r>
      <w:r w:rsidR="00F74F97">
        <w:rPr>
          <w:sz w:val="20"/>
          <w:szCs w:val="20"/>
        </w:rPr>
        <w:t xml:space="preserve"> documents and processes</w:t>
      </w:r>
      <w:r w:rsidRPr="006771EF">
        <w:rPr>
          <w:sz w:val="20"/>
          <w:szCs w:val="20"/>
        </w:rPr>
        <w:t xml:space="preserve"> </w:t>
      </w:r>
      <w:r w:rsidR="00E340DF">
        <w:rPr>
          <w:sz w:val="20"/>
          <w:szCs w:val="20"/>
        </w:rPr>
        <w:t>to</w:t>
      </w:r>
      <w:r w:rsidRPr="006771EF">
        <w:rPr>
          <w:sz w:val="20"/>
          <w:szCs w:val="20"/>
        </w:rPr>
        <w:t xml:space="preserve"> ensure compliance </w:t>
      </w:r>
      <w:r w:rsidR="00E340DF">
        <w:rPr>
          <w:sz w:val="20"/>
          <w:szCs w:val="20"/>
        </w:rPr>
        <w:t>with</w:t>
      </w:r>
      <w:r w:rsidRPr="006771EF">
        <w:rPr>
          <w:sz w:val="20"/>
          <w:szCs w:val="20"/>
        </w:rPr>
        <w:t xml:space="preserve"> policy. We have taken the steps to </w:t>
      </w:r>
      <w:r w:rsidR="00D1292D">
        <w:rPr>
          <w:sz w:val="20"/>
          <w:szCs w:val="20"/>
        </w:rPr>
        <w:t>en</w:t>
      </w:r>
      <w:r w:rsidRPr="006771EF">
        <w:rPr>
          <w:sz w:val="20"/>
          <w:szCs w:val="20"/>
        </w:rPr>
        <w:t xml:space="preserve">sure that all documentation prepared by our team is sufficiently detailed </w:t>
      </w:r>
      <w:r w:rsidR="00F74F97">
        <w:rPr>
          <w:sz w:val="20"/>
          <w:szCs w:val="20"/>
        </w:rPr>
        <w:t>so future cohorts can</w:t>
      </w:r>
      <w:r w:rsidRPr="006771EF">
        <w:rPr>
          <w:sz w:val="20"/>
          <w:szCs w:val="20"/>
        </w:rPr>
        <w:t xml:space="preserve"> easily understand their responsibilities and the procedures. </w:t>
      </w:r>
      <w:r w:rsidR="00F1370E">
        <w:rPr>
          <w:sz w:val="20"/>
          <w:szCs w:val="20"/>
        </w:rPr>
        <w:t xml:space="preserve">We have developed a Risk Register, </w:t>
      </w:r>
      <w:r w:rsidR="00CA3591">
        <w:rPr>
          <w:sz w:val="20"/>
          <w:szCs w:val="20"/>
        </w:rPr>
        <w:t xml:space="preserve">a </w:t>
      </w:r>
      <w:r w:rsidR="00F1370E">
        <w:rPr>
          <w:sz w:val="20"/>
          <w:szCs w:val="20"/>
        </w:rPr>
        <w:t>Risk Management framework, and a Performance Attribution model.</w:t>
      </w:r>
      <w:r w:rsidR="00461C51">
        <w:rPr>
          <w:sz w:val="20"/>
          <w:szCs w:val="20"/>
        </w:rPr>
        <w:t xml:space="preserve"> We are currently wrapping up the R&amp;C Overview document which concisely outlines the R&amp;C te</w:t>
      </w:r>
      <w:r w:rsidR="00F74F97">
        <w:rPr>
          <w:sz w:val="20"/>
          <w:szCs w:val="20"/>
        </w:rPr>
        <w:t>am’s responsibilities</w:t>
      </w:r>
      <w:r w:rsidR="00461C51">
        <w:rPr>
          <w:sz w:val="20"/>
          <w:szCs w:val="20"/>
        </w:rPr>
        <w:t xml:space="preserve"> and the procedures we must follow. </w:t>
      </w:r>
    </w:p>
    <w:p w14:paraId="12407A83" w14:textId="784DB426" w:rsidR="00E75E0D" w:rsidRPr="006771EF" w:rsidRDefault="00106FB4" w:rsidP="00136215">
      <w:pPr>
        <w:spacing w:before="180" w:after="0"/>
        <w:rPr>
          <w:sz w:val="20"/>
          <w:szCs w:val="20"/>
        </w:rPr>
      </w:pPr>
      <w:r w:rsidRPr="006771EF">
        <w:rPr>
          <w:sz w:val="20"/>
          <w:szCs w:val="20"/>
        </w:rPr>
        <w:t>The ANU is committed to participating in investment activities that consider any social harm or benefit that might arise from</w:t>
      </w:r>
      <w:r w:rsidR="00F74F97">
        <w:rPr>
          <w:sz w:val="20"/>
          <w:szCs w:val="20"/>
        </w:rPr>
        <w:t xml:space="preserve"> those activities. The SMF </w:t>
      </w:r>
      <w:r w:rsidR="00D24EF8">
        <w:rPr>
          <w:sz w:val="20"/>
          <w:szCs w:val="20"/>
        </w:rPr>
        <w:t xml:space="preserve">adheres to these values, and as such </w:t>
      </w:r>
      <w:r w:rsidRPr="006771EF">
        <w:rPr>
          <w:sz w:val="20"/>
          <w:szCs w:val="20"/>
        </w:rPr>
        <w:t>has imple</w:t>
      </w:r>
      <w:r w:rsidR="00D24EF8">
        <w:rPr>
          <w:sz w:val="20"/>
          <w:szCs w:val="20"/>
        </w:rPr>
        <w:t>mented the ANU’s SRI policies within</w:t>
      </w:r>
      <w:r w:rsidRPr="006771EF">
        <w:rPr>
          <w:sz w:val="20"/>
          <w:szCs w:val="20"/>
        </w:rPr>
        <w:t xml:space="preserve"> the </w:t>
      </w:r>
      <w:r w:rsidR="009D2BB3">
        <w:rPr>
          <w:sz w:val="20"/>
          <w:szCs w:val="20"/>
        </w:rPr>
        <w:t>AAE</w:t>
      </w:r>
      <w:r w:rsidRPr="006771EF">
        <w:rPr>
          <w:sz w:val="20"/>
          <w:szCs w:val="20"/>
        </w:rPr>
        <w:t xml:space="preserve"> component</w:t>
      </w:r>
      <w:r w:rsidR="00D24EF8">
        <w:rPr>
          <w:sz w:val="20"/>
          <w:szCs w:val="20"/>
        </w:rPr>
        <w:t xml:space="preserve"> of the portfolio. The R&amp;C team is responsible for</w:t>
      </w:r>
      <w:r w:rsidRPr="006771EF">
        <w:rPr>
          <w:sz w:val="20"/>
          <w:szCs w:val="20"/>
        </w:rPr>
        <w:t xml:space="preserve"> </w:t>
      </w:r>
      <w:r w:rsidR="00D24EF8">
        <w:rPr>
          <w:sz w:val="20"/>
          <w:szCs w:val="20"/>
        </w:rPr>
        <w:t>ensuring</w:t>
      </w:r>
      <w:r w:rsidR="00AE74E4" w:rsidRPr="006771EF">
        <w:rPr>
          <w:sz w:val="20"/>
          <w:szCs w:val="20"/>
        </w:rPr>
        <w:t xml:space="preserve"> </w:t>
      </w:r>
      <w:r w:rsidR="00D24EF8">
        <w:rPr>
          <w:sz w:val="20"/>
          <w:szCs w:val="20"/>
        </w:rPr>
        <w:t xml:space="preserve">that </w:t>
      </w:r>
      <w:r w:rsidR="00F74F97">
        <w:rPr>
          <w:sz w:val="20"/>
          <w:szCs w:val="20"/>
        </w:rPr>
        <w:t>the po</w:t>
      </w:r>
      <w:r w:rsidR="00D24EF8">
        <w:rPr>
          <w:sz w:val="20"/>
          <w:szCs w:val="20"/>
        </w:rPr>
        <w:t xml:space="preserve">rtfolio </w:t>
      </w:r>
      <w:r w:rsidRPr="006771EF">
        <w:rPr>
          <w:sz w:val="20"/>
          <w:szCs w:val="20"/>
        </w:rPr>
        <w:t>compl</w:t>
      </w:r>
      <w:r w:rsidR="00D24EF8">
        <w:rPr>
          <w:sz w:val="20"/>
          <w:szCs w:val="20"/>
        </w:rPr>
        <w:t>ies</w:t>
      </w:r>
      <w:r w:rsidR="00F74F97">
        <w:rPr>
          <w:sz w:val="20"/>
          <w:szCs w:val="20"/>
        </w:rPr>
        <w:t xml:space="preserve"> with</w:t>
      </w:r>
      <w:r w:rsidRPr="006771EF">
        <w:rPr>
          <w:sz w:val="20"/>
          <w:szCs w:val="20"/>
        </w:rPr>
        <w:t xml:space="preserve"> the SRI policy</w:t>
      </w:r>
      <w:r w:rsidR="00D1292D">
        <w:rPr>
          <w:sz w:val="20"/>
          <w:szCs w:val="20"/>
        </w:rPr>
        <w:t xml:space="preserve">: </w:t>
      </w:r>
      <w:r w:rsidRPr="006771EF">
        <w:rPr>
          <w:sz w:val="20"/>
          <w:szCs w:val="20"/>
        </w:rPr>
        <w:t>more information</w:t>
      </w:r>
      <w:r w:rsidR="00E75E0D" w:rsidRPr="006771EF">
        <w:rPr>
          <w:sz w:val="20"/>
          <w:szCs w:val="20"/>
        </w:rPr>
        <w:t xml:space="preserve"> can be found in our SRI Report.</w:t>
      </w:r>
    </w:p>
    <w:p w14:paraId="4EA8ABB6" w14:textId="325CC2EE" w:rsidR="00106FB4" w:rsidRPr="006771EF" w:rsidRDefault="00106FB4" w:rsidP="00136215">
      <w:pPr>
        <w:spacing w:before="180" w:after="0"/>
        <w:rPr>
          <w:sz w:val="20"/>
          <w:szCs w:val="20"/>
        </w:rPr>
      </w:pPr>
      <w:r w:rsidRPr="006771EF">
        <w:rPr>
          <w:sz w:val="20"/>
          <w:szCs w:val="20"/>
        </w:rPr>
        <w:t xml:space="preserve">The R&amp;C </w:t>
      </w:r>
      <w:r w:rsidR="00487F4A">
        <w:rPr>
          <w:sz w:val="20"/>
          <w:szCs w:val="20"/>
        </w:rPr>
        <w:t>t</w:t>
      </w:r>
      <w:r w:rsidRPr="006771EF">
        <w:rPr>
          <w:sz w:val="20"/>
          <w:szCs w:val="20"/>
        </w:rPr>
        <w:t>eam also assist</w:t>
      </w:r>
      <w:r w:rsidR="00F74F97">
        <w:rPr>
          <w:sz w:val="20"/>
          <w:szCs w:val="20"/>
        </w:rPr>
        <w:t xml:space="preserve">s the Relationship team with </w:t>
      </w:r>
      <w:r w:rsidRPr="006771EF">
        <w:rPr>
          <w:sz w:val="20"/>
          <w:szCs w:val="20"/>
        </w:rPr>
        <w:t xml:space="preserve">preparation </w:t>
      </w:r>
      <w:r w:rsidR="00F74F97">
        <w:rPr>
          <w:sz w:val="20"/>
          <w:szCs w:val="20"/>
        </w:rPr>
        <w:t>of mid-semester and end-</w:t>
      </w:r>
      <w:r w:rsidRPr="006771EF">
        <w:rPr>
          <w:sz w:val="20"/>
          <w:szCs w:val="20"/>
        </w:rPr>
        <w:t xml:space="preserve">semester reporting. Students are encouraged to suggest new ideas that will allow </w:t>
      </w:r>
      <w:r w:rsidR="00F74F97">
        <w:rPr>
          <w:sz w:val="20"/>
          <w:szCs w:val="20"/>
        </w:rPr>
        <w:t>the SMF more efficiently. As such, the R&amp;C Team</w:t>
      </w:r>
      <w:r w:rsidRPr="006771EF">
        <w:rPr>
          <w:sz w:val="20"/>
          <w:szCs w:val="20"/>
        </w:rPr>
        <w:t xml:space="preserve"> have been active in contributing to the SMF </w:t>
      </w:r>
      <w:r w:rsidR="00F74F97">
        <w:rPr>
          <w:sz w:val="20"/>
          <w:szCs w:val="20"/>
        </w:rPr>
        <w:t>T</w:t>
      </w:r>
      <w:r w:rsidRPr="006771EF">
        <w:rPr>
          <w:sz w:val="20"/>
          <w:szCs w:val="20"/>
        </w:rPr>
        <w:t xml:space="preserve">eam in ways that otherwise fall outside of our responsibilities. For example, we </w:t>
      </w:r>
      <w:r w:rsidR="00D719BE">
        <w:rPr>
          <w:sz w:val="20"/>
          <w:szCs w:val="20"/>
        </w:rPr>
        <w:t>implemented</w:t>
      </w:r>
      <w:r w:rsidR="00D719BE" w:rsidRPr="006771EF">
        <w:rPr>
          <w:sz w:val="20"/>
          <w:szCs w:val="20"/>
        </w:rPr>
        <w:t xml:space="preserve"> </w:t>
      </w:r>
      <w:r w:rsidRPr="006771EF">
        <w:rPr>
          <w:sz w:val="20"/>
          <w:szCs w:val="20"/>
        </w:rPr>
        <w:t xml:space="preserve">a communication platform and a file-sharing system for the whole SMF </w:t>
      </w:r>
      <w:r w:rsidR="00D719BE">
        <w:rPr>
          <w:sz w:val="20"/>
          <w:szCs w:val="20"/>
        </w:rPr>
        <w:t>t</w:t>
      </w:r>
      <w:r w:rsidRPr="006771EF">
        <w:rPr>
          <w:sz w:val="20"/>
          <w:szCs w:val="20"/>
        </w:rPr>
        <w:t xml:space="preserve">eam to use. </w:t>
      </w:r>
    </w:p>
    <w:p w14:paraId="37D040D5" w14:textId="0EBE8754" w:rsidR="00106FB4" w:rsidRPr="006771EF" w:rsidRDefault="00106FB4" w:rsidP="00136215">
      <w:pPr>
        <w:spacing w:before="180" w:after="0"/>
        <w:rPr>
          <w:sz w:val="20"/>
          <w:szCs w:val="20"/>
        </w:rPr>
      </w:pPr>
      <w:r w:rsidRPr="006771EF">
        <w:rPr>
          <w:sz w:val="20"/>
          <w:szCs w:val="20"/>
        </w:rPr>
        <w:t xml:space="preserve">Next semester, the R&amp;C team will be focused on wrapping up the documentation </w:t>
      </w:r>
      <w:r w:rsidR="00F74F97">
        <w:rPr>
          <w:sz w:val="20"/>
          <w:szCs w:val="20"/>
        </w:rPr>
        <w:t>of its</w:t>
      </w:r>
      <w:r w:rsidRPr="006771EF">
        <w:rPr>
          <w:sz w:val="20"/>
          <w:szCs w:val="20"/>
        </w:rPr>
        <w:t xml:space="preserve"> processes</w:t>
      </w:r>
      <w:r w:rsidR="00F74F97">
        <w:rPr>
          <w:sz w:val="20"/>
          <w:szCs w:val="20"/>
        </w:rPr>
        <w:t>,</w:t>
      </w:r>
      <w:r w:rsidRPr="006771EF">
        <w:rPr>
          <w:sz w:val="20"/>
          <w:szCs w:val="20"/>
        </w:rPr>
        <w:t xml:space="preserve"> and moving towards active risk management</w:t>
      </w:r>
      <w:r w:rsidR="00F74F97">
        <w:rPr>
          <w:sz w:val="20"/>
          <w:szCs w:val="20"/>
        </w:rPr>
        <w:t xml:space="preserve"> and portfolio analysis. As </w:t>
      </w:r>
      <w:r w:rsidRPr="006771EF">
        <w:rPr>
          <w:sz w:val="20"/>
          <w:szCs w:val="20"/>
        </w:rPr>
        <w:t xml:space="preserve">other sub-teams start rolling out their </w:t>
      </w:r>
      <w:r w:rsidR="003F4F26">
        <w:rPr>
          <w:sz w:val="20"/>
          <w:szCs w:val="20"/>
        </w:rPr>
        <w:t>IP</w:t>
      </w:r>
      <w:r w:rsidR="00701264">
        <w:rPr>
          <w:sz w:val="20"/>
          <w:szCs w:val="20"/>
        </w:rPr>
        <w:t xml:space="preserve"> and investment recommendations</w:t>
      </w:r>
      <w:r w:rsidRPr="006771EF">
        <w:rPr>
          <w:sz w:val="20"/>
          <w:szCs w:val="20"/>
        </w:rPr>
        <w:t xml:space="preserve">, </w:t>
      </w:r>
      <w:r w:rsidR="00F74F97">
        <w:rPr>
          <w:sz w:val="20"/>
          <w:szCs w:val="20"/>
        </w:rPr>
        <w:t xml:space="preserve">we </w:t>
      </w:r>
      <w:r w:rsidRPr="006771EF">
        <w:rPr>
          <w:sz w:val="20"/>
          <w:szCs w:val="20"/>
        </w:rPr>
        <w:t>will make sure that all of our documents are perfectly aligned with those processes.</w:t>
      </w:r>
    </w:p>
    <w:p w14:paraId="6D7C3380" w14:textId="1D5A9249" w:rsidR="00106FB4" w:rsidRPr="006771EF" w:rsidRDefault="00106FB4" w:rsidP="00DB286A">
      <w:pPr>
        <w:spacing w:before="180"/>
        <w:rPr>
          <w:i/>
          <w:sz w:val="20"/>
          <w:szCs w:val="20"/>
          <w:lang w:val="en-US"/>
        </w:rPr>
      </w:pPr>
      <w:r w:rsidRPr="006771EF">
        <w:rPr>
          <w:i/>
          <w:sz w:val="20"/>
          <w:szCs w:val="20"/>
          <w:lang w:val="en-US"/>
        </w:rPr>
        <w:t xml:space="preserve">Vipul Nijhawan, </w:t>
      </w:r>
      <w:r w:rsidR="00E75E0D" w:rsidRPr="006771EF">
        <w:rPr>
          <w:i/>
          <w:sz w:val="20"/>
          <w:szCs w:val="20"/>
          <w:lang w:val="en-US"/>
        </w:rPr>
        <w:t>CRO and Head of R&amp;C</w:t>
      </w:r>
    </w:p>
    <w:p w14:paraId="71815004" w14:textId="2DDC67E6" w:rsidR="00E75E0D" w:rsidRPr="00B26FDB" w:rsidRDefault="00E75E0D" w:rsidP="00813981">
      <w:pPr>
        <w:pStyle w:val="Heading3"/>
        <w:rPr>
          <w:lang w:val="en-US"/>
        </w:rPr>
      </w:pPr>
      <w:bookmarkStart w:id="19" w:name="_Toc517159294"/>
      <w:r w:rsidRPr="00B26FDB">
        <w:rPr>
          <w:lang w:val="en-US"/>
        </w:rPr>
        <w:t>Relationship Team</w:t>
      </w:r>
      <w:bookmarkEnd w:id="19"/>
    </w:p>
    <w:p w14:paraId="08E7925B" w14:textId="112A4DBA" w:rsidR="00515130" w:rsidRPr="006771EF" w:rsidRDefault="00D939AC" w:rsidP="00136215">
      <w:pPr>
        <w:spacing w:before="180" w:after="0"/>
        <w:rPr>
          <w:sz w:val="20"/>
          <w:szCs w:val="20"/>
        </w:rPr>
      </w:pPr>
      <w:r>
        <w:rPr>
          <w:sz w:val="20"/>
          <w:szCs w:val="20"/>
        </w:rPr>
        <w:t xml:space="preserve">The </w:t>
      </w:r>
      <w:r w:rsidR="00515130" w:rsidRPr="006771EF">
        <w:rPr>
          <w:sz w:val="20"/>
          <w:szCs w:val="20"/>
        </w:rPr>
        <w:t xml:space="preserve">Relationship </w:t>
      </w:r>
      <w:r w:rsidR="00D719BE">
        <w:rPr>
          <w:sz w:val="20"/>
          <w:szCs w:val="20"/>
        </w:rPr>
        <w:t>t</w:t>
      </w:r>
      <w:r w:rsidR="00515130" w:rsidRPr="006771EF">
        <w:rPr>
          <w:sz w:val="20"/>
          <w:szCs w:val="20"/>
        </w:rPr>
        <w:t xml:space="preserve">eam </w:t>
      </w:r>
      <w:r w:rsidR="00BE5F69">
        <w:rPr>
          <w:sz w:val="20"/>
          <w:szCs w:val="20"/>
        </w:rPr>
        <w:t xml:space="preserve">started </w:t>
      </w:r>
      <w:r w:rsidR="00515130" w:rsidRPr="006771EF">
        <w:rPr>
          <w:sz w:val="20"/>
          <w:szCs w:val="20"/>
        </w:rPr>
        <w:t xml:space="preserve">from scratch </w:t>
      </w:r>
      <w:r w:rsidR="00BE5F69">
        <w:rPr>
          <w:sz w:val="20"/>
          <w:szCs w:val="20"/>
        </w:rPr>
        <w:t>at the beginning of</w:t>
      </w:r>
      <w:r w:rsidR="00515130" w:rsidRPr="006771EF">
        <w:rPr>
          <w:sz w:val="20"/>
          <w:szCs w:val="20"/>
        </w:rPr>
        <w:t xml:space="preserve"> </w:t>
      </w:r>
      <w:r w:rsidR="00A647DD">
        <w:rPr>
          <w:sz w:val="20"/>
          <w:szCs w:val="20"/>
        </w:rPr>
        <w:t>S</w:t>
      </w:r>
      <w:r w:rsidR="00515130" w:rsidRPr="006771EF">
        <w:rPr>
          <w:sz w:val="20"/>
          <w:szCs w:val="20"/>
        </w:rPr>
        <w:t xml:space="preserve">emester 1, 2018.  </w:t>
      </w:r>
      <w:r w:rsidR="00CA1115">
        <w:rPr>
          <w:sz w:val="20"/>
          <w:szCs w:val="20"/>
        </w:rPr>
        <w:t>Its</w:t>
      </w:r>
      <w:r w:rsidR="00BE5F69">
        <w:rPr>
          <w:sz w:val="20"/>
          <w:szCs w:val="20"/>
        </w:rPr>
        <w:t xml:space="preserve"> purpose is to facilitate </w:t>
      </w:r>
      <w:r w:rsidR="00515130" w:rsidRPr="006771EF">
        <w:rPr>
          <w:sz w:val="20"/>
          <w:szCs w:val="20"/>
        </w:rPr>
        <w:t>the external outreach of the SMF</w:t>
      </w:r>
      <w:r w:rsidR="00BE5F69">
        <w:rPr>
          <w:sz w:val="20"/>
          <w:szCs w:val="20"/>
        </w:rPr>
        <w:t>,</w:t>
      </w:r>
      <w:r w:rsidR="00515130" w:rsidRPr="006771EF">
        <w:rPr>
          <w:sz w:val="20"/>
          <w:szCs w:val="20"/>
        </w:rPr>
        <w:t xml:space="preserve"> </w:t>
      </w:r>
      <w:r w:rsidR="00BE5F69">
        <w:rPr>
          <w:sz w:val="20"/>
          <w:szCs w:val="20"/>
        </w:rPr>
        <w:t xml:space="preserve">to </w:t>
      </w:r>
      <w:r w:rsidR="00515130" w:rsidRPr="006771EF">
        <w:rPr>
          <w:sz w:val="20"/>
          <w:szCs w:val="20"/>
        </w:rPr>
        <w:t>assist with repor</w:t>
      </w:r>
      <w:r w:rsidR="00BE5F69">
        <w:rPr>
          <w:sz w:val="20"/>
          <w:szCs w:val="20"/>
        </w:rPr>
        <w:t>ting, and</w:t>
      </w:r>
      <w:r w:rsidR="00515130" w:rsidRPr="006771EF">
        <w:rPr>
          <w:sz w:val="20"/>
          <w:szCs w:val="20"/>
        </w:rPr>
        <w:t xml:space="preserve"> to</w:t>
      </w:r>
      <w:r w:rsidR="00CA1115">
        <w:rPr>
          <w:sz w:val="20"/>
          <w:szCs w:val="20"/>
        </w:rPr>
        <w:t xml:space="preserve"> develop</w:t>
      </w:r>
      <w:r w:rsidR="00515130" w:rsidRPr="006771EF">
        <w:rPr>
          <w:sz w:val="20"/>
          <w:szCs w:val="20"/>
        </w:rPr>
        <w:t xml:space="preserve"> the legacy and external awareness of the group.</w:t>
      </w:r>
      <w:r w:rsidR="00F74F97">
        <w:rPr>
          <w:sz w:val="20"/>
          <w:szCs w:val="20"/>
        </w:rPr>
        <w:t xml:space="preserve"> I was the only team </w:t>
      </w:r>
      <w:r w:rsidR="00F74F97" w:rsidRPr="006771EF">
        <w:rPr>
          <w:sz w:val="20"/>
          <w:szCs w:val="20"/>
        </w:rPr>
        <w:t xml:space="preserve">member </w:t>
      </w:r>
      <w:r w:rsidR="00F74F97">
        <w:rPr>
          <w:sz w:val="20"/>
          <w:szCs w:val="20"/>
        </w:rPr>
        <w:t xml:space="preserve">during the current semester, and as a new entrant, </w:t>
      </w:r>
      <w:r w:rsidR="00F74F97" w:rsidRPr="006771EF">
        <w:rPr>
          <w:sz w:val="20"/>
          <w:szCs w:val="20"/>
        </w:rPr>
        <w:t>reported to the Head of R&amp;C.</w:t>
      </w:r>
      <w:r w:rsidR="00F74F97">
        <w:rPr>
          <w:sz w:val="20"/>
          <w:szCs w:val="20"/>
        </w:rPr>
        <w:t xml:space="preserve"> </w:t>
      </w:r>
      <w:r w:rsidR="00F74F97" w:rsidRPr="006771EF">
        <w:rPr>
          <w:sz w:val="20"/>
          <w:szCs w:val="20"/>
        </w:rPr>
        <w:t xml:space="preserve"> </w:t>
      </w:r>
      <w:r w:rsidR="00515130" w:rsidRPr="006771EF">
        <w:rPr>
          <w:sz w:val="20"/>
          <w:szCs w:val="20"/>
        </w:rPr>
        <w:t xml:space="preserve"> </w:t>
      </w:r>
    </w:p>
    <w:p w14:paraId="36E66BED" w14:textId="70655981" w:rsidR="00515130" w:rsidRPr="006771EF" w:rsidRDefault="00515130" w:rsidP="00136215">
      <w:pPr>
        <w:spacing w:before="180" w:after="0"/>
        <w:rPr>
          <w:sz w:val="20"/>
          <w:szCs w:val="20"/>
        </w:rPr>
      </w:pPr>
      <w:r w:rsidRPr="006771EF">
        <w:rPr>
          <w:sz w:val="20"/>
          <w:szCs w:val="20"/>
        </w:rPr>
        <w:t>This semester started with building online platforms. After</w:t>
      </w:r>
      <w:r w:rsidR="00CA1115">
        <w:rPr>
          <w:sz w:val="20"/>
          <w:szCs w:val="20"/>
        </w:rPr>
        <w:t xml:space="preserve"> receiving advice from</w:t>
      </w:r>
      <w:r w:rsidRPr="006771EF">
        <w:rPr>
          <w:sz w:val="20"/>
          <w:szCs w:val="20"/>
        </w:rPr>
        <w:t xml:space="preserve"> CBE </w:t>
      </w:r>
      <w:r w:rsidR="00CA1115" w:rsidRPr="00CA1115">
        <w:rPr>
          <w:sz w:val="20"/>
          <w:szCs w:val="20"/>
        </w:rPr>
        <w:t xml:space="preserve">Communications </w:t>
      </w:r>
      <w:r w:rsidR="00CA1115">
        <w:rPr>
          <w:sz w:val="20"/>
          <w:szCs w:val="20"/>
        </w:rPr>
        <w:t xml:space="preserve">and </w:t>
      </w:r>
      <w:r w:rsidRPr="00CA1115">
        <w:rPr>
          <w:sz w:val="20"/>
          <w:szCs w:val="20"/>
        </w:rPr>
        <w:t>O</w:t>
      </w:r>
      <w:r w:rsidRPr="006771EF">
        <w:rPr>
          <w:sz w:val="20"/>
          <w:szCs w:val="20"/>
        </w:rPr>
        <w:t xml:space="preserve">utreach </w:t>
      </w:r>
      <w:r w:rsidR="00CA1115">
        <w:rPr>
          <w:sz w:val="20"/>
          <w:szCs w:val="20"/>
        </w:rPr>
        <w:t>Manager</w:t>
      </w:r>
      <w:r w:rsidRPr="006771EF">
        <w:rPr>
          <w:sz w:val="20"/>
          <w:szCs w:val="20"/>
        </w:rPr>
        <w:t xml:space="preserve">, </w:t>
      </w:r>
      <w:r w:rsidR="00CA1115">
        <w:rPr>
          <w:sz w:val="20"/>
          <w:szCs w:val="20"/>
        </w:rPr>
        <w:t xml:space="preserve">Andrew Pearson, </w:t>
      </w:r>
      <w:r w:rsidRPr="006771EF">
        <w:rPr>
          <w:sz w:val="20"/>
          <w:szCs w:val="20"/>
        </w:rPr>
        <w:t xml:space="preserve">the platforms were </w:t>
      </w:r>
      <w:r w:rsidR="00CA1115">
        <w:rPr>
          <w:sz w:val="20"/>
          <w:szCs w:val="20"/>
        </w:rPr>
        <w:t>developed</w:t>
      </w:r>
      <w:r w:rsidRPr="006771EF">
        <w:rPr>
          <w:sz w:val="20"/>
          <w:szCs w:val="20"/>
        </w:rPr>
        <w:t xml:space="preserve"> for different audiences and purposes. With the help of the other SMF members, the draft website page and Facebook page have been established</w:t>
      </w:r>
      <w:r w:rsidR="00CA1115">
        <w:rPr>
          <w:sz w:val="20"/>
          <w:szCs w:val="20"/>
        </w:rPr>
        <w:t xml:space="preserve">. </w:t>
      </w:r>
      <w:r w:rsidR="00F74F97">
        <w:rPr>
          <w:sz w:val="20"/>
          <w:szCs w:val="20"/>
        </w:rPr>
        <w:t>After</w:t>
      </w:r>
      <w:r w:rsidRPr="006771EF">
        <w:rPr>
          <w:sz w:val="20"/>
          <w:szCs w:val="20"/>
        </w:rPr>
        <w:t xml:space="preserve"> further modification</w:t>
      </w:r>
      <w:r w:rsidR="00CA1115">
        <w:rPr>
          <w:sz w:val="20"/>
          <w:szCs w:val="20"/>
        </w:rPr>
        <w:t>,</w:t>
      </w:r>
      <w:r w:rsidRPr="006771EF">
        <w:rPr>
          <w:sz w:val="20"/>
          <w:szCs w:val="20"/>
        </w:rPr>
        <w:t xml:space="preserve"> with the support of </w:t>
      </w:r>
      <w:r w:rsidR="00CA1115">
        <w:rPr>
          <w:sz w:val="20"/>
          <w:szCs w:val="20"/>
        </w:rPr>
        <w:t>in</w:t>
      </w:r>
      <w:r w:rsidRPr="006771EF">
        <w:rPr>
          <w:sz w:val="20"/>
          <w:szCs w:val="20"/>
        </w:rPr>
        <w:t xml:space="preserve">coming </w:t>
      </w:r>
      <w:r w:rsidR="00CA1115">
        <w:rPr>
          <w:sz w:val="20"/>
          <w:szCs w:val="20"/>
        </w:rPr>
        <w:t xml:space="preserve">team </w:t>
      </w:r>
      <w:r w:rsidRPr="006771EF">
        <w:rPr>
          <w:sz w:val="20"/>
          <w:szCs w:val="20"/>
        </w:rPr>
        <w:t>members</w:t>
      </w:r>
      <w:r w:rsidR="00F74F97">
        <w:rPr>
          <w:sz w:val="20"/>
          <w:szCs w:val="20"/>
        </w:rPr>
        <w:t xml:space="preserve">, we aim to launch these </w:t>
      </w:r>
      <w:r w:rsidR="0078560F">
        <w:rPr>
          <w:sz w:val="20"/>
          <w:szCs w:val="20"/>
        </w:rPr>
        <w:t xml:space="preserve">platforms </w:t>
      </w:r>
      <w:r w:rsidR="00F74F97">
        <w:rPr>
          <w:sz w:val="20"/>
          <w:szCs w:val="20"/>
        </w:rPr>
        <w:t>during the coming semester</w:t>
      </w:r>
      <w:r w:rsidRPr="006771EF">
        <w:rPr>
          <w:sz w:val="20"/>
          <w:szCs w:val="20"/>
        </w:rPr>
        <w:t xml:space="preserve">. </w:t>
      </w:r>
      <w:r w:rsidR="0078560F">
        <w:rPr>
          <w:sz w:val="20"/>
          <w:szCs w:val="20"/>
        </w:rPr>
        <w:t xml:space="preserve">I was also involved in </w:t>
      </w:r>
      <w:r w:rsidR="00B23B4A">
        <w:rPr>
          <w:sz w:val="20"/>
          <w:szCs w:val="20"/>
        </w:rPr>
        <w:t>significant engagements in</w:t>
      </w:r>
      <w:r w:rsidR="00CA1115">
        <w:rPr>
          <w:sz w:val="20"/>
          <w:szCs w:val="20"/>
        </w:rPr>
        <w:t xml:space="preserve"> encouraging student </w:t>
      </w:r>
      <w:r w:rsidRPr="006771EF">
        <w:rPr>
          <w:sz w:val="20"/>
          <w:szCs w:val="20"/>
        </w:rPr>
        <w:t>applications</w:t>
      </w:r>
      <w:r w:rsidR="0078560F">
        <w:rPr>
          <w:sz w:val="20"/>
          <w:szCs w:val="20"/>
        </w:rPr>
        <w:t>, and communicating</w:t>
      </w:r>
      <w:r w:rsidRPr="006771EF">
        <w:rPr>
          <w:sz w:val="20"/>
          <w:szCs w:val="20"/>
        </w:rPr>
        <w:t xml:space="preserve"> with first-year students. </w:t>
      </w:r>
      <w:r w:rsidR="0078560F">
        <w:rPr>
          <w:sz w:val="20"/>
          <w:szCs w:val="20"/>
        </w:rPr>
        <w:t xml:space="preserve">I </w:t>
      </w:r>
      <w:r w:rsidRPr="006771EF">
        <w:rPr>
          <w:sz w:val="20"/>
          <w:szCs w:val="20"/>
        </w:rPr>
        <w:t xml:space="preserve">was </w:t>
      </w:r>
      <w:r w:rsidR="00CA1115">
        <w:rPr>
          <w:sz w:val="20"/>
          <w:szCs w:val="20"/>
        </w:rPr>
        <w:t xml:space="preserve">also </w:t>
      </w:r>
      <w:r w:rsidRPr="006771EF">
        <w:rPr>
          <w:sz w:val="20"/>
          <w:szCs w:val="20"/>
        </w:rPr>
        <w:t xml:space="preserve">responsible for </w:t>
      </w:r>
      <w:r w:rsidR="00CA1115">
        <w:rPr>
          <w:sz w:val="20"/>
          <w:szCs w:val="20"/>
        </w:rPr>
        <w:t>overseeing the production of this</w:t>
      </w:r>
      <w:r w:rsidRPr="006771EF">
        <w:rPr>
          <w:sz w:val="20"/>
          <w:szCs w:val="20"/>
        </w:rPr>
        <w:t xml:space="preserve"> report</w:t>
      </w:r>
      <w:r w:rsidR="0078560F">
        <w:rPr>
          <w:sz w:val="20"/>
          <w:szCs w:val="20"/>
        </w:rPr>
        <w:t>,</w:t>
      </w:r>
      <w:r w:rsidR="00CA1115">
        <w:rPr>
          <w:sz w:val="20"/>
          <w:szCs w:val="20"/>
        </w:rPr>
        <w:t xml:space="preserve"> and taking </w:t>
      </w:r>
      <w:r w:rsidRPr="006771EF">
        <w:rPr>
          <w:sz w:val="20"/>
          <w:szCs w:val="20"/>
        </w:rPr>
        <w:t xml:space="preserve">minutes </w:t>
      </w:r>
      <w:r w:rsidR="00CA1115">
        <w:rPr>
          <w:sz w:val="20"/>
          <w:szCs w:val="20"/>
        </w:rPr>
        <w:t xml:space="preserve">at the regular SMF </w:t>
      </w:r>
      <w:r w:rsidR="0078560F">
        <w:rPr>
          <w:sz w:val="20"/>
          <w:szCs w:val="20"/>
        </w:rPr>
        <w:t>T</w:t>
      </w:r>
      <w:r w:rsidR="00CA1115">
        <w:rPr>
          <w:sz w:val="20"/>
          <w:szCs w:val="20"/>
        </w:rPr>
        <w:t>eam meetings</w:t>
      </w:r>
      <w:r w:rsidR="0078560F">
        <w:rPr>
          <w:sz w:val="20"/>
          <w:szCs w:val="20"/>
        </w:rPr>
        <w:t>.</w:t>
      </w:r>
    </w:p>
    <w:p w14:paraId="40C725C9" w14:textId="765D9F79" w:rsidR="00515130" w:rsidRPr="006771EF" w:rsidRDefault="00515130" w:rsidP="00136215">
      <w:pPr>
        <w:spacing w:before="180" w:after="0"/>
        <w:rPr>
          <w:sz w:val="20"/>
          <w:szCs w:val="20"/>
        </w:rPr>
      </w:pPr>
      <w:r w:rsidRPr="006771EF">
        <w:rPr>
          <w:sz w:val="20"/>
          <w:szCs w:val="20"/>
        </w:rPr>
        <w:t xml:space="preserve">Next semester, the </w:t>
      </w:r>
      <w:r w:rsidR="00CA1115">
        <w:rPr>
          <w:sz w:val="20"/>
          <w:szCs w:val="20"/>
        </w:rPr>
        <w:t>R</w:t>
      </w:r>
      <w:r w:rsidRPr="006771EF">
        <w:rPr>
          <w:sz w:val="20"/>
          <w:szCs w:val="20"/>
        </w:rPr>
        <w:t xml:space="preserve">elationship </w:t>
      </w:r>
      <w:r w:rsidR="0078560F">
        <w:rPr>
          <w:sz w:val="20"/>
          <w:szCs w:val="20"/>
        </w:rPr>
        <w:t>T</w:t>
      </w:r>
      <w:r w:rsidRPr="006771EF">
        <w:rPr>
          <w:sz w:val="20"/>
          <w:szCs w:val="20"/>
        </w:rPr>
        <w:t>eam will welcome two new members</w:t>
      </w:r>
      <w:r w:rsidR="00637545">
        <w:rPr>
          <w:sz w:val="20"/>
          <w:szCs w:val="20"/>
        </w:rPr>
        <w:t xml:space="preserve"> (one shared with the R&amp;C </w:t>
      </w:r>
      <w:r w:rsidR="0078560F">
        <w:rPr>
          <w:sz w:val="20"/>
          <w:szCs w:val="20"/>
        </w:rPr>
        <w:t>T</w:t>
      </w:r>
      <w:r w:rsidR="00637545">
        <w:rPr>
          <w:sz w:val="20"/>
          <w:szCs w:val="20"/>
        </w:rPr>
        <w:t>eam). These new members</w:t>
      </w:r>
      <w:r w:rsidR="00CA1115">
        <w:rPr>
          <w:sz w:val="20"/>
          <w:szCs w:val="20"/>
        </w:rPr>
        <w:t xml:space="preserve"> will spur </w:t>
      </w:r>
      <w:r w:rsidRPr="006771EF">
        <w:rPr>
          <w:sz w:val="20"/>
          <w:szCs w:val="20"/>
        </w:rPr>
        <w:t xml:space="preserve">on </w:t>
      </w:r>
      <w:r w:rsidR="00CA1115">
        <w:rPr>
          <w:sz w:val="20"/>
          <w:szCs w:val="20"/>
        </w:rPr>
        <w:t xml:space="preserve">the </w:t>
      </w:r>
      <w:r w:rsidR="00190210">
        <w:rPr>
          <w:sz w:val="20"/>
          <w:szCs w:val="20"/>
        </w:rPr>
        <w:t>development</w:t>
      </w:r>
      <w:r w:rsidR="00190210" w:rsidRPr="006771EF">
        <w:rPr>
          <w:sz w:val="20"/>
          <w:szCs w:val="20"/>
        </w:rPr>
        <w:t xml:space="preserve"> </w:t>
      </w:r>
      <w:r w:rsidRPr="006771EF">
        <w:rPr>
          <w:sz w:val="20"/>
          <w:szCs w:val="20"/>
        </w:rPr>
        <w:t xml:space="preserve">and maintenance of the online platform, </w:t>
      </w:r>
      <w:r w:rsidR="00637545">
        <w:rPr>
          <w:sz w:val="20"/>
          <w:szCs w:val="20"/>
        </w:rPr>
        <w:t xml:space="preserve">and </w:t>
      </w:r>
      <w:r w:rsidRPr="006771EF">
        <w:rPr>
          <w:sz w:val="20"/>
          <w:szCs w:val="20"/>
        </w:rPr>
        <w:t>assist</w:t>
      </w:r>
      <w:r w:rsidR="00637545">
        <w:rPr>
          <w:sz w:val="20"/>
          <w:szCs w:val="20"/>
        </w:rPr>
        <w:t xml:space="preserve"> with the reporting </w:t>
      </w:r>
      <w:r w:rsidRPr="006771EF">
        <w:rPr>
          <w:sz w:val="20"/>
          <w:szCs w:val="20"/>
        </w:rPr>
        <w:t>and other outreach communications</w:t>
      </w:r>
      <w:r w:rsidR="00637545">
        <w:rPr>
          <w:sz w:val="20"/>
          <w:szCs w:val="20"/>
        </w:rPr>
        <w:t xml:space="preserve"> and activities</w:t>
      </w:r>
      <w:r w:rsidRPr="006771EF">
        <w:rPr>
          <w:sz w:val="20"/>
          <w:szCs w:val="20"/>
        </w:rPr>
        <w:t>.</w:t>
      </w:r>
    </w:p>
    <w:p w14:paraId="33015CD2" w14:textId="0C2AE169" w:rsidR="00E75E0D" w:rsidRPr="006771EF" w:rsidRDefault="00E75E0D" w:rsidP="00136215">
      <w:pPr>
        <w:spacing w:before="180" w:after="0"/>
        <w:rPr>
          <w:i/>
          <w:sz w:val="20"/>
          <w:szCs w:val="20"/>
          <w:lang w:val="en-US"/>
        </w:rPr>
      </w:pPr>
      <w:r w:rsidRPr="006771EF">
        <w:rPr>
          <w:i/>
          <w:sz w:val="20"/>
          <w:szCs w:val="20"/>
          <w:lang w:val="en-US"/>
        </w:rPr>
        <w:t xml:space="preserve">Ruolin </w:t>
      </w:r>
      <w:r w:rsidR="006E40EA">
        <w:rPr>
          <w:i/>
          <w:sz w:val="20"/>
          <w:szCs w:val="20"/>
          <w:lang w:val="en-US"/>
        </w:rPr>
        <w:t xml:space="preserve">(Alex) </w:t>
      </w:r>
      <w:r w:rsidRPr="006771EF">
        <w:rPr>
          <w:i/>
          <w:sz w:val="20"/>
          <w:szCs w:val="20"/>
          <w:lang w:val="en-US"/>
        </w:rPr>
        <w:t>Mai, Relationship Manager</w:t>
      </w:r>
    </w:p>
    <w:p w14:paraId="44067B9F" w14:textId="5BACF61E" w:rsidR="006E40EA" w:rsidRDefault="006E40EA">
      <w:pPr>
        <w:widowControl/>
        <w:spacing w:line="312" w:lineRule="auto"/>
        <w:jc w:val="left"/>
        <w:rPr>
          <w:rFonts w:eastAsiaTheme="minorEastAsia"/>
          <w:b/>
          <w:color w:val="4472C4" w:themeColor="accent1"/>
          <w:spacing w:val="15"/>
          <w:lang w:eastAsia="zh-CN"/>
        </w:rPr>
      </w:pPr>
      <w:r>
        <w:rPr>
          <w:lang w:eastAsia="zh-CN"/>
        </w:rPr>
        <w:br w:type="page"/>
      </w:r>
    </w:p>
    <w:p w14:paraId="2EE694BE" w14:textId="60BD3132" w:rsidR="00380F71" w:rsidRPr="00136215" w:rsidRDefault="00380F71" w:rsidP="00380F71">
      <w:pPr>
        <w:pStyle w:val="Heading1"/>
        <w:rPr>
          <w:sz w:val="24"/>
          <w:szCs w:val="24"/>
          <w:lang w:eastAsia="zh-CN"/>
        </w:rPr>
      </w:pPr>
      <w:bookmarkStart w:id="20" w:name="_Toc517159295"/>
      <w:r w:rsidRPr="00136215">
        <w:rPr>
          <w:sz w:val="24"/>
          <w:szCs w:val="24"/>
          <w:lang w:eastAsia="zh-CN"/>
        </w:rPr>
        <w:lastRenderedPageBreak/>
        <w:t>Portfolio Overview</w:t>
      </w:r>
      <w:bookmarkEnd w:id="20"/>
    </w:p>
    <w:p w14:paraId="14B0D936" w14:textId="1D7FAA79" w:rsidR="00380F71" w:rsidRPr="006771EF" w:rsidRDefault="00380F71" w:rsidP="00C25D62">
      <w:pPr>
        <w:spacing w:before="180" w:after="0"/>
        <w:rPr>
          <w:sz w:val="20"/>
          <w:szCs w:val="20"/>
          <w:lang w:val="en-US"/>
        </w:rPr>
      </w:pPr>
      <w:r w:rsidRPr="006771EF">
        <w:rPr>
          <w:sz w:val="20"/>
          <w:szCs w:val="20"/>
          <w:lang w:val="en-US"/>
        </w:rPr>
        <w:t xml:space="preserve">Upon </w:t>
      </w:r>
      <w:r w:rsidR="00637545">
        <w:rPr>
          <w:sz w:val="20"/>
          <w:szCs w:val="20"/>
          <w:lang w:val="en-US"/>
        </w:rPr>
        <w:t>establishment of the administration account with the BT Panorama investment pl</w:t>
      </w:r>
      <w:r w:rsidR="004F5205">
        <w:rPr>
          <w:sz w:val="20"/>
          <w:szCs w:val="20"/>
          <w:lang w:val="en-US"/>
        </w:rPr>
        <w:t>atform</w:t>
      </w:r>
      <w:r w:rsidR="00637545">
        <w:rPr>
          <w:sz w:val="20"/>
          <w:szCs w:val="20"/>
          <w:lang w:val="en-US"/>
        </w:rPr>
        <w:t xml:space="preserve">, </w:t>
      </w:r>
      <w:r w:rsidRPr="006771EF">
        <w:rPr>
          <w:sz w:val="20"/>
          <w:szCs w:val="20"/>
          <w:lang w:val="en-US"/>
        </w:rPr>
        <w:t xml:space="preserve">the </w:t>
      </w:r>
      <w:r w:rsidR="00637545">
        <w:rPr>
          <w:sz w:val="20"/>
          <w:szCs w:val="20"/>
          <w:lang w:val="en-US"/>
        </w:rPr>
        <w:t xml:space="preserve">cash </w:t>
      </w:r>
      <w:r w:rsidRPr="006771EF">
        <w:rPr>
          <w:sz w:val="20"/>
          <w:szCs w:val="20"/>
          <w:lang w:val="en-US"/>
        </w:rPr>
        <w:t xml:space="preserve">allocated </w:t>
      </w:r>
      <w:r w:rsidR="004F5205">
        <w:rPr>
          <w:sz w:val="20"/>
          <w:szCs w:val="20"/>
          <w:lang w:val="en-US"/>
        </w:rPr>
        <w:t xml:space="preserve">to the SMF was transferred </w:t>
      </w:r>
      <w:r w:rsidR="00F123D4">
        <w:rPr>
          <w:sz w:val="20"/>
          <w:szCs w:val="20"/>
          <w:lang w:val="en-US"/>
        </w:rPr>
        <w:t>and</w:t>
      </w:r>
      <w:r w:rsidR="00637545">
        <w:rPr>
          <w:sz w:val="20"/>
          <w:szCs w:val="20"/>
          <w:lang w:val="en-US"/>
        </w:rPr>
        <w:t xml:space="preserve"> subsequently </w:t>
      </w:r>
      <w:r w:rsidRPr="006771EF">
        <w:rPr>
          <w:sz w:val="20"/>
          <w:szCs w:val="20"/>
          <w:lang w:val="en-US"/>
        </w:rPr>
        <w:t xml:space="preserve">invested into the SMF </w:t>
      </w:r>
      <w:r w:rsidR="00637545">
        <w:rPr>
          <w:sz w:val="20"/>
          <w:szCs w:val="20"/>
          <w:lang w:val="en-US"/>
        </w:rPr>
        <w:t>Reference</w:t>
      </w:r>
      <w:r w:rsidRPr="006771EF">
        <w:rPr>
          <w:sz w:val="20"/>
          <w:szCs w:val="20"/>
          <w:lang w:val="en-US"/>
        </w:rPr>
        <w:t xml:space="preserve"> </w:t>
      </w:r>
      <w:r w:rsidR="00637545">
        <w:rPr>
          <w:sz w:val="20"/>
          <w:szCs w:val="20"/>
          <w:lang w:val="en-US"/>
        </w:rPr>
        <w:t>P</w:t>
      </w:r>
      <w:r w:rsidRPr="006771EF">
        <w:rPr>
          <w:sz w:val="20"/>
          <w:szCs w:val="20"/>
          <w:lang w:val="en-US"/>
        </w:rPr>
        <w:t>ortfolio</w:t>
      </w:r>
      <w:r w:rsidR="00DF6E90">
        <w:rPr>
          <w:sz w:val="20"/>
          <w:szCs w:val="20"/>
          <w:lang w:val="en-US"/>
        </w:rPr>
        <w:t xml:space="preserve"> as per the SMF Investment Policy Statement</w:t>
      </w:r>
      <w:r w:rsidRPr="006771EF">
        <w:rPr>
          <w:sz w:val="20"/>
          <w:szCs w:val="20"/>
          <w:lang w:val="en-US"/>
        </w:rPr>
        <w:t xml:space="preserve">. </w:t>
      </w:r>
      <w:r w:rsidR="00DF6E90">
        <w:rPr>
          <w:sz w:val="20"/>
          <w:szCs w:val="20"/>
          <w:lang w:val="en-US"/>
        </w:rPr>
        <w:t>Investment in the Reference Portfolio is</w:t>
      </w:r>
      <w:r w:rsidR="00F123D4">
        <w:rPr>
          <w:sz w:val="20"/>
          <w:szCs w:val="20"/>
          <w:lang w:val="en-US"/>
        </w:rPr>
        <w:t xml:space="preserve"> implemented via ETFs</w:t>
      </w:r>
      <w:r w:rsidR="00DF6E90">
        <w:rPr>
          <w:sz w:val="20"/>
          <w:szCs w:val="20"/>
          <w:lang w:val="en-US"/>
        </w:rPr>
        <w:t>,</w:t>
      </w:r>
      <w:r w:rsidR="00F123D4">
        <w:rPr>
          <w:sz w:val="20"/>
          <w:szCs w:val="20"/>
          <w:lang w:val="en-US"/>
        </w:rPr>
        <w:t xml:space="preserve"> and </w:t>
      </w:r>
      <w:r w:rsidR="00DF6E90">
        <w:rPr>
          <w:sz w:val="20"/>
          <w:szCs w:val="20"/>
          <w:lang w:val="en-US"/>
        </w:rPr>
        <w:t xml:space="preserve">provides </w:t>
      </w:r>
      <w:r w:rsidR="00637545">
        <w:rPr>
          <w:sz w:val="20"/>
          <w:szCs w:val="20"/>
          <w:lang w:val="en-US"/>
        </w:rPr>
        <w:t xml:space="preserve">the baseline benchmark asset allocation to be held in the absence of any active recommendations. </w:t>
      </w:r>
      <w:r w:rsidRPr="006771EF">
        <w:rPr>
          <w:sz w:val="20"/>
          <w:szCs w:val="20"/>
          <w:lang w:val="en-US"/>
        </w:rPr>
        <w:t>Th</w:t>
      </w:r>
      <w:r w:rsidR="004F5205">
        <w:rPr>
          <w:sz w:val="20"/>
          <w:szCs w:val="20"/>
          <w:lang w:val="en-US"/>
        </w:rPr>
        <w:t>is process was completed on 16</w:t>
      </w:r>
      <w:r w:rsidR="004F5205" w:rsidRPr="002312F9">
        <w:rPr>
          <w:sz w:val="20"/>
          <w:szCs w:val="20"/>
          <w:vertAlign w:val="superscript"/>
          <w:lang w:val="en-US"/>
        </w:rPr>
        <w:t>th</w:t>
      </w:r>
      <w:r w:rsidR="0077433F">
        <w:rPr>
          <w:sz w:val="20"/>
          <w:szCs w:val="20"/>
          <w:lang w:val="en-US"/>
        </w:rPr>
        <w:t xml:space="preserve"> </w:t>
      </w:r>
      <w:r w:rsidR="004F5205">
        <w:rPr>
          <w:sz w:val="20"/>
          <w:szCs w:val="20"/>
          <w:lang w:val="en-US"/>
        </w:rPr>
        <w:t>April 2018, with the</w:t>
      </w:r>
      <w:r w:rsidRPr="006771EF">
        <w:rPr>
          <w:sz w:val="20"/>
          <w:szCs w:val="20"/>
          <w:lang w:val="en-US"/>
        </w:rPr>
        <w:t xml:space="preserve"> initial asset allocation illustrated in Figure 1. </w:t>
      </w:r>
      <w:r w:rsidR="00637545">
        <w:rPr>
          <w:sz w:val="20"/>
          <w:szCs w:val="20"/>
          <w:lang w:val="en-US"/>
        </w:rPr>
        <w:t>S</w:t>
      </w:r>
      <w:r w:rsidRPr="006771EF">
        <w:rPr>
          <w:sz w:val="20"/>
          <w:szCs w:val="20"/>
          <w:lang w:val="en-US"/>
        </w:rPr>
        <w:t>ubsequent</w:t>
      </w:r>
      <w:r w:rsidR="00637545">
        <w:rPr>
          <w:sz w:val="20"/>
          <w:szCs w:val="20"/>
          <w:lang w:val="en-US"/>
        </w:rPr>
        <w:t xml:space="preserve">ly, the </w:t>
      </w:r>
      <w:r w:rsidR="004F5205">
        <w:rPr>
          <w:sz w:val="20"/>
          <w:szCs w:val="20"/>
          <w:lang w:val="en-US"/>
        </w:rPr>
        <w:t xml:space="preserve">SMF </w:t>
      </w:r>
      <w:r w:rsidR="00637545">
        <w:rPr>
          <w:sz w:val="20"/>
          <w:szCs w:val="20"/>
          <w:lang w:val="en-US"/>
        </w:rPr>
        <w:t xml:space="preserve">IAC </w:t>
      </w:r>
      <w:r w:rsidRPr="006771EF">
        <w:rPr>
          <w:sz w:val="20"/>
          <w:szCs w:val="20"/>
          <w:lang w:val="en-US"/>
        </w:rPr>
        <w:t xml:space="preserve">approved recommendations </w:t>
      </w:r>
      <w:r w:rsidR="00637545">
        <w:rPr>
          <w:sz w:val="20"/>
          <w:szCs w:val="20"/>
          <w:lang w:val="en-US"/>
        </w:rPr>
        <w:t>for active investments in</w:t>
      </w:r>
      <w:r w:rsidRPr="006771EF">
        <w:rPr>
          <w:sz w:val="20"/>
          <w:szCs w:val="20"/>
          <w:lang w:val="en-US"/>
        </w:rPr>
        <w:t xml:space="preserve"> Telstra and Rio Tinto</w:t>
      </w:r>
      <w:r w:rsidR="00637545">
        <w:rPr>
          <w:sz w:val="20"/>
          <w:szCs w:val="20"/>
          <w:lang w:val="en-US"/>
        </w:rPr>
        <w:t xml:space="preserve"> equivalent to 6% and 3% of the </w:t>
      </w:r>
      <w:r w:rsidR="009D2BB3">
        <w:rPr>
          <w:sz w:val="20"/>
          <w:szCs w:val="20"/>
          <w:lang w:val="en-US"/>
        </w:rPr>
        <w:t>AAE</w:t>
      </w:r>
      <w:r w:rsidR="00637545">
        <w:rPr>
          <w:sz w:val="20"/>
          <w:szCs w:val="20"/>
          <w:lang w:val="en-US"/>
        </w:rPr>
        <w:t xml:space="preserve"> component</w:t>
      </w:r>
      <w:r w:rsidR="004F5205">
        <w:rPr>
          <w:sz w:val="20"/>
          <w:szCs w:val="20"/>
          <w:lang w:val="en-US"/>
        </w:rPr>
        <w:t>,</w:t>
      </w:r>
      <w:r w:rsidR="00637545">
        <w:rPr>
          <w:sz w:val="20"/>
          <w:szCs w:val="20"/>
          <w:lang w:val="en-US"/>
        </w:rPr>
        <w:t xml:space="preserve"> respectively. </w:t>
      </w:r>
      <w:r w:rsidR="004F5205">
        <w:rPr>
          <w:sz w:val="20"/>
          <w:szCs w:val="20"/>
          <w:lang w:val="en-US"/>
        </w:rPr>
        <w:t>The</w:t>
      </w:r>
      <w:r w:rsidR="0077433F">
        <w:rPr>
          <w:sz w:val="20"/>
          <w:szCs w:val="20"/>
          <w:lang w:val="en-US"/>
        </w:rPr>
        <w:t>se</w:t>
      </w:r>
      <w:r w:rsidR="004F5205">
        <w:rPr>
          <w:sz w:val="20"/>
          <w:szCs w:val="20"/>
          <w:lang w:val="en-US"/>
        </w:rPr>
        <w:t xml:space="preserve"> purchases were </w:t>
      </w:r>
      <w:r w:rsidR="0077433F">
        <w:rPr>
          <w:sz w:val="20"/>
          <w:szCs w:val="20"/>
          <w:lang w:val="en-US"/>
        </w:rPr>
        <w:t>completed on</w:t>
      </w:r>
      <w:r w:rsidR="004F5205">
        <w:rPr>
          <w:sz w:val="20"/>
          <w:szCs w:val="20"/>
          <w:lang w:val="en-US"/>
        </w:rPr>
        <w:t xml:space="preserve"> 22</w:t>
      </w:r>
      <w:r w:rsidR="004F5205" w:rsidRPr="002312F9">
        <w:rPr>
          <w:sz w:val="20"/>
          <w:szCs w:val="20"/>
          <w:vertAlign w:val="superscript"/>
          <w:lang w:val="en-US"/>
        </w:rPr>
        <w:t>nd</w:t>
      </w:r>
      <w:r w:rsidR="004F5205">
        <w:rPr>
          <w:sz w:val="20"/>
          <w:szCs w:val="20"/>
          <w:lang w:val="en-US"/>
        </w:rPr>
        <w:t xml:space="preserve"> May 2018, </w:t>
      </w:r>
      <w:r w:rsidR="0077433F">
        <w:rPr>
          <w:sz w:val="20"/>
          <w:szCs w:val="20"/>
          <w:lang w:val="en-US"/>
        </w:rPr>
        <w:t xml:space="preserve">and were </w:t>
      </w:r>
      <w:r w:rsidR="004F5205">
        <w:rPr>
          <w:sz w:val="20"/>
          <w:szCs w:val="20"/>
          <w:lang w:val="en-US"/>
        </w:rPr>
        <w:t xml:space="preserve">funded </w:t>
      </w:r>
      <w:r w:rsidR="0077433F">
        <w:rPr>
          <w:sz w:val="20"/>
          <w:szCs w:val="20"/>
          <w:lang w:val="en-US"/>
        </w:rPr>
        <w:t xml:space="preserve">from </w:t>
      </w:r>
      <w:r w:rsidR="004F5205">
        <w:rPr>
          <w:sz w:val="20"/>
          <w:szCs w:val="20"/>
          <w:lang w:val="en-US"/>
        </w:rPr>
        <w:t>the S&amp;P/ASX200 ETF</w:t>
      </w:r>
      <w:r w:rsidR="00DF6E90">
        <w:rPr>
          <w:sz w:val="20"/>
          <w:szCs w:val="20"/>
          <w:lang w:val="en-US"/>
        </w:rPr>
        <w:t>. The current portfolio</w:t>
      </w:r>
      <w:r w:rsidR="00637545">
        <w:rPr>
          <w:sz w:val="20"/>
          <w:szCs w:val="20"/>
          <w:lang w:val="en-US"/>
        </w:rPr>
        <w:t xml:space="preserve"> weights</w:t>
      </w:r>
      <w:r w:rsidRPr="006771EF">
        <w:rPr>
          <w:sz w:val="20"/>
          <w:szCs w:val="20"/>
          <w:lang w:val="en-US"/>
        </w:rPr>
        <w:t xml:space="preserve">, </w:t>
      </w:r>
      <w:r w:rsidR="00637545">
        <w:rPr>
          <w:sz w:val="20"/>
          <w:szCs w:val="20"/>
          <w:lang w:val="en-US"/>
        </w:rPr>
        <w:t xml:space="preserve">which include </w:t>
      </w:r>
      <w:r w:rsidRPr="006771EF">
        <w:rPr>
          <w:sz w:val="20"/>
          <w:szCs w:val="20"/>
          <w:lang w:val="en-US"/>
        </w:rPr>
        <w:t xml:space="preserve">the </w:t>
      </w:r>
      <w:r w:rsidR="00637545">
        <w:rPr>
          <w:sz w:val="20"/>
          <w:szCs w:val="20"/>
          <w:lang w:val="en-US"/>
        </w:rPr>
        <w:t>investment</w:t>
      </w:r>
      <w:r w:rsidR="0077433F">
        <w:rPr>
          <w:sz w:val="20"/>
          <w:szCs w:val="20"/>
          <w:lang w:val="en-US"/>
        </w:rPr>
        <w:t>s</w:t>
      </w:r>
      <w:r w:rsidR="00637545">
        <w:rPr>
          <w:sz w:val="20"/>
          <w:szCs w:val="20"/>
          <w:lang w:val="en-US"/>
        </w:rPr>
        <w:t xml:space="preserve"> in these two stocks, </w:t>
      </w:r>
      <w:r w:rsidR="00073060">
        <w:rPr>
          <w:sz w:val="20"/>
          <w:szCs w:val="20"/>
          <w:lang w:val="en-US"/>
        </w:rPr>
        <w:t>are</w:t>
      </w:r>
      <w:r w:rsidR="00073060" w:rsidRPr="006771EF">
        <w:rPr>
          <w:sz w:val="20"/>
          <w:szCs w:val="20"/>
          <w:lang w:val="en-US"/>
        </w:rPr>
        <w:t xml:space="preserve"> </w:t>
      </w:r>
      <w:r w:rsidR="00C25D62">
        <w:rPr>
          <w:sz w:val="20"/>
          <w:szCs w:val="20"/>
          <w:lang w:val="en-US"/>
        </w:rPr>
        <w:t xml:space="preserve">illustrated in Figure 2. </w:t>
      </w:r>
    </w:p>
    <w:p w14:paraId="5F89ACE7" w14:textId="53866DAC" w:rsidR="00380F71" w:rsidRPr="006771EF" w:rsidRDefault="00380F71" w:rsidP="00C25D62">
      <w:pPr>
        <w:pStyle w:val="TableFigure"/>
        <w:spacing w:before="360" w:after="40"/>
        <w:ind w:left="1267"/>
        <w:rPr>
          <w:sz w:val="20"/>
          <w:szCs w:val="20"/>
          <w:lang w:val="en-US"/>
        </w:rPr>
      </w:pPr>
      <w:r w:rsidRPr="006771EF">
        <w:rPr>
          <w:sz w:val="20"/>
          <w:szCs w:val="20"/>
          <w:lang w:val="en-US" w:eastAsia="zh-CN"/>
        </w:rPr>
        <w:t xml:space="preserve">Figure 1: </w:t>
      </w:r>
      <w:r w:rsidR="00DF6E90">
        <w:rPr>
          <w:sz w:val="20"/>
          <w:szCs w:val="20"/>
          <w:lang w:val="en-US"/>
        </w:rPr>
        <w:t>Asset Allocation as at 16/</w:t>
      </w:r>
      <w:r w:rsidRPr="006771EF">
        <w:rPr>
          <w:sz w:val="20"/>
          <w:szCs w:val="20"/>
          <w:lang w:val="en-US"/>
        </w:rPr>
        <w:t>4/2018</w:t>
      </w:r>
    </w:p>
    <w:p w14:paraId="3FBB1447" w14:textId="77777777" w:rsidR="00380F71" w:rsidRPr="006771EF" w:rsidRDefault="00380F71" w:rsidP="00380F71">
      <w:pPr>
        <w:pStyle w:val="TableFigure"/>
        <w:jc w:val="center"/>
        <w:rPr>
          <w:sz w:val="20"/>
          <w:szCs w:val="20"/>
          <w:lang w:val="en-US" w:eastAsia="zh-CN"/>
        </w:rPr>
      </w:pPr>
      <w:r w:rsidRPr="006771EF">
        <w:rPr>
          <w:noProof/>
          <w:sz w:val="20"/>
          <w:szCs w:val="20"/>
          <w:lang w:eastAsia="en-AU"/>
        </w:rPr>
        <w:drawing>
          <wp:inline distT="0" distB="0" distL="0" distR="0" wp14:anchorId="0CAE6BA4" wp14:editId="19E7867F">
            <wp:extent cx="4572000" cy="3019424"/>
            <wp:effectExtent l="0" t="0" r="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05B306" w14:textId="05D50F04" w:rsidR="00380F71" w:rsidRPr="006771EF" w:rsidRDefault="00380F71" w:rsidP="006E40EA">
      <w:pPr>
        <w:pStyle w:val="TableFigure"/>
        <w:spacing w:before="240" w:after="40"/>
        <w:ind w:left="1267"/>
        <w:rPr>
          <w:sz w:val="20"/>
          <w:szCs w:val="20"/>
          <w:lang w:val="en-US" w:eastAsia="zh-CN"/>
        </w:rPr>
      </w:pPr>
      <w:r w:rsidRPr="006771EF">
        <w:rPr>
          <w:sz w:val="20"/>
          <w:szCs w:val="20"/>
          <w:lang w:val="en-US" w:eastAsia="zh-CN"/>
        </w:rPr>
        <w:t>Fi</w:t>
      </w:r>
      <w:r w:rsidR="00DF6E90">
        <w:rPr>
          <w:sz w:val="20"/>
          <w:szCs w:val="20"/>
          <w:lang w:val="en-US" w:eastAsia="zh-CN"/>
        </w:rPr>
        <w:t>gure 2: Asset Allocation as at 9/</w:t>
      </w:r>
      <w:r w:rsidRPr="006771EF">
        <w:rPr>
          <w:sz w:val="20"/>
          <w:szCs w:val="20"/>
          <w:lang w:val="en-US" w:eastAsia="zh-CN"/>
        </w:rPr>
        <w:t>6/2018</w:t>
      </w:r>
    </w:p>
    <w:p w14:paraId="00B1AEBF" w14:textId="77777777" w:rsidR="00380F71" w:rsidRPr="006771EF" w:rsidRDefault="00380F71" w:rsidP="00380F71">
      <w:pPr>
        <w:pStyle w:val="TableFigure"/>
        <w:jc w:val="center"/>
        <w:rPr>
          <w:sz w:val="20"/>
          <w:szCs w:val="20"/>
          <w:lang w:val="en-US" w:eastAsia="zh-CN"/>
        </w:rPr>
      </w:pPr>
      <w:r w:rsidRPr="006771EF">
        <w:rPr>
          <w:noProof/>
          <w:sz w:val="20"/>
          <w:szCs w:val="20"/>
          <w:lang w:eastAsia="en-AU"/>
        </w:rPr>
        <w:drawing>
          <wp:inline distT="0" distB="0" distL="0" distR="0" wp14:anchorId="113C9FEE" wp14:editId="5DD02EDF">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4B371D" w14:textId="77777777" w:rsidR="00C25D62" w:rsidRDefault="002F1E7D" w:rsidP="00C25D62">
      <w:pPr>
        <w:spacing w:before="180" w:after="0"/>
        <w:rPr>
          <w:sz w:val="20"/>
          <w:szCs w:val="20"/>
        </w:rPr>
      </w:pPr>
      <w:r>
        <w:rPr>
          <w:sz w:val="22"/>
          <w:szCs w:val="22"/>
          <w:lang w:val="en-US"/>
        </w:rPr>
        <w:br/>
      </w:r>
    </w:p>
    <w:p w14:paraId="6520163A" w14:textId="77777777" w:rsidR="00C25D62" w:rsidRDefault="00C25D62">
      <w:pPr>
        <w:widowControl/>
        <w:spacing w:line="312" w:lineRule="auto"/>
        <w:jc w:val="left"/>
        <w:rPr>
          <w:sz w:val="20"/>
          <w:szCs w:val="20"/>
        </w:rPr>
      </w:pPr>
      <w:r>
        <w:rPr>
          <w:sz w:val="20"/>
          <w:szCs w:val="20"/>
        </w:rPr>
        <w:br w:type="page"/>
      </w:r>
    </w:p>
    <w:p w14:paraId="1FE745F1" w14:textId="185C6E84" w:rsidR="00C25D62" w:rsidRDefault="00C25D62" w:rsidP="00C25D62">
      <w:pPr>
        <w:spacing w:before="180" w:after="0"/>
        <w:rPr>
          <w:sz w:val="20"/>
          <w:szCs w:val="20"/>
          <w:lang w:val="en-US"/>
        </w:rPr>
      </w:pPr>
      <w:r w:rsidRPr="006771EF">
        <w:rPr>
          <w:sz w:val="20"/>
          <w:szCs w:val="20"/>
        </w:rPr>
        <w:lastRenderedPageBreak/>
        <w:t>Figure 3</w:t>
      </w:r>
      <w:r>
        <w:rPr>
          <w:sz w:val="20"/>
          <w:szCs w:val="20"/>
          <w:lang w:val="en-US"/>
        </w:rPr>
        <w:t xml:space="preserve"> details the investments and their performance. The fund</w:t>
      </w:r>
      <w:r w:rsidRPr="006771EF">
        <w:rPr>
          <w:sz w:val="20"/>
          <w:szCs w:val="20"/>
          <w:lang w:val="en-US"/>
        </w:rPr>
        <w:t xml:space="preserve"> achieved an overall return of 2.71% since the date when the cash was invested into the benchmark portfolio.</w:t>
      </w:r>
      <w:r>
        <w:rPr>
          <w:sz w:val="20"/>
          <w:szCs w:val="20"/>
          <w:lang w:val="en-US"/>
        </w:rPr>
        <w:t xml:space="preserve"> We aim to provide a detailed attribution of performance in future reports. The deviations from reference weights have arisen as a consequence of equity markets outperforming since the investments were made. A policy is in place to ensure that the portfolio will be rebalanced if it deviates significantly from approved weights.</w:t>
      </w:r>
    </w:p>
    <w:p w14:paraId="738E0BA1" w14:textId="34AB04E3" w:rsidR="007D766D" w:rsidRPr="00B66D5B" w:rsidRDefault="00380F71" w:rsidP="00C25D62">
      <w:pPr>
        <w:pStyle w:val="TableFigure"/>
        <w:spacing w:before="360" w:after="80"/>
        <w:ind w:left="-274"/>
        <w:jc w:val="left"/>
        <w:rPr>
          <w:sz w:val="20"/>
          <w:szCs w:val="20"/>
          <w:lang w:val="en-US"/>
        </w:rPr>
      </w:pPr>
      <w:r w:rsidRPr="007F06F5">
        <w:rPr>
          <w:sz w:val="20"/>
          <w:szCs w:val="20"/>
          <w:lang w:val="en-US"/>
        </w:rPr>
        <w:t xml:space="preserve">Figure 3: Portfolio </w:t>
      </w:r>
      <w:r w:rsidR="0077433F" w:rsidRPr="007F06F5">
        <w:rPr>
          <w:sz w:val="20"/>
          <w:szCs w:val="20"/>
          <w:lang w:val="en-US"/>
        </w:rPr>
        <w:t>Structure at 9</w:t>
      </w:r>
      <w:r w:rsidR="0077433F" w:rsidRPr="007F06F5">
        <w:rPr>
          <w:sz w:val="20"/>
          <w:szCs w:val="20"/>
          <w:vertAlign w:val="superscript"/>
          <w:lang w:val="en-US"/>
        </w:rPr>
        <w:t>th</w:t>
      </w:r>
      <w:r w:rsidR="0077433F" w:rsidRPr="007F06F5">
        <w:rPr>
          <w:sz w:val="20"/>
          <w:szCs w:val="20"/>
          <w:lang w:val="en-US"/>
        </w:rPr>
        <w:t xml:space="preserve"> June 2018, and Performance </w:t>
      </w:r>
      <w:r w:rsidRPr="007F06F5">
        <w:rPr>
          <w:sz w:val="20"/>
          <w:szCs w:val="20"/>
          <w:lang w:val="en-US"/>
        </w:rPr>
        <w:t>since 16/</w:t>
      </w:r>
      <w:r w:rsidR="0077433F" w:rsidRPr="007F06F5">
        <w:rPr>
          <w:sz w:val="20"/>
          <w:szCs w:val="20"/>
          <w:lang w:val="en-US"/>
        </w:rPr>
        <w:t>0</w:t>
      </w:r>
      <w:r w:rsidR="00B66D5B">
        <w:rPr>
          <w:sz w:val="20"/>
          <w:szCs w:val="20"/>
          <w:lang w:val="en-US"/>
        </w:rPr>
        <w:t>4/2018</w:t>
      </w:r>
    </w:p>
    <w:tbl>
      <w:tblPr>
        <w:tblStyle w:val="TableGrid"/>
        <w:tblW w:w="10138" w:type="dxa"/>
        <w:tblInd w:w="-27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875"/>
        <w:gridCol w:w="1478"/>
        <w:gridCol w:w="1242"/>
        <w:gridCol w:w="1301"/>
        <w:gridCol w:w="1071"/>
        <w:gridCol w:w="1117"/>
        <w:gridCol w:w="1054"/>
      </w:tblGrid>
      <w:tr w:rsidR="008403C0" w14:paraId="0668CDFB" w14:textId="77777777" w:rsidTr="00C25D62">
        <w:tc>
          <w:tcPr>
            <w:tcW w:w="2875" w:type="dxa"/>
            <w:shd w:val="clear" w:color="auto" w:fill="DEEAF6" w:themeFill="accent5" w:themeFillTint="33"/>
            <w:vAlign w:val="center"/>
          </w:tcPr>
          <w:p w14:paraId="3F4E0CA8" w14:textId="2C9B2E73" w:rsidR="00B66D5B" w:rsidRPr="00DB6913" w:rsidRDefault="00B66D5B" w:rsidP="008403C0">
            <w:pPr>
              <w:widowControl/>
              <w:spacing w:before="40" w:after="40"/>
              <w:jc w:val="left"/>
              <w:rPr>
                <w:b/>
                <w:sz w:val="20"/>
                <w:szCs w:val="20"/>
                <w:lang w:eastAsia="zh-CN"/>
              </w:rPr>
            </w:pPr>
            <w:r w:rsidRPr="00DB6913">
              <w:rPr>
                <w:b/>
                <w:sz w:val="20"/>
                <w:szCs w:val="20"/>
                <w:lang w:val="en-US"/>
              </w:rPr>
              <w:t>Portfolio Component</w:t>
            </w:r>
          </w:p>
        </w:tc>
        <w:tc>
          <w:tcPr>
            <w:tcW w:w="1478" w:type="dxa"/>
            <w:shd w:val="clear" w:color="auto" w:fill="DEEAF6" w:themeFill="accent5" w:themeFillTint="33"/>
            <w:vAlign w:val="center"/>
          </w:tcPr>
          <w:p w14:paraId="30486319" w14:textId="5851C41F" w:rsidR="00B66D5B" w:rsidRPr="00DB6913" w:rsidRDefault="00B66D5B" w:rsidP="008403C0">
            <w:pPr>
              <w:widowControl/>
              <w:spacing w:before="40" w:after="40"/>
              <w:jc w:val="center"/>
              <w:rPr>
                <w:b/>
                <w:sz w:val="20"/>
                <w:szCs w:val="20"/>
                <w:lang w:eastAsia="zh-CN"/>
              </w:rPr>
            </w:pPr>
            <w:r w:rsidRPr="00DB6913">
              <w:rPr>
                <w:b/>
                <w:sz w:val="20"/>
                <w:szCs w:val="20"/>
                <w:lang w:val="en-US"/>
              </w:rPr>
              <w:t>Benchmark ETF</w:t>
            </w:r>
          </w:p>
        </w:tc>
        <w:tc>
          <w:tcPr>
            <w:tcW w:w="1242" w:type="dxa"/>
            <w:shd w:val="clear" w:color="auto" w:fill="DEEAF6" w:themeFill="accent5" w:themeFillTint="33"/>
            <w:vAlign w:val="center"/>
          </w:tcPr>
          <w:p w14:paraId="640E764B" w14:textId="53DDCB01" w:rsidR="00B66D5B" w:rsidRPr="00DB6913" w:rsidRDefault="00B66D5B" w:rsidP="008403C0">
            <w:pPr>
              <w:widowControl/>
              <w:spacing w:before="40" w:after="40"/>
              <w:jc w:val="center"/>
              <w:rPr>
                <w:b/>
                <w:sz w:val="20"/>
                <w:szCs w:val="20"/>
                <w:lang w:eastAsia="zh-CN"/>
              </w:rPr>
            </w:pPr>
            <w:r w:rsidRPr="00DB6913">
              <w:rPr>
                <w:b/>
                <w:sz w:val="20"/>
                <w:szCs w:val="20"/>
                <w:lang w:val="en-US"/>
              </w:rPr>
              <w:t>Opening Balance (16/4/2018)</w:t>
            </w:r>
          </w:p>
        </w:tc>
        <w:tc>
          <w:tcPr>
            <w:tcW w:w="1301" w:type="dxa"/>
            <w:shd w:val="clear" w:color="auto" w:fill="DEEAF6" w:themeFill="accent5" w:themeFillTint="33"/>
            <w:vAlign w:val="center"/>
          </w:tcPr>
          <w:p w14:paraId="19DD0EA3" w14:textId="7EC1B4DC" w:rsidR="00B66D5B" w:rsidRPr="00DB6913" w:rsidRDefault="00B66D5B" w:rsidP="008403C0">
            <w:pPr>
              <w:widowControl/>
              <w:spacing w:before="40" w:after="40"/>
              <w:jc w:val="center"/>
              <w:rPr>
                <w:b/>
                <w:sz w:val="20"/>
                <w:szCs w:val="20"/>
                <w:lang w:eastAsia="zh-CN"/>
              </w:rPr>
            </w:pPr>
            <w:r w:rsidRPr="00DB6913">
              <w:rPr>
                <w:b/>
                <w:sz w:val="20"/>
                <w:szCs w:val="20"/>
                <w:lang w:val="en-US"/>
              </w:rPr>
              <w:t>Closing Balance (9/6/2018)</w:t>
            </w:r>
          </w:p>
        </w:tc>
        <w:tc>
          <w:tcPr>
            <w:tcW w:w="1071" w:type="dxa"/>
            <w:shd w:val="clear" w:color="auto" w:fill="DEEAF6" w:themeFill="accent5" w:themeFillTint="33"/>
          </w:tcPr>
          <w:p w14:paraId="60FAF099" w14:textId="46E78CD2" w:rsidR="00B66D5B" w:rsidRPr="00DB6913" w:rsidRDefault="00B66D5B" w:rsidP="00C25D62">
            <w:pPr>
              <w:widowControl/>
              <w:spacing w:before="120" w:after="40"/>
              <w:jc w:val="center"/>
              <w:rPr>
                <w:b/>
                <w:sz w:val="20"/>
                <w:szCs w:val="20"/>
                <w:lang w:val="en-US"/>
              </w:rPr>
            </w:pPr>
            <w:r>
              <w:rPr>
                <w:b/>
                <w:sz w:val="20"/>
                <w:szCs w:val="20"/>
                <w:lang w:val="en-US"/>
              </w:rPr>
              <w:t>Reference Weights</w:t>
            </w:r>
          </w:p>
        </w:tc>
        <w:tc>
          <w:tcPr>
            <w:tcW w:w="1117" w:type="dxa"/>
            <w:shd w:val="clear" w:color="auto" w:fill="DEEAF6" w:themeFill="accent5" w:themeFillTint="33"/>
            <w:vAlign w:val="center"/>
          </w:tcPr>
          <w:p w14:paraId="50875290" w14:textId="10AEE4F6" w:rsidR="00B66D5B" w:rsidRPr="00DB6913" w:rsidRDefault="008403C0" w:rsidP="008403C0">
            <w:pPr>
              <w:widowControl/>
              <w:spacing w:before="40" w:after="40"/>
              <w:jc w:val="center"/>
              <w:rPr>
                <w:b/>
                <w:sz w:val="20"/>
                <w:szCs w:val="20"/>
                <w:lang w:eastAsia="zh-CN"/>
              </w:rPr>
            </w:pPr>
            <w:r>
              <w:rPr>
                <w:b/>
                <w:sz w:val="20"/>
                <w:szCs w:val="20"/>
                <w:lang w:val="en-US"/>
              </w:rPr>
              <w:t xml:space="preserve">Portfolio </w:t>
            </w:r>
            <w:r w:rsidR="00B66D5B" w:rsidRPr="00DB6913">
              <w:rPr>
                <w:b/>
                <w:sz w:val="20"/>
                <w:szCs w:val="20"/>
                <w:lang w:val="en-US"/>
              </w:rPr>
              <w:t>Weights (9/6/2018)</w:t>
            </w:r>
          </w:p>
        </w:tc>
        <w:tc>
          <w:tcPr>
            <w:tcW w:w="1054" w:type="dxa"/>
            <w:shd w:val="clear" w:color="auto" w:fill="DEEAF6" w:themeFill="accent5" w:themeFillTint="33"/>
            <w:vAlign w:val="center"/>
          </w:tcPr>
          <w:p w14:paraId="727745DC" w14:textId="1FF3FBCB" w:rsidR="00B66D5B" w:rsidRPr="00DB6913" w:rsidRDefault="00B66D5B" w:rsidP="008403C0">
            <w:pPr>
              <w:widowControl/>
              <w:spacing w:before="40" w:after="40"/>
              <w:jc w:val="center"/>
              <w:rPr>
                <w:b/>
                <w:sz w:val="20"/>
                <w:szCs w:val="20"/>
                <w:lang w:eastAsia="zh-CN"/>
              </w:rPr>
            </w:pPr>
            <w:r w:rsidRPr="00DB6913">
              <w:rPr>
                <w:b/>
                <w:sz w:val="20"/>
                <w:szCs w:val="20"/>
                <w:lang w:val="en-US"/>
              </w:rPr>
              <w:t>Return</w:t>
            </w:r>
          </w:p>
        </w:tc>
      </w:tr>
      <w:tr w:rsidR="008403C0" w14:paraId="5CDA02D4" w14:textId="77777777" w:rsidTr="00C25D62">
        <w:tc>
          <w:tcPr>
            <w:tcW w:w="2875" w:type="dxa"/>
            <w:shd w:val="clear" w:color="auto" w:fill="DEEAF6" w:themeFill="accent5" w:themeFillTint="33"/>
            <w:vAlign w:val="center"/>
          </w:tcPr>
          <w:p w14:paraId="36532090" w14:textId="77777777" w:rsidR="00B66D5B" w:rsidRPr="00DB6913" w:rsidRDefault="00B66D5B" w:rsidP="008403C0">
            <w:pPr>
              <w:widowControl/>
              <w:spacing w:before="40" w:after="40"/>
              <w:jc w:val="center"/>
              <w:rPr>
                <w:b/>
                <w:sz w:val="20"/>
                <w:szCs w:val="20"/>
                <w:lang w:eastAsia="zh-CN"/>
              </w:rPr>
            </w:pPr>
          </w:p>
        </w:tc>
        <w:tc>
          <w:tcPr>
            <w:tcW w:w="1478" w:type="dxa"/>
            <w:shd w:val="clear" w:color="auto" w:fill="DEEAF6" w:themeFill="accent5" w:themeFillTint="33"/>
            <w:vAlign w:val="center"/>
          </w:tcPr>
          <w:p w14:paraId="2E150157" w14:textId="77777777" w:rsidR="00B66D5B" w:rsidRPr="00DB6913" w:rsidRDefault="00B66D5B" w:rsidP="008403C0">
            <w:pPr>
              <w:widowControl/>
              <w:spacing w:before="40" w:after="40"/>
              <w:jc w:val="center"/>
              <w:rPr>
                <w:b/>
                <w:sz w:val="20"/>
                <w:szCs w:val="20"/>
                <w:lang w:eastAsia="zh-CN"/>
              </w:rPr>
            </w:pPr>
          </w:p>
        </w:tc>
        <w:tc>
          <w:tcPr>
            <w:tcW w:w="1242" w:type="dxa"/>
            <w:shd w:val="clear" w:color="auto" w:fill="DEEAF6" w:themeFill="accent5" w:themeFillTint="33"/>
            <w:vAlign w:val="center"/>
          </w:tcPr>
          <w:p w14:paraId="76E135F4" w14:textId="6E0F5BA2"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c>
          <w:tcPr>
            <w:tcW w:w="1301" w:type="dxa"/>
            <w:shd w:val="clear" w:color="auto" w:fill="DEEAF6" w:themeFill="accent5" w:themeFillTint="33"/>
            <w:vAlign w:val="center"/>
          </w:tcPr>
          <w:p w14:paraId="38DFB931" w14:textId="5E3B3B3A"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c>
          <w:tcPr>
            <w:tcW w:w="1071" w:type="dxa"/>
            <w:shd w:val="clear" w:color="auto" w:fill="DEEAF6" w:themeFill="accent5" w:themeFillTint="33"/>
          </w:tcPr>
          <w:p w14:paraId="40CE0588" w14:textId="26D4D2DC" w:rsidR="00B66D5B" w:rsidRPr="00DB6913" w:rsidRDefault="00B66D5B" w:rsidP="008403C0">
            <w:pPr>
              <w:widowControl/>
              <w:spacing w:before="40" w:after="40"/>
              <w:jc w:val="center"/>
              <w:rPr>
                <w:b/>
                <w:sz w:val="20"/>
                <w:szCs w:val="20"/>
                <w:lang w:val="en-US"/>
              </w:rPr>
            </w:pPr>
            <w:r>
              <w:rPr>
                <w:b/>
                <w:sz w:val="20"/>
                <w:szCs w:val="20"/>
                <w:lang w:val="en-US"/>
              </w:rPr>
              <w:t>%</w:t>
            </w:r>
          </w:p>
        </w:tc>
        <w:tc>
          <w:tcPr>
            <w:tcW w:w="1117" w:type="dxa"/>
            <w:shd w:val="clear" w:color="auto" w:fill="DEEAF6" w:themeFill="accent5" w:themeFillTint="33"/>
            <w:vAlign w:val="center"/>
          </w:tcPr>
          <w:p w14:paraId="79D067D6" w14:textId="15ED0463"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c>
          <w:tcPr>
            <w:tcW w:w="1054" w:type="dxa"/>
            <w:shd w:val="clear" w:color="auto" w:fill="DEEAF6" w:themeFill="accent5" w:themeFillTint="33"/>
            <w:vAlign w:val="center"/>
          </w:tcPr>
          <w:p w14:paraId="4B2C712E" w14:textId="64F03EE1"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r>
      <w:tr w:rsidR="008403C0" w14:paraId="2ED48BD8" w14:textId="77777777" w:rsidTr="00C25D62">
        <w:tc>
          <w:tcPr>
            <w:tcW w:w="2875" w:type="dxa"/>
            <w:vAlign w:val="center"/>
          </w:tcPr>
          <w:p w14:paraId="05661FCB" w14:textId="6FA91B2C" w:rsidR="00B66D5B" w:rsidRPr="008403C0" w:rsidRDefault="00B66D5B" w:rsidP="008403C0">
            <w:pPr>
              <w:widowControl/>
              <w:spacing w:before="40" w:after="40"/>
              <w:jc w:val="left"/>
              <w:rPr>
                <w:b/>
                <w:i/>
                <w:sz w:val="20"/>
                <w:szCs w:val="20"/>
                <w:lang w:eastAsia="zh-CN"/>
              </w:rPr>
            </w:pPr>
            <w:r w:rsidRPr="008403C0">
              <w:rPr>
                <w:b/>
                <w:i/>
                <w:sz w:val="20"/>
                <w:szCs w:val="20"/>
                <w:lang w:val="en-US"/>
              </w:rPr>
              <w:t>Australian Equities</w:t>
            </w:r>
          </w:p>
        </w:tc>
        <w:tc>
          <w:tcPr>
            <w:tcW w:w="1478" w:type="dxa"/>
            <w:vAlign w:val="center"/>
          </w:tcPr>
          <w:p w14:paraId="39DE6047" w14:textId="31B6CDA6" w:rsidR="00B66D5B" w:rsidRPr="008403C0" w:rsidRDefault="00B66D5B" w:rsidP="00B66D5B">
            <w:pPr>
              <w:widowControl/>
              <w:spacing w:before="40" w:after="40"/>
              <w:jc w:val="center"/>
              <w:rPr>
                <w:b/>
                <w:i/>
                <w:sz w:val="20"/>
                <w:szCs w:val="20"/>
                <w:lang w:eastAsia="zh-CN"/>
              </w:rPr>
            </w:pPr>
          </w:p>
        </w:tc>
        <w:tc>
          <w:tcPr>
            <w:tcW w:w="1242" w:type="dxa"/>
            <w:vAlign w:val="center"/>
          </w:tcPr>
          <w:p w14:paraId="232050BD" w14:textId="77777777" w:rsidR="00B66D5B" w:rsidRPr="008403C0" w:rsidRDefault="00B66D5B" w:rsidP="00B66D5B">
            <w:pPr>
              <w:widowControl/>
              <w:spacing w:before="40" w:after="40"/>
              <w:jc w:val="center"/>
              <w:rPr>
                <w:b/>
                <w:i/>
                <w:sz w:val="20"/>
                <w:szCs w:val="20"/>
                <w:lang w:eastAsia="zh-CN"/>
              </w:rPr>
            </w:pPr>
          </w:p>
        </w:tc>
        <w:tc>
          <w:tcPr>
            <w:tcW w:w="1301" w:type="dxa"/>
            <w:vAlign w:val="center"/>
          </w:tcPr>
          <w:p w14:paraId="29C61BC2" w14:textId="77777777" w:rsidR="00B66D5B" w:rsidRPr="008403C0" w:rsidRDefault="00B66D5B" w:rsidP="00B66D5B">
            <w:pPr>
              <w:widowControl/>
              <w:spacing w:before="40" w:after="40"/>
              <w:jc w:val="center"/>
              <w:rPr>
                <w:b/>
                <w:i/>
                <w:sz w:val="20"/>
                <w:szCs w:val="20"/>
                <w:lang w:eastAsia="zh-CN"/>
              </w:rPr>
            </w:pPr>
          </w:p>
        </w:tc>
        <w:tc>
          <w:tcPr>
            <w:tcW w:w="1071" w:type="dxa"/>
          </w:tcPr>
          <w:p w14:paraId="1DB0A3CA" w14:textId="5279BA3F" w:rsidR="00B66D5B" w:rsidRPr="008403C0" w:rsidRDefault="00B66D5B" w:rsidP="00B66D5B">
            <w:pPr>
              <w:widowControl/>
              <w:spacing w:before="40" w:after="40"/>
              <w:jc w:val="center"/>
              <w:rPr>
                <w:b/>
                <w:i/>
                <w:sz w:val="20"/>
                <w:szCs w:val="20"/>
                <w:lang w:eastAsia="zh-CN"/>
              </w:rPr>
            </w:pPr>
          </w:p>
        </w:tc>
        <w:tc>
          <w:tcPr>
            <w:tcW w:w="1117" w:type="dxa"/>
            <w:vAlign w:val="center"/>
          </w:tcPr>
          <w:p w14:paraId="3023A4B0" w14:textId="3AB71BC2" w:rsidR="00B66D5B" w:rsidRPr="008403C0" w:rsidRDefault="00B66D5B" w:rsidP="00B66D5B">
            <w:pPr>
              <w:widowControl/>
              <w:spacing w:before="40" w:after="40"/>
              <w:jc w:val="center"/>
              <w:rPr>
                <w:b/>
                <w:i/>
                <w:sz w:val="20"/>
                <w:szCs w:val="20"/>
                <w:lang w:eastAsia="zh-CN"/>
              </w:rPr>
            </w:pPr>
          </w:p>
        </w:tc>
        <w:tc>
          <w:tcPr>
            <w:tcW w:w="1054" w:type="dxa"/>
            <w:vAlign w:val="center"/>
          </w:tcPr>
          <w:p w14:paraId="6271CB27" w14:textId="77777777" w:rsidR="00B66D5B" w:rsidRPr="008403C0" w:rsidRDefault="00B66D5B" w:rsidP="00B66D5B">
            <w:pPr>
              <w:widowControl/>
              <w:spacing w:before="40" w:after="40"/>
              <w:jc w:val="center"/>
              <w:rPr>
                <w:b/>
                <w:i/>
                <w:sz w:val="20"/>
                <w:szCs w:val="20"/>
                <w:lang w:eastAsia="zh-CN"/>
              </w:rPr>
            </w:pPr>
          </w:p>
        </w:tc>
      </w:tr>
      <w:tr w:rsidR="008403C0" w14:paraId="7105330B" w14:textId="77777777" w:rsidTr="00C25D62">
        <w:tc>
          <w:tcPr>
            <w:tcW w:w="2875" w:type="dxa"/>
            <w:vAlign w:val="center"/>
          </w:tcPr>
          <w:p w14:paraId="7CF38EF1" w14:textId="7838173C" w:rsidR="00B66D5B" w:rsidRPr="00DB6913" w:rsidRDefault="00B66D5B" w:rsidP="008403C0">
            <w:pPr>
              <w:widowControl/>
              <w:spacing w:before="40" w:after="40"/>
              <w:jc w:val="left"/>
              <w:rPr>
                <w:sz w:val="20"/>
                <w:szCs w:val="20"/>
                <w:lang w:eastAsia="zh-CN"/>
              </w:rPr>
            </w:pPr>
            <w:r>
              <w:rPr>
                <w:sz w:val="20"/>
                <w:szCs w:val="20"/>
                <w:lang w:val="en-US"/>
              </w:rPr>
              <w:t>iShares Core S&amp;P/ASX 200</w:t>
            </w:r>
          </w:p>
        </w:tc>
        <w:tc>
          <w:tcPr>
            <w:tcW w:w="1478" w:type="dxa"/>
            <w:vAlign w:val="center"/>
          </w:tcPr>
          <w:p w14:paraId="26BFC164" w14:textId="27F9B138" w:rsidR="00B66D5B" w:rsidRPr="00DB6913" w:rsidRDefault="00B66D5B" w:rsidP="00B66D5B">
            <w:pPr>
              <w:widowControl/>
              <w:spacing w:before="40" w:after="40"/>
              <w:jc w:val="center"/>
              <w:rPr>
                <w:sz w:val="20"/>
                <w:szCs w:val="20"/>
                <w:lang w:eastAsia="zh-CN"/>
              </w:rPr>
            </w:pPr>
          </w:p>
        </w:tc>
        <w:tc>
          <w:tcPr>
            <w:tcW w:w="1242" w:type="dxa"/>
            <w:vAlign w:val="center"/>
          </w:tcPr>
          <w:p w14:paraId="256AED53" w14:textId="1C371AF8" w:rsidR="00B66D5B" w:rsidRPr="00DB6913" w:rsidRDefault="00B66D5B" w:rsidP="00B66D5B">
            <w:pPr>
              <w:widowControl/>
              <w:spacing w:before="40" w:after="40"/>
              <w:jc w:val="center"/>
              <w:rPr>
                <w:sz w:val="20"/>
                <w:szCs w:val="20"/>
                <w:lang w:eastAsia="zh-CN"/>
              </w:rPr>
            </w:pPr>
            <w:r w:rsidRPr="006771EF">
              <w:rPr>
                <w:sz w:val="20"/>
                <w:szCs w:val="20"/>
                <w:lang w:val="en-US"/>
              </w:rPr>
              <w:t>373,811.48</w:t>
            </w:r>
          </w:p>
        </w:tc>
        <w:tc>
          <w:tcPr>
            <w:tcW w:w="1301" w:type="dxa"/>
            <w:vAlign w:val="center"/>
          </w:tcPr>
          <w:p w14:paraId="121F5462" w14:textId="09125006" w:rsidR="00B66D5B" w:rsidRPr="00DB6913" w:rsidRDefault="00B66D5B" w:rsidP="00B66D5B">
            <w:pPr>
              <w:widowControl/>
              <w:spacing w:before="40" w:after="40"/>
              <w:jc w:val="center"/>
              <w:rPr>
                <w:sz w:val="20"/>
                <w:szCs w:val="20"/>
                <w:lang w:eastAsia="zh-CN"/>
              </w:rPr>
            </w:pPr>
            <w:r w:rsidRPr="006771EF">
              <w:rPr>
                <w:sz w:val="20"/>
                <w:szCs w:val="20"/>
                <w:lang w:val="en-US"/>
              </w:rPr>
              <w:t>357,420.96</w:t>
            </w:r>
          </w:p>
        </w:tc>
        <w:tc>
          <w:tcPr>
            <w:tcW w:w="1071" w:type="dxa"/>
          </w:tcPr>
          <w:p w14:paraId="33F38ACE" w14:textId="77777777" w:rsidR="00B66D5B" w:rsidRPr="006771EF" w:rsidRDefault="00B66D5B" w:rsidP="00B66D5B">
            <w:pPr>
              <w:widowControl/>
              <w:spacing w:before="40" w:after="40"/>
              <w:jc w:val="center"/>
              <w:rPr>
                <w:sz w:val="20"/>
                <w:szCs w:val="20"/>
                <w:lang w:val="en-US"/>
              </w:rPr>
            </w:pPr>
          </w:p>
        </w:tc>
        <w:tc>
          <w:tcPr>
            <w:tcW w:w="1117" w:type="dxa"/>
            <w:vAlign w:val="center"/>
          </w:tcPr>
          <w:p w14:paraId="56F4F52A" w14:textId="4D2971BE" w:rsidR="00B66D5B" w:rsidRPr="00DB6913" w:rsidRDefault="008403C0" w:rsidP="00B66D5B">
            <w:pPr>
              <w:widowControl/>
              <w:spacing w:before="40" w:after="40"/>
              <w:jc w:val="center"/>
              <w:rPr>
                <w:sz w:val="20"/>
                <w:szCs w:val="20"/>
                <w:lang w:eastAsia="zh-CN"/>
              </w:rPr>
            </w:pPr>
            <w:r>
              <w:rPr>
                <w:sz w:val="20"/>
                <w:szCs w:val="20"/>
                <w:lang w:val="en-US"/>
              </w:rPr>
              <w:t>56.0</w:t>
            </w:r>
          </w:p>
        </w:tc>
        <w:tc>
          <w:tcPr>
            <w:tcW w:w="1054" w:type="dxa"/>
            <w:vAlign w:val="center"/>
          </w:tcPr>
          <w:p w14:paraId="0E6E23A1" w14:textId="49418800" w:rsidR="00B66D5B" w:rsidRPr="00DB6913" w:rsidRDefault="00B66D5B" w:rsidP="00B66D5B">
            <w:pPr>
              <w:widowControl/>
              <w:spacing w:before="40" w:after="40"/>
              <w:jc w:val="center"/>
              <w:rPr>
                <w:sz w:val="20"/>
                <w:szCs w:val="20"/>
                <w:lang w:eastAsia="zh-CN"/>
              </w:rPr>
            </w:pPr>
            <w:r w:rsidRPr="006771EF">
              <w:rPr>
                <w:sz w:val="20"/>
                <w:szCs w:val="20"/>
                <w:lang w:val="en-US"/>
              </w:rPr>
              <w:t>3.38</w:t>
            </w:r>
          </w:p>
        </w:tc>
      </w:tr>
      <w:tr w:rsidR="008403C0" w14:paraId="28C79EF3" w14:textId="77777777" w:rsidTr="00C25D62">
        <w:tc>
          <w:tcPr>
            <w:tcW w:w="2875" w:type="dxa"/>
            <w:vAlign w:val="center"/>
          </w:tcPr>
          <w:p w14:paraId="2F04451D" w14:textId="720B38E2" w:rsidR="00B66D5B" w:rsidRPr="00DB6913" w:rsidRDefault="00B66D5B" w:rsidP="008403C0">
            <w:pPr>
              <w:widowControl/>
              <w:spacing w:before="40" w:after="40"/>
              <w:jc w:val="left"/>
              <w:rPr>
                <w:sz w:val="20"/>
                <w:szCs w:val="20"/>
                <w:lang w:eastAsia="zh-CN"/>
              </w:rPr>
            </w:pPr>
            <w:r w:rsidRPr="006771EF">
              <w:rPr>
                <w:sz w:val="20"/>
                <w:szCs w:val="20"/>
                <w:lang w:val="en-US"/>
              </w:rPr>
              <w:t>Telstra</w:t>
            </w:r>
          </w:p>
        </w:tc>
        <w:tc>
          <w:tcPr>
            <w:tcW w:w="1478" w:type="dxa"/>
            <w:vAlign w:val="center"/>
          </w:tcPr>
          <w:p w14:paraId="51DC2B65" w14:textId="33922632" w:rsidR="00B66D5B" w:rsidRPr="00DB6913" w:rsidRDefault="00B66D5B" w:rsidP="00B66D5B">
            <w:pPr>
              <w:widowControl/>
              <w:spacing w:before="40" w:after="40"/>
              <w:jc w:val="center"/>
              <w:rPr>
                <w:sz w:val="20"/>
                <w:szCs w:val="20"/>
                <w:lang w:eastAsia="zh-CN"/>
              </w:rPr>
            </w:pPr>
            <w:r w:rsidRPr="006771EF">
              <w:rPr>
                <w:sz w:val="20"/>
                <w:szCs w:val="20"/>
                <w:lang w:val="en-US"/>
              </w:rPr>
              <w:t>-</w:t>
            </w:r>
          </w:p>
        </w:tc>
        <w:tc>
          <w:tcPr>
            <w:tcW w:w="1242" w:type="dxa"/>
            <w:vAlign w:val="center"/>
          </w:tcPr>
          <w:p w14:paraId="0679B4EF" w14:textId="08D01BD1" w:rsidR="00B66D5B" w:rsidRPr="00DB6913" w:rsidRDefault="00B66D5B" w:rsidP="00B66D5B">
            <w:pPr>
              <w:widowControl/>
              <w:spacing w:before="40" w:after="40"/>
              <w:jc w:val="center"/>
              <w:rPr>
                <w:sz w:val="20"/>
                <w:szCs w:val="20"/>
                <w:lang w:eastAsia="zh-CN"/>
              </w:rPr>
            </w:pPr>
            <w:r w:rsidRPr="006771EF">
              <w:rPr>
                <w:sz w:val="20"/>
                <w:szCs w:val="20"/>
                <w:lang w:val="en-US"/>
              </w:rPr>
              <w:t>-</w:t>
            </w:r>
          </w:p>
        </w:tc>
        <w:tc>
          <w:tcPr>
            <w:tcW w:w="1301" w:type="dxa"/>
            <w:vAlign w:val="center"/>
          </w:tcPr>
          <w:p w14:paraId="061EF63E" w14:textId="32C7D7A0" w:rsidR="00B66D5B" w:rsidRPr="00DB6913" w:rsidRDefault="00B66D5B" w:rsidP="00B66D5B">
            <w:pPr>
              <w:widowControl/>
              <w:spacing w:before="40" w:after="40"/>
              <w:jc w:val="center"/>
              <w:rPr>
                <w:sz w:val="20"/>
                <w:szCs w:val="20"/>
                <w:lang w:eastAsia="zh-CN"/>
              </w:rPr>
            </w:pPr>
            <w:r w:rsidRPr="006771EF">
              <w:rPr>
                <w:sz w:val="20"/>
                <w:szCs w:val="20"/>
                <w:lang w:val="en-US"/>
              </w:rPr>
              <w:t>19,359.53</w:t>
            </w:r>
          </w:p>
        </w:tc>
        <w:tc>
          <w:tcPr>
            <w:tcW w:w="1071" w:type="dxa"/>
          </w:tcPr>
          <w:p w14:paraId="0252A8F7" w14:textId="77777777" w:rsidR="00B66D5B" w:rsidRPr="006771EF" w:rsidRDefault="00B66D5B" w:rsidP="00B66D5B">
            <w:pPr>
              <w:widowControl/>
              <w:spacing w:before="40" w:after="40"/>
              <w:jc w:val="center"/>
              <w:rPr>
                <w:sz w:val="20"/>
                <w:szCs w:val="20"/>
                <w:lang w:val="en-US"/>
              </w:rPr>
            </w:pPr>
          </w:p>
        </w:tc>
        <w:tc>
          <w:tcPr>
            <w:tcW w:w="1117" w:type="dxa"/>
            <w:vAlign w:val="center"/>
          </w:tcPr>
          <w:p w14:paraId="6CD94B96" w14:textId="134F2C78" w:rsidR="00B66D5B" w:rsidRPr="00DB6913" w:rsidRDefault="008403C0" w:rsidP="00B66D5B">
            <w:pPr>
              <w:widowControl/>
              <w:spacing w:before="40" w:after="40"/>
              <w:jc w:val="center"/>
              <w:rPr>
                <w:sz w:val="20"/>
                <w:szCs w:val="20"/>
                <w:lang w:eastAsia="zh-CN"/>
              </w:rPr>
            </w:pPr>
            <w:r>
              <w:rPr>
                <w:sz w:val="20"/>
                <w:szCs w:val="20"/>
                <w:lang w:val="en-US"/>
              </w:rPr>
              <w:t>3.0</w:t>
            </w:r>
          </w:p>
        </w:tc>
        <w:tc>
          <w:tcPr>
            <w:tcW w:w="1054" w:type="dxa"/>
            <w:vAlign w:val="center"/>
          </w:tcPr>
          <w:p w14:paraId="6735B9FE" w14:textId="3E37260B" w:rsidR="00B66D5B" w:rsidRPr="00DB6913" w:rsidRDefault="00B66D5B" w:rsidP="00B66D5B">
            <w:pPr>
              <w:widowControl/>
              <w:spacing w:before="40" w:after="40"/>
              <w:jc w:val="center"/>
              <w:rPr>
                <w:sz w:val="20"/>
                <w:szCs w:val="20"/>
                <w:lang w:eastAsia="zh-CN"/>
              </w:rPr>
            </w:pPr>
            <w:r w:rsidRPr="006771EF">
              <w:rPr>
                <w:sz w:val="20"/>
                <w:szCs w:val="20"/>
                <w:lang w:val="en-US"/>
              </w:rPr>
              <w:t>0.43</w:t>
            </w:r>
          </w:p>
        </w:tc>
      </w:tr>
      <w:tr w:rsidR="008403C0" w14:paraId="4FCAD544" w14:textId="77777777" w:rsidTr="00C25D62">
        <w:tc>
          <w:tcPr>
            <w:tcW w:w="2875" w:type="dxa"/>
            <w:tcBorders>
              <w:bottom w:val="single" w:sz="4" w:space="0" w:color="auto"/>
            </w:tcBorders>
            <w:vAlign w:val="center"/>
          </w:tcPr>
          <w:p w14:paraId="48064B11" w14:textId="64BB5254" w:rsidR="00B66D5B" w:rsidRPr="00DB6913" w:rsidRDefault="00B66D5B" w:rsidP="008403C0">
            <w:pPr>
              <w:widowControl/>
              <w:spacing w:before="40" w:after="40"/>
              <w:jc w:val="left"/>
              <w:rPr>
                <w:sz w:val="20"/>
                <w:szCs w:val="20"/>
                <w:lang w:eastAsia="zh-CN"/>
              </w:rPr>
            </w:pPr>
            <w:r w:rsidRPr="006771EF">
              <w:rPr>
                <w:sz w:val="20"/>
                <w:szCs w:val="20"/>
                <w:lang w:val="en-US"/>
              </w:rPr>
              <w:t>Rio Tinto</w:t>
            </w:r>
          </w:p>
        </w:tc>
        <w:tc>
          <w:tcPr>
            <w:tcW w:w="1478" w:type="dxa"/>
            <w:tcBorders>
              <w:bottom w:val="single" w:sz="4" w:space="0" w:color="auto"/>
            </w:tcBorders>
            <w:vAlign w:val="center"/>
          </w:tcPr>
          <w:p w14:paraId="347A96C8" w14:textId="015254A9" w:rsidR="00B66D5B" w:rsidRPr="00DB6913" w:rsidRDefault="00B66D5B" w:rsidP="00B66D5B">
            <w:pPr>
              <w:widowControl/>
              <w:spacing w:before="40" w:after="40"/>
              <w:jc w:val="center"/>
              <w:rPr>
                <w:sz w:val="20"/>
                <w:szCs w:val="20"/>
                <w:lang w:eastAsia="zh-CN"/>
              </w:rPr>
            </w:pPr>
            <w:r w:rsidRPr="006771EF">
              <w:rPr>
                <w:sz w:val="20"/>
                <w:szCs w:val="20"/>
                <w:lang w:val="en-US"/>
              </w:rPr>
              <w:t>-</w:t>
            </w:r>
          </w:p>
        </w:tc>
        <w:tc>
          <w:tcPr>
            <w:tcW w:w="1242" w:type="dxa"/>
            <w:tcBorders>
              <w:bottom w:val="single" w:sz="4" w:space="0" w:color="auto"/>
            </w:tcBorders>
            <w:vAlign w:val="center"/>
          </w:tcPr>
          <w:p w14:paraId="5DF734B2" w14:textId="4E867956" w:rsidR="00B66D5B" w:rsidRPr="00DB6913" w:rsidRDefault="00B66D5B" w:rsidP="00B66D5B">
            <w:pPr>
              <w:widowControl/>
              <w:spacing w:before="40" w:after="40"/>
              <w:jc w:val="center"/>
              <w:rPr>
                <w:sz w:val="20"/>
                <w:szCs w:val="20"/>
                <w:lang w:eastAsia="zh-CN"/>
              </w:rPr>
            </w:pPr>
            <w:r w:rsidRPr="006771EF">
              <w:rPr>
                <w:sz w:val="20"/>
                <w:szCs w:val="20"/>
                <w:lang w:val="en-US"/>
              </w:rPr>
              <w:t>-</w:t>
            </w:r>
          </w:p>
        </w:tc>
        <w:tc>
          <w:tcPr>
            <w:tcW w:w="1301" w:type="dxa"/>
            <w:tcBorders>
              <w:bottom w:val="single" w:sz="4" w:space="0" w:color="auto"/>
            </w:tcBorders>
            <w:vAlign w:val="center"/>
          </w:tcPr>
          <w:p w14:paraId="6FAD79C9" w14:textId="17E9BCF3" w:rsidR="00B66D5B" w:rsidRPr="00DB6913" w:rsidRDefault="00B66D5B" w:rsidP="00B66D5B">
            <w:pPr>
              <w:widowControl/>
              <w:spacing w:before="40" w:after="40"/>
              <w:jc w:val="center"/>
              <w:rPr>
                <w:sz w:val="20"/>
                <w:szCs w:val="20"/>
                <w:lang w:eastAsia="zh-CN"/>
              </w:rPr>
            </w:pPr>
            <w:r w:rsidRPr="006771EF">
              <w:rPr>
                <w:sz w:val="20"/>
                <w:szCs w:val="20"/>
                <w:lang w:val="en-US"/>
              </w:rPr>
              <w:t>9,872.4</w:t>
            </w:r>
            <w:r>
              <w:rPr>
                <w:sz w:val="20"/>
                <w:szCs w:val="20"/>
                <w:lang w:val="en-US"/>
              </w:rPr>
              <w:t>0</w:t>
            </w:r>
          </w:p>
        </w:tc>
        <w:tc>
          <w:tcPr>
            <w:tcW w:w="1071" w:type="dxa"/>
            <w:tcBorders>
              <w:bottom w:val="single" w:sz="4" w:space="0" w:color="auto"/>
            </w:tcBorders>
          </w:tcPr>
          <w:p w14:paraId="0FE872A9" w14:textId="77777777" w:rsidR="00B66D5B" w:rsidRPr="006771EF" w:rsidRDefault="00B66D5B" w:rsidP="00B66D5B">
            <w:pPr>
              <w:widowControl/>
              <w:spacing w:before="40" w:after="40"/>
              <w:jc w:val="center"/>
              <w:rPr>
                <w:sz w:val="20"/>
                <w:szCs w:val="20"/>
                <w:lang w:val="en-US"/>
              </w:rPr>
            </w:pPr>
          </w:p>
        </w:tc>
        <w:tc>
          <w:tcPr>
            <w:tcW w:w="1117" w:type="dxa"/>
            <w:tcBorders>
              <w:bottom w:val="single" w:sz="4" w:space="0" w:color="auto"/>
            </w:tcBorders>
            <w:vAlign w:val="center"/>
          </w:tcPr>
          <w:p w14:paraId="6D260E26" w14:textId="7B9296ED" w:rsidR="00B66D5B" w:rsidRPr="00DB6913" w:rsidRDefault="008403C0" w:rsidP="00B66D5B">
            <w:pPr>
              <w:widowControl/>
              <w:spacing w:before="40" w:after="40"/>
              <w:jc w:val="center"/>
              <w:rPr>
                <w:sz w:val="20"/>
                <w:szCs w:val="20"/>
                <w:lang w:eastAsia="zh-CN"/>
              </w:rPr>
            </w:pPr>
            <w:r>
              <w:rPr>
                <w:sz w:val="20"/>
                <w:szCs w:val="20"/>
                <w:lang w:val="en-US"/>
              </w:rPr>
              <w:t>1.6</w:t>
            </w:r>
          </w:p>
        </w:tc>
        <w:tc>
          <w:tcPr>
            <w:tcW w:w="1054" w:type="dxa"/>
            <w:tcBorders>
              <w:bottom w:val="single" w:sz="4" w:space="0" w:color="auto"/>
            </w:tcBorders>
            <w:vAlign w:val="center"/>
          </w:tcPr>
          <w:p w14:paraId="67F9CB01" w14:textId="630FA6B8" w:rsidR="00B66D5B" w:rsidRPr="00DB6913" w:rsidRDefault="00B66D5B" w:rsidP="00B66D5B">
            <w:pPr>
              <w:widowControl/>
              <w:spacing w:before="40" w:after="40"/>
              <w:jc w:val="center"/>
              <w:rPr>
                <w:sz w:val="20"/>
                <w:szCs w:val="20"/>
                <w:lang w:eastAsia="zh-CN"/>
              </w:rPr>
            </w:pPr>
            <w:r w:rsidRPr="006771EF">
              <w:rPr>
                <w:sz w:val="20"/>
                <w:szCs w:val="20"/>
                <w:lang w:val="en-US"/>
              </w:rPr>
              <w:t>1.99</w:t>
            </w:r>
          </w:p>
        </w:tc>
      </w:tr>
      <w:tr w:rsidR="008403C0" w14:paraId="3FF8BCE5" w14:textId="77777777" w:rsidTr="00C25D62">
        <w:tc>
          <w:tcPr>
            <w:tcW w:w="2875" w:type="dxa"/>
            <w:tcBorders>
              <w:top w:val="single" w:sz="4" w:space="0" w:color="auto"/>
              <w:bottom w:val="single" w:sz="4" w:space="0" w:color="auto"/>
            </w:tcBorders>
            <w:vAlign w:val="center"/>
          </w:tcPr>
          <w:p w14:paraId="601D7BF1" w14:textId="02227E53" w:rsidR="008403C0" w:rsidRPr="008403C0" w:rsidRDefault="008403C0" w:rsidP="008403C0">
            <w:pPr>
              <w:widowControl/>
              <w:spacing w:before="40" w:after="40"/>
              <w:jc w:val="left"/>
              <w:rPr>
                <w:b/>
                <w:i/>
                <w:sz w:val="20"/>
                <w:szCs w:val="20"/>
                <w:lang w:eastAsia="zh-CN"/>
              </w:rPr>
            </w:pPr>
            <w:r w:rsidRPr="008403C0">
              <w:rPr>
                <w:b/>
                <w:i/>
                <w:sz w:val="20"/>
                <w:szCs w:val="20"/>
                <w:lang w:eastAsia="zh-CN"/>
              </w:rPr>
              <w:t>Total Australian Equities</w:t>
            </w:r>
          </w:p>
        </w:tc>
        <w:tc>
          <w:tcPr>
            <w:tcW w:w="1478" w:type="dxa"/>
            <w:tcBorders>
              <w:top w:val="single" w:sz="4" w:space="0" w:color="auto"/>
              <w:bottom w:val="single" w:sz="4" w:space="0" w:color="auto"/>
            </w:tcBorders>
            <w:vAlign w:val="center"/>
          </w:tcPr>
          <w:p w14:paraId="6628A5CA" w14:textId="4FD88FEB" w:rsidR="008403C0" w:rsidRPr="008403C0" w:rsidRDefault="008403C0" w:rsidP="008403C0">
            <w:pPr>
              <w:widowControl/>
              <w:spacing w:before="40" w:after="40"/>
              <w:jc w:val="center"/>
              <w:rPr>
                <w:sz w:val="20"/>
                <w:szCs w:val="20"/>
                <w:lang w:eastAsia="zh-CN"/>
              </w:rPr>
            </w:pPr>
            <w:r w:rsidRPr="008403C0">
              <w:rPr>
                <w:sz w:val="20"/>
                <w:szCs w:val="20"/>
                <w:lang w:val="en-US"/>
              </w:rPr>
              <w:t>iShares Core S&amp;P/ASX 200</w:t>
            </w:r>
          </w:p>
        </w:tc>
        <w:tc>
          <w:tcPr>
            <w:tcW w:w="1242" w:type="dxa"/>
            <w:tcBorders>
              <w:top w:val="single" w:sz="4" w:space="0" w:color="auto"/>
              <w:bottom w:val="single" w:sz="4" w:space="0" w:color="auto"/>
            </w:tcBorders>
            <w:vAlign w:val="center"/>
          </w:tcPr>
          <w:p w14:paraId="406D1D09" w14:textId="77777777" w:rsidR="008403C0" w:rsidRPr="008403C0" w:rsidRDefault="008403C0" w:rsidP="008403C0">
            <w:pPr>
              <w:widowControl/>
              <w:spacing w:before="40" w:after="40"/>
              <w:jc w:val="center"/>
              <w:rPr>
                <w:b/>
                <w:i/>
                <w:sz w:val="20"/>
                <w:szCs w:val="20"/>
                <w:lang w:eastAsia="zh-CN"/>
              </w:rPr>
            </w:pPr>
          </w:p>
        </w:tc>
        <w:tc>
          <w:tcPr>
            <w:tcW w:w="1301" w:type="dxa"/>
            <w:tcBorders>
              <w:top w:val="single" w:sz="4" w:space="0" w:color="auto"/>
              <w:bottom w:val="single" w:sz="4" w:space="0" w:color="auto"/>
            </w:tcBorders>
            <w:vAlign w:val="center"/>
          </w:tcPr>
          <w:p w14:paraId="34FFB644" w14:textId="77777777" w:rsidR="008403C0" w:rsidRPr="008403C0" w:rsidRDefault="008403C0" w:rsidP="008403C0">
            <w:pPr>
              <w:widowControl/>
              <w:spacing w:before="40" w:after="40"/>
              <w:jc w:val="center"/>
              <w:rPr>
                <w:b/>
                <w:i/>
                <w:sz w:val="20"/>
                <w:szCs w:val="20"/>
                <w:lang w:eastAsia="zh-CN"/>
              </w:rPr>
            </w:pPr>
          </w:p>
        </w:tc>
        <w:tc>
          <w:tcPr>
            <w:tcW w:w="1071" w:type="dxa"/>
            <w:tcBorders>
              <w:top w:val="single" w:sz="4" w:space="0" w:color="auto"/>
              <w:bottom w:val="single" w:sz="4" w:space="0" w:color="auto"/>
            </w:tcBorders>
            <w:vAlign w:val="center"/>
          </w:tcPr>
          <w:p w14:paraId="47E68625" w14:textId="4F89FAD1" w:rsidR="008403C0" w:rsidRPr="008403C0" w:rsidRDefault="008403C0" w:rsidP="008403C0">
            <w:pPr>
              <w:widowControl/>
              <w:spacing w:before="40" w:after="40"/>
              <w:jc w:val="center"/>
              <w:rPr>
                <w:b/>
                <w:i/>
                <w:sz w:val="20"/>
                <w:szCs w:val="20"/>
                <w:lang w:eastAsia="zh-CN"/>
              </w:rPr>
            </w:pPr>
            <w:r w:rsidRPr="008403C0">
              <w:rPr>
                <w:b/>
                <w:i/>
                <w:sz w:val="20"/>
                <w:szCs w:val="20"/>
                <w:lang w:eastAsia="zh-CN"/>
              </w:rPr>
              <w:t>60</w:t>
            </w:r>
          </w:p>
        </w:tc>
        <w:tc>
          <w:tcPr>
            <w:tcW w:w="1117" w:type="dxa"/>
            <w:tcBorders>
              <w:top w:val="single" w:sz="4" w:space="0" w:color="auto"/>
              <w:bottom w:val="single" w:sz="4" w:space="0" w:color="auto"/>
            </w:tcBorders>
            <w:vAlign w:val="center"/>
          </w:tcPr>
          <w:p w14:paraId="510019EE" w14:textId="3A4D1CEB" w:rsidR="008403C0" w:rsidRPr="008403C0" w:rsidRDefault="008403C0" w:rsidP="008403C0">
            <w:pPr>
              <w:widowControl/>
              <w:spacing w:before="40" w:after="40"/>
              <w:jc w:val="center"/>
              <w:rPr>
                <w:b/>
                <w:i/>
                <w:sz w:val="20"/>
                <w:szCs w:val="20"/>
                <w:lang w:eastAsia="zh-CN"/>
              </w:rPr>
            </w:pPr>
            <w:r w:rsidRPr="008403C0">
              <w:rPr>
                <w:b/>
                <w:i/>
                <w:sz w:val="20"/>
                <w:szCs w:val="20"/>
                <w:lang w:eastAsia="zh-CN"/>
              </w:rPr>
              <w:t>60.6</w:t>
            </w:r>
          </w:p>
        </w:tc>
        <w:tc>
          <w:tcPr>
            <w:tcW w:w="1054" w:type="dxa"/>
            <w:tcBorders>
              <w:top w:val="single" w:sz="4" w:space="0" w:color="auto"/>
              <w:bottom w:val="single" w:sz="4" w:space="0" w:color="auto"/>
            </w:tcBorders>
            <w:vAlign w:val="center"/>
          </w:tcPr>
          <w:p w14:paraId="0BEFA764" w14:textId="77777777" w:rsidR="008403C0" w:rsidRPr="008403C0" w:rsidRDefault="008403C0" w:rsidP="008403C0">
            <w:pPr>
              <w:widowControl/>
              <w:spacing w:before="40" w:after="40"/>
              <w:jc w:val="center"/>
              <w:rPr>
                <w:b/>
                <w:i/>
                <w:sz w:val="20"/>
                <w:szCs w:val="20"/>
                <w:lang w:eastAsia="zh-CN"/>
              </w:rPr>
            </w:pPr>
          </w:p>
        </w:tc>
      </w:tr>
      <w:tr w:rsidR="008403C0" w14:paraId="338BA065" w14:textId="77777777" w:rsidTr="00C25D62">
        <w:tc>
          <w:tcPr>
            <w:tcW w:w="2875" w:type="dxa"/>
            <w:tcBorders>
              <w:top w:val="single" w:sz="4" w:space="0" w:color="auto"/>
            </w:tcBorders>
            <w:vAlign w:val="center"/>
          </w:tcPr>
          <w:p w14:paraId="764A86C6" w14:textId="77777777" w:rsidR="008403C0" w:rsidRPr="008403C0" w:rsidRDefault="008403C0" w:rsidP="008403C0">
            <w:pPr>
              <w:widowControl/>
              <w:spacing w:before="40" w:after="40"/>
              <w:jc w:val="left"/>
              <w:rPr>
                <w:sz w:val="8"/>
                <w:szCs w:val="8"/>
                <w:lang w:eastAsia="zh-CN"/>
              </w:rPr>
            </w:pPr>
          </w:p>
        </w:tc>
        <w:tc>
          <w:tcPr>
            <w:tcW w:w="1478" w:type="dxa"/>
            <w:tcBorders>
              <w:top w:val="single" w:sz="4" w:space="0" w:color="auto"/>
            </w:tcBorders>
            <w:vAlign w:val="center"/>
          </w:tcPr>
          <w:p w14:paraId="2421483A" w14:textId="77777777" w:rsidR="008403C0" w:rsidRPr="008403C0" w:rsidRDefault="008403C0" w:rsidP="008403C0">
            <w:pPr>
              <w:widowControl/>
              <w:spacing w:before="40" w:after="40"/>
              <w:jc w:val="center"/>
              <w:rPr>
                <w:sz w:val="8"/>
                <w:szCs w:val="8"/>
                <w:lang w:eastAsia="zh-CN"/>
              </w:rPr>
            </w:pPr>
          </w:p>
        </w:tc>
        <w:tc>
          <w:tcPr>
            <w:tcW w:w="1242" w:type="dxa"/>
            <w:tcBorders>
              <w:top w:val="single" w:sz="4" w:space="0" w:color="auto"/>
            </w:tcBorders>
            <w:vAlign w:val="center"/>
          </w:tcPr>
          <w:p w14:paraId="2BDC9AEF" w14:textId="77777777" w:rsidR="008403C0" w:rsidRPr="008403C0" w:rsidRDefault="008403C0" w:rsidP="008403C0">
            <w:pPr>
              <w:widowControl/>
              <w:spacing w:before="40" w:after="40"/>
              <w:jc w:val="center"/>
              <w:rPr>
                <w:sz w:val="8"/>
                <w:szCs w:val="8"/>
                <w:lang w:eastAsia="zh-CN"/>
              </w:rPr>
            </w:pPr>
          </w:p>
        </w:tc>
        <w:tc>
          <w:tcPr>
            <w:tcW w:w="1301" w:type="dxa"/>
            <w:tcBorders>
              <w:top w:val="single" w:sz="4" w:space="0" w:color="auto"/>
            </w:tcBorders>
            <w:vAlign w:val="center"/>
          </w:tcPr>
          <w:p w14:paraId="49308FB3" w14:textId="77777777" w:rsidR="008403C0" w:rsidRPr="008403C0" w:rsidRDefault="008403C0" w:rsidP="008403C0">
            <w:pPr>
              <w:widowControl/>
              <w:spacing w:before="40" w:after="40"/>
              <w:jc w:val="center"/>
              <w:rPr>
                <w:sz w:val="8"/>
                <w:szCs w:val="8"/>
                <w:lang w:eastAsia="zh-CN"/>
              </w:rPr>
            </w:pPr>
          </w:p>
        </w:tc>
        <w:tc>
          <w:tcPr>
            <w:tcW w:w="1071" w:type="dxa"/>
            <w:tcBorders>
              <w:top w:val="single" w:sz="4" w:space="0" w:color="auto"/>
            </w:tcBorders>
          </w:tcPr>
          <w:p w14:paraId="4A8F0461" w14:textId="77777777" w:rsidR="008403C0" w:rsidRPr="008403C0" w:rsidRDefault="008403C0" w:rsidP="008403C0">
            <w:pPr>
              <w:widowControl/>
              <w:spacing w:before="40" w:after="40"/>
              <w:jc w:val="center"/>
              <w:rPr>
                <w:sz w:val="8"/>
                <w:szCs w:val="8"/>
                <w:lang w:eastAsia="zh-CN"/>
              </w:rPr>
            </w:pPr>
          </w:p>
        </w:tc>
        <w:tc>
          <w:tcPr>
            <w:tcW w:w="1117" w:type="dxa"/>
            <w:tcBorders>
              <w:top w:val="single" w:sz="4" w:space="0" w:color="auto"/>
            </w:tcBorders>
            <w:vAlign w:val="center"/>
          </w:tcPr>
          <w:p w14:paraId="6705ADCD" w14:textId="71B51261" w:rsidR="008403C0" w:rsidRPr="008403C0" w:rsidRDefault="008403C0" w:rsidP="008403C0">
            <w:pPr>
              <w:widowControl/>
              <w:spacing w:before="40" w:after="40"/>
              <w:jc w:val="center"/>
              <w:rPr>
                <w:sz w:val="8"/>
                <w:szCs w:val="8"/>
                <w:lang w:eastAsia="zh-CN"/>
              </w:rPr>
            </w:pPr>
          </w:p>
        </w:tc>
        <w:tc>
          <w:tcPr>
            <w:tcW w:w="1054" w:type="dxa"/>
            <w:tcBorders>
              <w:top w:val="single" w:sz="4" w:space="0" w:color="auto"/>
            </w:tcBorders>
            <w:vAlign w:val="center"/>
          </w:tcPr>
          <w:p w14:paraId="5FE98144" w14:textId="77777777" w:rsidR="008403C0" w:rsidRPr="008403C0" w:rsidRDefault="008403C0" w:rsidP="008403C0">
            <w:pPr>
              <w:widowControl/>
              <w:spacing w:before="40" w:after="40"/>
              <w:jc w:val="center"/>
              <w:rPr>
                <w:sz w:val="8"/>
                <w:szCs w:val="8"/>
                <w:lang w:eastAsia="zh-CN"/>
              </w:rPr>
            </w:pPr>
          </w:p>
        </w:tc>
      </w:tr>
      <w:tr w:rsidR="008403C0" w14:paraId="7D6B4CEA" w14:textId="77777777" w:rsidTr="00C25D62">
        <w:tc>
          <w:tcPr>
            <w:tcW w:w="2875" w:type="dxa"/>
            <w:vAlign w:val="center"/>
          </w:tcPr>
          <w:p w14:paraId="601A7895" w14:textId="16C44AF1" w:rsidR="008403C0" w:rsidRPr="008403C0" w:rsidRDefault="008403C0" w:rsidP="008403C0">
            <w:pPr>
              <w:widowControl/>
              <w:spacing w:before="40" w:after="40"/>
              <w:jc w:val="left"/>
              <w:rPr>
                <w:b/>
                <w:i/>
                <w:sz w:val="20"/>
                <w:szCs w:val="20"/>
                <w:lang w:eastAsia="zh-CN"/>
              </w:rPr>
            </w:pPr>
            <w:r w:rsidRPr="008403C0">
              <w:rPr>
                <w:b/>
                <w:i/>
                <w:sz w:val="20"/>
                <w:szCs w:val="20"/>
                <w:lang w:eastAsia="zh-CN"/>
              </w:rPr>
              <w:t>International Equities</w:t>
            </w:r>
          </w:p>
        </w:tc>
        <w:tc>
          <w:tcPr>
            <w:tcW w:w="1478" w:type="dxa"/>
            <w:vAlign w:val="center"/>
          </w:tcPr>
          <w:p w14:paraId="7290D540" w14:textId="77777777" w:rsidR="008403C0" w:rsidRPr="008403C0" w:rsidRDefault="008403C0" w:rsidP="008403C0">
            <w:pPr>
              <w:widowControl/>
              <w:spacing w:before="40" w:after="40"/>
              <w:jc w:val="center"/>
              <w:rPr>
                <w:b/>
                <w:i/>
                <w:sz w:val="20"/>
                <w:szCs w:val="20"/>
                <w:lang w:eastAsia="zh-CN"/>
              </w:rPr>
            </w:pPr>
          </w:p>
        </w:tc>
        <w:tc>
          <w:tcPr>
            <w:tcW w:w="1242" w:type="dxa"/>
            <w:vAlign w:val="center"/>
          </w:tcPr>
          <w:p w14:paraId="3951F262" w14:textId="77777777" w:rsidR="008403C0" w:rsidRPr="008403C0" w:rsidRDefault="008403C0" w:rsidP="008403C0">
            <w:pPr>
              <w:widowControl/>
              <w:spacing w:before="40" w:after="40"/>
              <w:jc w:val="center"/>
              <w:rPr>
                <w:b/>
                <w:i/>
                <w:sz w:val="20"/>
                <w:szCs w:val="20"/>
                <w:lang w:eastAsia="zh-CN"/>
              </w:rPr>
            </w:pPr>
          </w:p>
        </w:tc>
        <w:tc>
          <w:tcPr>
            <w:tcW w:w="1301" w:type="dxa"/>
            <w:vAlign w:val="center"/>
          </w:tcPr>
          <w:p w14:paraId="17CC7671" w14:textId="77777777" w:rsidR="008403C0" w:rsidRPr="008403C0" w:rsidRDefault="008403C0" w:rsidP="008403C0">
            <w:pPr>
              <w:widowControl/>
              <w:spacing w:before="40" w:after="40"/>
              <w:jc w:val="center"/>
              <w:rPr>
                <w:b/>
                <w:i/>
                <w:sz w:val="20"/>
                <w:szCs w:val="20"/>
                <w:lang w:eastAsia="zh-CN"/>
              </w:rPr>
            </w:pPr>
          </w:p>
        </w:tc>
        <w:tc>
          <w:tcPr>
            <w:tcW w:w="1071" w:type="dxa"/>
          </w:tcPr>
          <w:p w14:paraId="2290D951" w14:textId="77777777" w:rsidR="008403C0" w:rsidRPr="008403C0" w:rsidRDefault="008403C0" w:rsidP="008403C0">
            <w:pPr>
              <w:widowControl/>
              <w:spacing w:before="40" w:after="40"/>
              <w:jc w:val="center"/>
              <w:rPr>
                <w:b/>
                <w:i/>
                <w:sz w:val="20"/>
                <w:szCs w:val="20"/>
                <w:lang w:eastAsia="zh-CN"/>
              </w:rPr>
            </w:pPr>
          </w:p>
        </w:tc>
        <w:tc>
          <w:tcPr>
            <w:tcW w:w="1117" w:type="dxa"/>
            <w:vAlign w:val="center"/>
          </w:tcPr>
          <w:p w14:paraId="19E8828D" w14:textId="6BA7E1DD" w:rsidR="008403C0" w:rsidRPr="008403C0" w:rsidRDefault="008403C0" w:rsidP="008403C0">
            <w:pPr>
              <w:widowControl/>
              <w:spacing w:before="40" w:after="40"/>
              <w:jc w:val="center"/>
              <w:rPr>
                <w:b/>
                <w:i/>
                <w:sz w:val="20"/>
                <w:szCs w:val="20"/>
                <w:lang w:eastAsia="zh-CN"/>
              </w:rPr>
            </w:pPr>
          </w:p>
        </w:tc>
        <w:tc>
          <w:tcPr>
            <w:tcW w:w="1054" w:type="dxa"/>
            <w:vAlign w:val="center"/>
          </w:tcPr>
          <w:p w14:paraId="07E5293A" w14:textId="77777777" w:rsidR="008403C0" w:rsidRPr="00DB6913" w:rsidRDefault="008403C0" w:rsidP="008403C0">
            <w:pPr>
              <w:widowControl/>
              <w:spacing w:before="40" w:after="40"/>
              <w:jc w:val="center"/>
              <w:rPr>
                <w:sz w:val="20"/>
                <w:szCs w:val="20"/>
                <w:lang w:eastAsia="zh-CN"/>
              </w:rPr>
            </w:pPr>
          </w:p>
        </w:tc>
      </w:tr>
      <w:tr w:rsidR="008403C0" w14:paraId="5C775B20" w14:textId="77777777" w:rsidTr="00C25D62">
        <w:tc>
          <w:tcPr>
            <w:tcW w:w="2875" w:type="dxa"/>
            <w:vAlign w:val="center"/>
          </w:tcPr>
          <w:p w14:paraId="7DA19D18" w14:textId="3FF0E3C0" w:rsidR="008403C0" w:rsidRPr="00DB6913" w:rsidRDefault="008403C0" w:rsidP="008403C0">
            <w:pPr>
              <w:widowControl/>
              <w:spacing w:before="40" w:after="40"/>
              <w:jc w:val="left"/>
              <w:rPr>
                <w:sz w:val="20"/>
                <w:szCs w:val="20"/>
                <w:lang w:eastAsia="zh-CN"/>
              </w:rPr>
            </w:pPr>
            <w:r w:rsidRPr="006771EF">
              <w:rPr>
                <w:sz w:val="20"/>
                <w:szCs w:val="20"/>
                <w:lang w:val="en-US"/>
              </w:rPr>
              <w:t>International Equities, Unhedged</w:t>
            </w:r>
          </w:p>
        </w:tc>
        <w:tc>
          <w:tcPr>
            <w:tcW w:w="1478" w:type="dxa"/>
            <w:vAlign w:val="center"/>
          </w:tcPr>
          <w:p w14:paraId="3C148ED1" w14:textId="45A7CE7C" w:rsidR="008403C0" w:rsidRPr="00DB6913" w:rsidRDefault="008403C0" w:rsidP="008403C0">
            <w:pPr>
              <w:widowControl/>
              <w:spacing w:before="40" w:after="40"/>
              <w:jc w:val="center"/>
              <w:rPr>
                <w:sz w:val="20"/>
                <w:szCs w:val="20"/>
                <w:lang w:eastAsia="zh-CN"/>
              </w:rPr>
            </w:pPr>
            <w:r w:rsidRPr="006771EF">
              <w:rPr>
                <w:sz w:val="20"/>
                <w:szCs w:val="20"/>
                <w:lang w:val="en-US"/>
              </w:rPr>
              <w:t>Vanguard International Shares Index</w:t>
            </w:r>
          </w:p>
        </w:tc>
        <w:tc>
          <w:tcPr>
            <w:tcW w:w="1242" w:type="dxa"/>
            <w:vAlign w:val="center"/>
          </w:tcPr>
          <w:p w14:paraId="7BB7AD62" w14:textId="77777777" w:rsidR="008403C0" w:rsidRPr="00DB6913" w:rsidRDefault="008403C0" w:rsidP="008403C0">
            <w:pPr>
              <w:widowControl/>
              <w:spacing w:before="40" w:after="40"/>
              <w:jc w:val="center"/>
              <w:rPr>
                <w:sz w:val="20"/>
                <w:szCs w:val="20"/>
                <w:lang w:eastAsia="zh-CN"/>
              </w:rPr>
            </w:pPr>
            <w:r w:rsidRPr="006771EF">
              <w:rPr>
                <w:sz w:val="20"/>
                <w:szCs w:val="20"/>
                <w:lang w:val="en-US"/>
              </w:rPr>
              <w:t>62,669.80</w:t>
            </w:r>
          </w:p>
        </w:tc>
        <w:tc>
          <w:tcPr>
            <w:tcW w:w="1301" w:type="dxa"/>
            <w:vAlign w:val="center"/>
          </w:tcPr>
          <w:p w14:paraId="5083710D" w14:textId="77777777" w:rsidR="008403C0" w:rsidRPr="00DB6913" w:rsidRDefault="008403C0" w:rsidP="008403C0">
            <w:pPr>
              <w:widowControl/>
              <w:spacing w:before="40" w:after="40"/>
              <w:jc w:val="center"/>
              <w:rPr>
                <w:sz w:val="20"/>
                <w:szCs w:val="20"/>
                <w:lang w:eastAsia="zh-CN"/>
              </w:rPr>
            </w:pPr>
            <w:r w:rsidRPr="006771EF">
              <w:rPr>
                <w:sz w:val="20"/>
                <w:szCs w:val="20"/>
                <w:lang w:val="en-US"/>
              </w:rPr>
              <w:t>64,653.2</w:t>
            </w:r>
            <w:r>
              <w:rPr>
                <w:sz w:val="20"/>
                <w:szCs w:val="20"/>
                <w:lang w:val="en-US"/>
              </w:rPr>
              <w:t>0</w:t>
            </w:r>
          </w:p>
        </w:tc>
        <w:tc>
          <w:tcPr>
            <w:tcW w:w="1071" w:type="dxa"/>
            <w:vAlign w:val="center"/>
          </w:tcPr>
          <w:p w14:paraId="20EAEBEF" w14:textId="18F74DD8" w:rsidR="008403C0" w:rsidRPr="006771EF" w:rsidRDefault="008403C0" w:rsidP="008403C0">
            <w:pPr>
              <w:widowControl/>
              <w:spacing w:before="40" w:after="40"/>
              <w:jc w:val="center"/>
              <w:rPr>
                <w:sz w:val="20"/>
                <w:szCs w:val="20"/>
                <w:lang w:val="en-US"/>
              </w:rPr>
            </w:pPr>
            <w:r>
              <w:rPr>
                <w:sz w:val="20"/>
                <w:szCs w:val="20"/>
                <w:lang w:val="en-US"/>
              </w:rPr>
              <w:t>10</w:t>
            </w:r>
          </w:p>
        </w:tc>
        <w:tc>
          <w:tcPr>
            <w:tcW w:w="1117" w:type="dxa"/>
            <w:vAlign w:val="center"/>
          </w:tcPr>
          <w:p w14:paraId="5D94E1A7" w14:textId="5E40D659" w:rsidR="008403C0" w:rsidRPr="00DB6913" w:rsidRDefault="008403C0" w:rsidP="008403C0">
            <w:pPr>
              <w:widowControl/>
              <w:spacing w:before="40" w:after="40"/>
              <w:jc w:val="center"/>
              <w:rPr>
                <w:sz w:val="20"/>
                <w:szCs w:val="20"/>
                <w:lang w:eastAsia="zh-CN"/>
              </w:rPr>
            </w:pPr>
            <w:r>
              <w:rPr>
                <w:sz w:val="20"/>
                <w:szCs w:val="20"/>
                <w:lang w:val="en-US"/>
              </w:rPr>
              <w:t>10.1</w:t>
            </w:r>
          </w:p>
        </w:tc>
        <w:tc>
          <w:tcPr>
            <w:tcW w:w="1054" w:type="dxa"/>
            <w:vAlign w:val="center"/>
          </w:tcPr>
          <w:p w14:paraId="33A1AD05" w14:textId="77777777" w:rsidR="008403C0" w:rsidRPr="00DB6913" w:rsidRDefault="008403C0" w:rsidP="008403C0">
            <w:pPr>
              <w:widowControl/>
              <w:spacing w:before="40" w:after="40"/>
              <w:jc w:val="center"/>
              <w:rPr>
                <w:sz w:val="20"/>
                <w:szCs w:val="20"/>
                <w:lang w:eastAsia="zh-CN"/>
              </w:rPr>
            </w:pPr>
            <w:r w:rsidRPr="006771EF">
              <w:rPr>
                <w:sz w:val="20"/>
                <w:szCs w:val="20"/>
                <w:lang w:val="en-US"/>
              </w:rPr>
              <w:t>3.16</w:t>
            </w:r>
          </w:p>
        </w:tc>
      </w:tr>
      <w:tr w:rsidR="008403C0" w14:paraId="5662AD2A" w14:textId="77777777" w:rsidTr="00C25D62">
        <w:tc>
          <w:tcPr>
            <w:tcW w:w="2875" w:type="dxa"/>
            <w:tcBorders>
              <w:bottom w:val="single" w:sz="4" w:space="0" w:color="auto"/>
            </w:tcBorders>
            <w:vAlign w:val="center"/>
          </w:tcPr>
          <w:p w14:paraId="566A762B" w14:textId="1DB89B7D" w:rsidR="008403C0" w:rsidRPr="00DB6913" w:rsidRDefault="008403C0" w:rsidP="008403C0">
            <w:pPr>
              <w:widowControl/>
              <w:spacing w:before="40" w:after="40"/>
              <w:jc w:val="left"/>
              <w:rPr>
                <w:sz w:val="20"/>
                <w:szCs w:val="20"/>
                <w:lang w:eastAsia="zh-CN"/>
              </w:rPr>
            </w:pPr>
            <w:r w:rsidRPr="006771EF">
              <w:rPr>
                <w:sz w:val="20"/>
                <w:szCs w:val="20"/>
                <w:lang w:val="en-US"/>
              </w:rPr>
              <w:t>International Equities, Hedged</w:t>
            </w:r>
          </w:p>
        </w:tc>
        <w:tc>
          <w:tcPr>
            <w:tcW w:w="1478" w:type="dxa"/>
            <w:tcBorders>
              <w:bottom w:val="single" w:sz="4" w:space="0" w:color="auto"/>
            </w:tcBorders>
            <w:vAlign w:val="center"/>
          </w:tcPr>
          <w:p w14:paraId="4D443B25" w14:textId="4E31C694" w:rsidR="008403C0" w:rsidRPr="00DB6913" w:rsidRDefault="008403C0" w:rsidP="008403C0">
            <w:pPr>
              <w:widowControl/>
              <w:spacing w:before="40" w:after="40"/>
              <w:jc w:val="center"/>
              <w:rPr>
                <w:sz w:val="20"/>
                <w:szCs w:val="20"/>
                <w:lang w:eastAsia="zh-CN"/>
              </w:rPr>
            </w:pPr>
            <w:r w:rsidRPr="006771EF">
              <w:rPr>
                <w:sz w:val="20"/>
                <w:szCs w:val="20"/>
                <w:lang w:val="en-US"/>
              </w:rPr>
              <w:t>Vanguard International Shares Index, Hedged</w:t>
            </w:r>
          </w:p>
        </w:tc>
        <w:tc>
          <w:tcPr>
            <w:tcW w:w="1242" w:type="dxa"/>
            <w:tcBorders>
              <w:bottom w:val="single" w:sz="4" w:space="0" w:color="auto"/>
            </w:tcBorders>
            <w:vAlign w:val="center"/>
          </w:tcPr>
          <w:p w14:paraId="4D9DC705" w14:textId="669BF022" w:rsidR="008403C0" w:rsidRPr="00DB6913" w:rsidRDefault="008403C0" w:rsidP="008403C0">
            <w:pPr>
              <w:widowControl/>
              <w:spacing w:before="40" w:after="40"/>
              <w:jc w:val="center"/>
              <w:rPr>
                <w:sz w:val="20"/>
                <w:szCs w:val="20"/>
                <w:lang w:eastAsia="zh-CN"/>
              </w:rPr>
            </w:pPr>
            <w:r w:rsidRPr="006771EF">
              <w:rPr>
                <w:sz w:val="20"/>
                <w:szCs w:val="20"/>
                <w:lang w:val="en-US"/>
              </w:rPr>
              <w:t>63,368.44</w:t>
            </w:r>
          </w:p>
        </w:tc>
        <w:tc>
          <w:tcPr>
            <w:tcW w:w="1301" w:type="dxa"/>
            <w:tcBorders>
              <w:bottom w:val="single" w:sz="4" w:space="0" w:color="auto"/>
            </w:tcBorders>
            <w:vAlign w:val="center"/>
          </w:tcPr>
          <w:p w14:paraId="38E8D6B8" w14:textId="0758366D" w:rsidR="008403C0" w:rsidRPr="00DB6913" w:rsidRDefault="008403C0" w:rsidP="008403C0">
            <w:pPr>
              <w:widowControl/>
              <w:spacing w:before="40" w:after="40"/>
              <w:jc w:val="center"/>
              <w:rPr>
                <w:sz w:val="20"/>
                <w:szCs w:val="20"/>
                <w:lang w:eastAsia="zh-CN"/>
              </w:rPr>
            </w:pPr>
            <w:r w:rsidRPr="006771EF">
              <w:rPr>
                <w:sz w:val="20"/>
                <w:szCs w:val="20"/>
                <w:lang w:val="en-US"/>
              </w:rPr>
              <w:t>64,839.18</w:t>
            </w:r>
          </w:p>
        </w:tc>
        <w:tc>
          <w:tcPr>
            <w:tcW w:w="1071" w:type="dxa"/>
            <w:tcBorders>
              <w:bottom w:val="single" w:sz="4" w:space="0" w:color="auto"/>
            </w:tcBorders>
            <w:vAlign w:val="center"/>
          </w:tcPr>
          <w:p w14:paraId="4D670574" w14:textId="27FC286E" w:rsidR="008403C0" w:rsidRPr="006771EF" w:rsidRDefault="008403C0" w:rsidP="008403C0">
            <w:pPr>
              <w:widowControl/>
              <w:spacing w:before="40" w:after="40"/>
              <w:jc w:val="center"/>
              <w:rPr>
                <w:sz w:val="20"/>
                <w:szCs w:val="20"/>
                <w:lang w:val="en-US"/>
              </w:rPr>
            </w:pPr>
            <w:r>
              <w:rPr>
                <w:sz w:val="20"/>
                <w:szCs w:val="20"/>
                <w:lang w:val="en-US"/>
              </w:rPr>
              <w:t>10</w:t>
            </w:r>
          </w:p>
        </w:tc>
        <w:tc>
          <w:tcPr>
            <w:tcW w:w="1117" w:type="dxa"/>
            <w:tcBorders>
              <w:bottom w:val="single" w:sz="4" w:space="0" w:color="auto"/>
            </w:tcBorders>
            <w:vAlign w:val="center"/>
          </w:tcPr>
          <w:p w14:paraId="57822AC2" w14:textId="2239D5D0" w:rsidR="008403C0" w:rsidRPr="00DB6913" w:rsidRDefault="008403C0" w:rsidP="008403C0">
            <w:pPr>
              <w:widowControl/>
              <w:spacing w:before="40" w:after="40"/>
              <w:jc w:val="center"/>
              <w:rPr>
                <w:sz w:val="20"/>
                <w:szCs w:val="20"/>
                <w:lang w:eastAsia="zh-CN"/>
              </w:rPr>
            </w:pPr>
            <w:r>
              <w:rPr>
                <w:sz w:val="20"/>
                <w:szCs w:val="20"/>
                <w:lang w:val="en-US"/>
              </w:rPr>
              <w:t>10.2</w:t>
            </w:r>
          </w:p>
        </w:tc>
        <w:tc>
          <w:tcPr>
            <w:tcW w:w="1054" w:type="dxa"/>
            <w:tcBorders>
              <w:bottom w:val="single" w:sz="4" w:space="0" w:color="auto"/>
            </w:tcBorders>
            <w:vAlign w:val="center"/>
          </w:tcPr>
          <w:p w14:paraId="37AF2D1E" w14:textId="711840D3" w:rsidR="008403C0" w:rsidRPr="00DB6913" w:rsidRDefault="008403C0" w:rsidP="008403C0">
            <w:pPr>
              <w:widowControl/>
              <w:spacing w:before="40" w:after="40"/>
              <w:jc w:val="center"/>
              <w:rPr>
                <w:sz w:val="20"/>
                <w:szCs w:val="20"/>
                <w:lang w:eastAsia="zh-CN"/>
              </w:rPr>
            </w:pPr>
            <w:r w:rsidRPr="006771EF">
              <w:rPr>
                <w:sz w:val="20"/>
                <w:szCs w:val="20"/>
                <w:lang w:val="en-US"/>
              </w:rPr>
              <w:t>2.32</w:t>
            </w:r>
          </w:p>
        </w:tc>
      </w:tr>
      <w:tr w:rsidR="00C25D62" w14:paraId="6423AAF1" w14:textId="77777777" w:rsidTr="00C25D62">
        <w:tc>
          <w:tcPr>
            <w:tcW w:w="2875" w:type="dxa"/>
            <w:tcBorders>
              <w:top w:val="single" w:sz="4" w:space="0" w:color="auto"/>
              <w:bottom w:val="single" w:sz="4" w:space="0" w:color="auto"/>
            </w:tcBorders>
            <w:vAlign w:val="center"/>
          </w:tcPr>
          <w:p w14:paraId="4F9B10A6" w14:textId="021BDB75" w:rsidR="008403C0" w:rsidRPr="008403C0" w:rsidRDefault="008403C0" w:rsidP="008403C0">
            <w:pPr>
              <w:widowControl/>
              <w:spacing w:before="40" w:after="40"/>
              <w:jc w:val="left"/>
              <w:rPr>
                <w:b/>
                <w:i/>
                <w:sz w:val="20"/>
                <w:szCs w:val="20"/>
                <w:lang w:eastAsia="zh-CN"/>
              </w:rPr>
            </w:pPr>
            <w:r w:rsidRPr="008403C0">
              <w:rPr>
                <w:b/>
                <w:i/>
                <w:sz w:val="20"/>
                <w:szCs w:val="20"/>
                <w:lang w:eastAsia="zh-CN"/>
              </w:rPr>
              <w:t>Total International Equities</w:t>
            </w:r>
          </w:p>
        </w:tc>
        <w:tc>
          <w:tcPr>
            <w:tcW w:w="1478" w:type="dxa"/>
            <w:tcBorders>
              <w:top w:val="single" w:sz="4" w:space="0" w:color="auto"/>
              <w:bottom w:val="single" w:sz="4" w:space="0" w:color="auto"/>
            </w:tcBorders>
            <w:vAlign w:val="center"/>
          </w:tcPr>
          <w:p w14:paraId="0ADA9F94" w14:textId="77777777" w:rsidR="008403C0" w:rsidRPr="008403C0" w:rsidRDefault="008403C0" w:rsidP="008403C0">
            <w:pPr>
              <w:widowControl/>
              <w:spacing w:before="40" w:after="40"/>
              <w:jc w:val="center"/>
              <w:rPr>
                <w:b/>
                <w:i/>
                <w:sz w:val="20"/>
                <w:szCs w:val="20"/>
                <w:lang w:eastAsia="zh-CN"/>
              </w:rPr>
            </w:pPr>
          </w:p>
        </w:tc>
        <w:tc>
          <w:tcPr>
            <w:tcW w:w="1242" w:type="dxa"/>
            <w:tcBorders>
              <w:top w:val="single" w:sz="4" w:space="0" w:color="auto"/>
              <w:bottom w:val="single" w:sz="4" w:space="0" w:color="auto"/>
            </w:tcBorders>
            <w:vAlign w:val="center"/>
          </w:tcPr>
          <w:p w14:paraId="00289A21" w14:textId="77777777" w:rsidR="008403C0" w:rsidRPr="008403C0" w:rsidRDefault="008403C0" w:rsidP="008403C0">
            <w:pPr>
              <w:widowControl/>
              <w:spacing w:before="40" w:after="40"/>
              <w:jc w:val="center"/>
              <w:rPr>
                <w:b/>
                <w:i/>
                <w:sz w:val="20"/>
                <w:szCs w:val="20"/>
                <w:lang w:eastAsia="zh-CN"/>
              </w:rPr>
            </w:pPr>
          </w:p>
        </w:tc>
        <w:tc>
          <w:tcPr>
            <w:tcW w:w="1301" w:type="dxa"/>
            <w:tcBorders>
              <w:top w:val="single" w:sz="4" w:space="0" w:color="auto"/>
              <w:bottom w:val="single" w:sz="4" w:space="0" w:color="auto"/>
            </w:tcBorders>
            <w:vAlign w:val="center"/>
          </w:tcPr>
          <w:p w14:paraId="30ADA1A8" w14:textId="77777777" w:rsidR="008403C0" w:rsidRPr="008403C0" w:rsidRDefault="008403C0" w:rsidP="008403C0">
            <w:pPr>
              <w:widowControl/>
              <w:spacing w:before="40" w:after="40"/>
              <w:jc w:val="center"/>
              <w:rPr>
                <w:b/>
                <w:i/>
                <w:sz w:val="20"/>
                <w:szCs w:val="20"/>
                <w:lang w:eastAsia="zh-CN"/>
              </w:rPr>
            </w:pPr>
          </w:p>
        </w:tc>
        <w:tc>
          <w:tcPr>
            <w:tcW w:w="1071" w:type="dxa"/>
            <w:tcBorders>
              <w:top w:val="single" w:sz="4" w:space="0" w:color="auto"/>
              <w:bottom w:val="single" w:sz="4" w:space="0" w:color="auto"/>
            </w:tcBorders>
            <w:vAlign w:val="center"/>
          </w:tcPr>
          <w:p w14:paraId="01B1C8CA" w14:textId="0D4D5EC3" w:rsidR="008403C0" w:rsidRPr="008403C0" w:rsidRDefault="008403C0" w:rsidP="008403C0">
            <w:pPr>
              <w:widowControl/>
              <w:spacing w:before="40" w:after="40"/>
              <w:jc w:val="center"/>
              <w:rPr>
                <w:b/>
                <w:i/>
                <w:sz w:val="20"/>
                <w:szCs w:val="20"/>
                <w:lang w:eastAsia="zh-CN"/>
              </w:rPr>
            </w:pPr>
            <w:r>
              <w:rPr>
                <w:b/>
                <w:i/>
                <w:sz w:val="20"/>
                <w:szCs w:val="20"/>
                <w:lang w:eastAsia="zh-CN"/>
              </w:rPr>
              <w:t>20</w:t>
            </w:r>
          </w:p>
        </w:tc>
        <w:tc>
          <w:tcPr>
            <w:tcW w:w="1117" w:type="dxa"/>
            <w:tcBorders>
              <w:top w:val="single" w:sz="4" w:space="0" w:color="auto"/>
              <w:bottom w:val="single" w:sz="4" w:space="0" w:color="auto"/>
            </w:tcBorders>
            <w:vAlign w:val="center"/>
          </w:tcPr>
          <w:p w14:paraId="101F7052" w14:textId="117D50FB" w:rsidR="008403C0" w:rsidRPr="008403C0" w:rsidRDefault="008403C0" w:rsidP="008403C0">
            <w:pPr>
              <w:widowControl/>
              <w:spacing w:before="40" w:after="40"/>
              <w:jc w:val="center"/>
              <w:rPr>
                <w:b/>
                <w:i/>
                <w:sz w:val="20"/>
                <w:szCs w:val="20"/>
                <w:lang w:eastAsia="zh-CN"/>
              </w:rPr>
            </w:pPr>
            <w:r w:rsidRPr="008403C0">
              <w:rPr>
                <w:b/>
                <w:i/>
                <w:sz w:val="20"/>
                <w:szCs w:val="20"/>
                <w:lang w:eastAsia="zh-CN"/>
              </w:rPr>
              <w:t>20.3</w:t>
            </w:r>
          </w:p>
        </w:tc>
        <w:tc>
          <w:tcPr>
            <w:tcW w:w="1054" w:type="dxa"/>
            <w:tcBorders>
              <w:top w:val="single" w:sz="4" w:space="0" w:color="auto"/>
              <w:bottom w:val="single" w:sz="4" w:space="0" w:color="auto"/>
            </w:tcBorders>
            <w:vAlign w:val="center"/>
          </w:tcPr>
          <w:p w14:paraId="2124A3D3" w14:textId="77777777" w:rsidR="008403C0" w:rsidRPr="008403C0" w:rsidRDefault="008403C0" w:rsidP="008403C0">
            <w:pPr>
              <w:widowControl/>
              <w:spacing w:before="40" w:after="40"/>
              <w:jc w:val="center"/>
              <w:rPr>
                <w:b/>
                <w:i/>
                <w:sz w:val="20"/>
                <w:szCs w:val="20"/>
                <w:lang w:eastAsia="zh-CN"/>
              </w:rPr>
            </w:pPr>
          </w:p>
        </w:tc>
      </w:tr>
      <w:tr w:rsidR="008403C0" w14:paraId="6B05DC50" w14:textId="77777777" w:rsidTr="00C25D62">
        <w:tc>
          <w:tcPr>
            <w:tcW w:w="2875" w:type="dxa"/>
            <w:tcBorders>
              <w:top w:val="single" w:sz="4" w:space="0" w:color="auto"/>
              <w:bottom w:val="single" w:sz="4" w:space="0" w:color="auto"/>
            </w:tcBorders>
            <w:vAlign w:val="center"/>
          </w:tcPr>
          <w:p w14:paraId="429FAD0B" w14:textId="2AA68F50" w:rsidR="008403C0" w:rsidRPr="008403C0" w:rsidRDefault="008403C0" w:rsidP="008403C0">
            <w:pPr>
              <w:widowControl/>
              <w:spacing w:before="40" w:after="40"/>
              <w:jc w:val="left"/>
              <w:rPr>
                <w:b/>
                <w:sz w:val="20"/>
                <w:szCs w:val="20"/>
                <w:lang w:eastAsia="zh-CN"/>
              </w:rPr>
            </w:pPr>
            <w:r>
              <w:rPr>
                <w:b/>
                <w:sz w:val="20"/>
                <w:szCs w:val="20"/>
                <w:lang w:eastAsia="zh-CN"/>
              </w:rPr>
              <w:t>Total Equities</w:t>
            </w:r>
          </w:p>
        </w:tc>
        <w:tc>
          <w:tcPr>
            <w:tcW w:w="1478" w:type="dxa"/>
            <w:tcBorders>
              <w:top w:val="single" w:sz="4" w:space="0" w:color="auto"/>
              <w:bottom w:val="single" w:sz="4" w:space="0" w:color="auto"/>
            </w:tcBorders>
            <w:vAlign w:val="center"/>
          </w:tcPr>
          <w:p w14:paraId="02BE4462" w14:textId="177B2A60" w:rsidR="008403C0" w:rsidRPr="008403C0" w:rsidRDefault="008403C0" w:rsidP="008403C0">
            <w:pPr>
              <w:widowControl/>
              <w:spacing w:before="40" w:after="40"/>
              <w:jc w:val="center"/>
              <w:rPr>
                <w:b/>
                <w:sz w:val="20"/>
                <w:szCs w:val="20"/>
                <w:lang w:eastAsia="zh-CN"/>
              </w:rPr>
            </w:pPr>
          </w:p>
        </w:tc>
        <w:tc>
          <w:tcPr>
            <w:tcW w:w="1242" w:type="dxa"/>
            <w:tcBorders>
              <w:top w:val="single" w:sz="4" w:space="0" w:color="auto"/>
              <w:bottom w:val="single" w:sz="4" w:space="0" w:color="auto"/>
            </w:tcBorders>
            <w:vAlign w:val="center"/>
          </w:tcPr>
          <w:p w14:paraId="58521EB8" w14:textId="6FE74CD3" w:rsidR="008403C0" w:rsidRPr="008403C0" w:rsidRDefault="008403C0" w:rsidP="008403C0">
            <w:pPr>
              <w:widowControl/>
              <w:spacing w:before="40" w:after="40"/>
              <w:jc w:val="center"/>
              <w:rPr>
                <w:b/>
                <w:sz w:val="20"/>
                <w:szCs w:val="20"/>
                <w:lang w:eastAsia="zh-CN"/>
              </w:rPr>
            </w:pPr>
          </w:p>
        </w:tc>
        <w:tc>
          <w:tcPr>
            <w:tcW w:w="1301" w:type="dxa"/>
            <w:tcBorders>
              <w:top w:val="single" w:sz="4" w:space="0" w:color="auto"/>
              <w:bottom w:val="single" w:sz="4" w:space="0" w:color="auto"/>
            </w:tcBorders>
            <w:vAlign w:val="center"/>
          </w:tcPr>
          <w:p w14:paraId="61715EBF" w14:textId="7F580C93" w:rsidR="008403C0" w:rsidRPr="008403C0" w:rsidRDefault="008403C0" w:rsidP="008403C0">
            <w:pPr>
              <w:widowControl/>
              <w:spacing w:before="40" w:after="40"/>
              <w:jc w:val="center"/>
              <w:rPr>
                <w:b/>
                <w:sz w:val="20"/>
                <w:szCs w:val="20"/>
                <w:lang w:eastAsia="zh-CN"/>
              </w:rPr>
            </w:pPr>
          </w:p>
        </w:tc>
        <w:tc>
          <w:tcPr>
            <w:tcW w:w="1071" w:type="dxa"/>
            <w:tcBorders>
              <w:top w:val="single" w:sz="4" w:space="0" w:color="auto"/>
              <w:bottom w:val="single" w:sz="4" w:space="0" w:color="auto"/>
            </w:tcBorders>
          </w:tcPr>
          <w:p w14:paraId="296497C0" w14:textId="2A400BB9" w:rsidR="008403C0" w:rsidRPr="008403C0" w:rsidRDefault="008403C0" w:rsidP="008403C0">
            <w:pPr>
              <w:widowControl/>
              <w:spacing w:before="40" w:after="40"/>
              <w:jc w:val="center"/>
              <w:rPr>
                <w:b/>
                <w:sz w:val="20"/>
                <w:szCs w:val="20"/>
                <w:lang w:eastAsia="zh-CN"/>
              </w:rPr>
            </w:pPr>
            <w:r w:rsidRPr="008403C0">
              <w:rPr>
                <w:b/>
                <w:sz w:val="20"/>
                <w:szCs w:val="20"/>
                <w:lang w:eastAsia="zh-CN"/>
              </w:rPr>
              <w:t>80</w:t>
            </w:r>
          </w:p>
        </w:tc>
        <w:tc>
          <w:tcPr>
            <w:tcW w:w="1117" w:type="dxa"/>
            <w:tcBorders>
              <w:top w:val="single" w:sz="4" w:space="0" w:color="auto"/>
              <w:bottom w:val="single" w:sz="4" w:space="0" w:color="auto"/>
            </w:tcBorders>
            <w:vAlign w:val="center"/>
          </w:tcPr>
          <w:p w14:paraId="554CB76D" w14:textId="7C02BF68" w:rsidR="008403C0" w:rsidRPr="008403C0" w:rsidRDefault="008403C0" w:rsidP="008403C0">
            <w:pPr>
              <w:widowControl/>
              <w:spacing w:before="40" w:after="40"/>
              <w:jc w:val="center"/>
              <w:rPr>
                <w:b/>
                <w:sz w:val="20"/>
                <w:szCs w:val="20"/>
                <w:lang w:eastAsia="zh-CN"/>
              </w:rPr>
            </w:pPr>
            <w:r w:rsidRPr="008403C0">
              <w:rPr>
                <w:b/>
                <w:sz w:val="20"/>
                <w:szCs w:val="20"/>
                <w:lang w:eastAsia="zh-CN"/>
              </w:rPr>
              <w:t>80.9</w:t>
            </w:r>
          </w:p>
        </w:tc>
        <w:tc>
          <w:tcPr>
            <w:tcW w:w="1054" w:type="dxa"/>
            <w:tcBorders>
              <w:top w:val="single" w:sz="4" w:space="0" w:color="auto"/>
              <w:bottom w:val="single" w:sz="4" w:space="0" w:color="auto"/>
            </w:tcBorders>
            <w:vAlign w:val="center"/>
          </w:tcPr>
          <w:p w14:paraId="7B25BBF7" w14:textId="0B37F643" w:rsidR="008403C0" w:rsidRPr="008403C0" w:rsidRDefault="008403C0" w:rsidP="008403C0">
            <w:pPr>
              <w:widowControl/>
              <w:spacing w:before="40" w:after="40"/>
              <w:jc w:val="center"/>
              <w:rPr>
                <w:b/>
                <w:sz w:val="20"/>
                <w:szCs w:val="20"/>
                <w:lang w:eastAsia="zh-CN"/>
              </w:rPr>
            </w:pPr>
          </w:p>
        </w:tc>
      </w:tr>
      <w:tr w:rsidR="008403C0" w14:paraId="68A2316E" w14:textId="77777777" w:rsidTr="00C25D62">
        <w:tc>
          <w:tcPr>
            <w:tcW w:w="2875" w:type="dxa"/>
            <w:tcBorders>
              <w:top w:val="single" w:sz="4" w:space="0" w:color="auto"/>
            </w:tcBorders>
            <w:vAlign w:val="center"/>
          </w:tcPr>
          <w:p w14:paraId="7B28D939" w14:textId="2021F0C5" w:rsidR="008403C0" w:rsidRPr="008403C0" w:rsidRDefault="008403C0" w:rsidP="008403C0">
            <w:pPr>
              <w:widowControl/>
              <w:spacing w:before="40" w:after="40"/>
              <w:jc w:val="left"/>
              <w:rPr>
                <w:sz w:val="12"/>
                <w:szCs w:val="12"/>
                <w:lang w:eastAsia="zh-CN"/>
              </w:rPr>
            </w:pPr>
          </w:p>
        </w:tc>
        <w:tc>
          <w:tcPr>
            <w:tcW w:w="1478" w:type="dxa"/>
            <w:tcBorders>
              <w:top w:val="single" w:sz="4" w:space="0" w:color="auto"/>
            </w:tcBorders>
            <w:vAlign w:val="center"/>
          </w:tcPr>
          <w:p w14:paraId="69225F4F" w14:textId="6C053DD4" w:rsidR="008403C0" w:rsidRPr="008403C0" w:rsidRDefault="008403C0" w:rsidP="008403C0">
            <w:pPr>
              <w:widowControl/>
              <w:spacing w:before="40" w:after="40"/>
              <w:jc w:val="center"/>
              <w:rPr>
                <w:sz w:val="12"/>
                <w:szCs w:val="12"/>
                <w:lang w:eastAsia="zh-CN"/>
              </w:rPr>
            </w:pPr>
          </w:p>
        </w:tc>
        <w:tc>
          <w:tcPr>
            <w:tcW w:w="1242" w:type="dxa"/>
            <w:tcBorders>
              <w:top w:val="single" w:sz="4" w:space="0" w:color="auto"/>
            </w:tcBorders>
            <w:vAlign w:val="center"/>
          </w:tcPr>
          <w:p w14:paraId="66AF406D" w14:textId="4CB58D94" w:rsidR="008403C0" w:rsidRPr="008403C0" w:rsidRDefault="008403C0" w:rsidP="008403C0">
            <w:pPr>
              <w:widowControl/>
              <w:spacing w:before="40" w:after="40"/>
              <w:jc w:val="center"/>
              <w:rPr>
                <w:sz w:val="12"/>
                <w:szCs w:val="12"/>
                <w:lang w:eastAsia="zh-CN"/>
              </w:rPr>
            </w:pPr>
          </w:p>
        </w:tc>
        <w:tc>
          <w:tcPr>
            <w:tcW w:w="1301" w:type="dxa"/>
            <w:tcBorders>
              <w:top w:val="single" w:sz="4" w:space="0" w:color="auto"/>
            </w:tcBorders>
            <w:vAlign w:val="center"/>
          </w:tcPr>
          <w:p w14:paraId="6C47708F" w14:textId="4D86F017" w:rsidR="008403C0" w:rsidRPr="008403C0" w:rsidRDefault="008403C0" w:rsidP="008403C0">
            <w:pPr>
              <w:widowControl/>
              <w:spacing w:before="40" w:after="40"/>
              <w:jc w:val="center"/>
              <w:rPr>
                <w:sz w:val="12"/>
                <w:szCs w:val="12"/>
                <w:lang w:eastAsia="zh-CN"/>
              </w:rPr>
            </w:pPr>
          </w:p>
        </w:tc>
        <w:tc>
          <w:tcPr>
            <w:tcW w:w="1071" w:type="dxa"/>
            <w:tcBorders>
              <w:top w:val="single" w:sz="4" w:space="0" w:color="auto"/>
            </w:tcBorders>
          </w:tcPr>
          <w:p w14:paraId="11F5F42E" w14:textId="77777777" w:rsidR="008403C0" w:rsidRPr="008403C0" w:rsidRDefault="008403C0" w:rsidP="008403C0">
            <w:pPr>
              <w:widowControl/>
              <w:spacing w:before="40" w:after="40"/>
              <w:jc w:val="center"/>
              <w:rPr>
                <w:sz w:val="12"/>
                <w:szCs w:val="12"/>
                <w:lang w:eastAsia="zh-CN"/>
              </w:rPr>
            </w:pPr>
          </w:p>
        </w:tc>
        <w:tc>
          <w:tcPr>
            <w:tcW w:w="1117" w:type="dxa"/>
            <w:tcBorders>
              <w:top w:val="single" w:sz="4" w:space="0" w:color="auto"/>
            </w:tcBorders>
            <w:vAlign w:val="center"/>
          </w:tcPr>
          <w:p w14:paraId="0BB60B6C" w14:textId="131E7187" w:rsidR="008403C0" w:rsidRPr="008403C0" w:rsidRDefault="008403C0" w:rsidP="008403C0">
            <w:pPr>
              <w:widowControl/>
              <w:spacing w:before="40" w:after="40"/>
              <w:jc w:val="center"/>
              <w:rPr>
                <w:sz w:val="12"/>
                <w:szCs w:val="12"/>
                <w:lang w:eastAsia="zh-CN"/>
              </w:rPr>
            </w:pPr>
          </w:p>
        </w:tc>
        <w:tc>
          <w:tcPr>
            <w:tcW w:w="1054" w:type="dxa"/>
            <w:tcBorders>
              <w:top w:val="single" w:sz="4" w:space="0" w:color="auto"/>
            </w:tcBorders>
            <w:vAlign w:val="center"/>
          </w:tcPr>
          <w:p w14:paraId="61E0F03F" w14:textId="39DC72BC" w:rsidR="008403C0" w:rsidRPr="008403C0" w:rsidRDefault="008403C0" w:rsidP="008403C0">
            <w:pPr>
              <w:widowControl/>
              <w:spacing w:before="40" w:after="40"/>
              <w:jc w:val="center"/>
              <w:rPr>
                <w:sz w:val="12"/>
                <w:szCs w:val="12"/>
                <w:lang w:eastAsia="zh-CN"/>
              </w:rPr>
            </w:pPr>
          </w:p>
        </w:tc>
      </w:tr>
      <w:tr w:rsidR="008403C0" w14:paraId="2A290FEE" w14:textId="77777777" w:rsidTr="00C25D62">
        <w:tc>
          <w:tcPr>
            <w:tcW w:w="2875" w:type="dxa"/>
            <w:vAlign w:val="center"/>
          </w:tcPr>
          <w:p w14:paraId="779816D1" w14:textId="60362D6A" w:rsidR="008403C0" w:rsidRPr="006771EF" w:rsidRDefault="008403C0" w:rsidP="008403C0">
            <w:pPr>
              <w:widowControl/>
              <w:spacing w:before="40" w:after="40"/>
              <w:jc w:val="left"/>
              <w:rPr>
                <w:sz w:val="20"/>
                <w:szCs w:val="20"/>
                <w:lang w:val="en-US"/>
              </w:rPr>
            </w:pPr>
            <w:r w:rsidRPr="006771EF">
              <w:rPr>
                <w:sz w:val="20"/>
                <w:szCs w:val="20"/>
                <w:lang w:val="en-US"/>
              </w:rPr>
              <w:t>Australian Fixed Income</w:t>
            </w:r>
          </w:p>
        </w:tc>
        <w:tc>
          <w:tcPr>
            <w:tcW w:w="1478" w:type="dxa"/>
            <w:vAlign w:val="center"/>
          </w:tcPr>
          <w:p w14:paraId="20B055C0" w14:textId="59E09334" w:rsidR="008403C0" w:rsidRPr="006771EF" w:rsidRDefault="008403C0" w:rsidP="008403C0">
            <w:pPr>
              <w:widowControl/>
              <w:spacing w:before="40" w:after="40"/>
              <w:jc w:val="center"/>
              <w:rPr>
                <w:sz w:val="20"/>
                <w:szCs w:val="20"/>
                <w:lang w:val="en-US"/>
              </w:rPr>
            </w:pPr>
            <w:r w:rsidRPr="006771EF">
              <w:rPr>
                <w:sz w:val="20"/>
                <w:szCs w:val="20"/>
                <w:lang w:val="en-US"/>
              </w:rPr>
              <w:t>Vanguard Australian Government Bond Index</w:t>
            </w:r>
          </w:p>
        </w:tc>
        <w:tc>
          <w:tcPr>
            <w:tcW w:w="1242" w:type="dxa"/>
            <w:vAlign w:val="center"/>
          </w:tcPr>
          <w:p w14:paraId="27D66A1D" w14:textId="0E9582B1" w:rsidR="008403C0" w:rsidRPr="006771EF" w:rsidRDefault="008403C0" w:rsidP="008403C0">
            <w:pPr>
              <w:widowControl/>
              <w:spacing w:before="40" w:after="40"/>
              <w:jc w:val="center"/>
              <w:rPr>
                <w:sz w:val="20"/>
                <w:szCs w:val="20"/>
                <w:lang w:val="en-US"/>
              </w:rPr>
            </w:pPr>
            <w:r w:rsidRPr="006771EF">
              <w:rPr>
                <w:sz w:val="20"/>
                <w:szCs w:val="20"/>
                <w:lang w:val="en-US"/>
              </w:rPr>
              <w:t>91,659.06</w:t>
            </w:r>
          </w:p>
        </w:tc>
        <w:tc>
          <w:tcPr>
            <w:tcW w:w="1301" w:type="dxa"/>
            <w:vAlign w:val="center"/>
          </w:tcPr>
          <w:p w14:paraId="67B19953" w14:textId="1FCCCD7B" w:rsidR="008403C0" w:rsidRPr="006771EF" w:rsidRDefault="008403C0" w:rsidP="008403C0">
            <w:pPr>
              <w:widowControl/>
              <w:spacing w:before="40" w:after="40"/>
              <w:jc w:val="center"/>
              <w:rPr>
                <w:sz w:val="20"/>
                <w:szCs w:val="20"/>
                <w:lang w:val="en-US"/>
              </w:rPr>
            </w:pPr>
            <w:r w:rsidRPr="006771EF">
              <w:rPr>
                <w:sz w:val="20"/>
                <w:szCs w:val="20"/>
                <w:lang w:val="en-US"/>
              </w:rPr>
              <w:t>92,094.45</w:t>
            </w:r>
          </w:p>
        </w:tc>
        <w:tc>
          <w:tcPr>
            <w:tcW w:w="1071" w:type="dxa"/>
            <w:vAlign w:val="center"/>
          </w:tcPr>
          <w:p w14:paraId="14EEB004" w14:textId="07AB5E6A" w:rsidR="008403C0" w:rsidRPr="006771EF" w:rsidRDefault="008403C0" w:rsidP="008403C0">
            <w:pPr>
              <w:widowControl/>
              <w:spacing w:before="40" w:after="40"/>
              <w:jc w:val="center"/>
              <w:rPr>
                <w:sz w:val="20"/>
                <w:szCs w:val="20"/>
                <w:lang w:val="en-US"/>
              </w:rPr>
            </w:pPr>
            <w:r>
              <w:rPr>
                <w:sz w:val="20"/>
                <w:szCs w:val="20"/>
                <w:lang w:val="en-US"/>
              </w:rPr>
              <w:t>15</w:t>
            </w:r>
          </w:p>
        </w:tc>
        <w:tc>
          <w:tcPr>
            <w:tcW w:w="1117" w:type="dxa"/>
            <w:vAlign w:val="center"/>
          </w:tcPr>
          <w:p w14:paraId="2353E73C" w14:textId="6028ECB7" w:rsidR="008403C0" w:rsidRPr="006771EF" w:rsidRDefault="008403C0" w:rsidP="008403C0">
            <w:pPr>
              <w:widowControl/>
              <w:spacing w:before="40" w:after="40"/>
              <w:jc w:val="center"/>
              <w:rPr>
                <w:sz w:val="20"/>
                <w:szCs w:val="20"/>
                <w:lang w:val="en-US"/>
              </w:rPr>
            </w:pPr>
            <w:r>
              <w:rPr>
                <w:sz w:val="20"/>
                <w:szCs w:val="20"/>
                <w:lang w:val="en-US"/>
              </w:rPr>
              <w:t>14.4</w:t>
            </w:r>
          </w:p>
        </w:tc>
        <w:tc>
          <w:tcPr>
            <w:tcW w:w="1054" w:type="dxa"/>
            <w:vAlign w:val="center"/>
          </w:tcPr>
          <w:p w14:paraId="64DAB9B8" w14:textId="06A9DEE8" w:rsidR="008403C0" w:rsidRPr="006771EF" w:rsidRDefault="008403C0" w:rsidP="008403C0">
            <w:pPr>
              <w:widowControl/>
              <w:spacing w:before="40" w:after="40"/>
              <w:jc w:val="center"/>
              <w:rPr>
                <w:sz w:val="20"/>
                <w:szCs w:val="20"/>
                <w:lang w:val="en-US"/>
              </w:rPr>
            </w:pPr>
            <w:r w:rsidRPr="006771EF">
              <w:rPr>
                <w:sz w:val="20"/>
                <w:szCs w:val="20"/>
                <w:lang w:val="en-US"/>
              </w:rPr>
              <w:t>0.48</w:t>
            </w:r>
          </w:p>
        </w:tc>
      </w:tr>
      <w:tr w:rsidR="008403C0" w14:paraId="1E6BE531" w14:textId="77777777" w:rsidTr="00C25D62">
        <w:tc>
          <w:tcPr>
            <w:tcW w:w="2875" w:type="dxa"/>
            <w:vAlign w:val="center"/>
          </w:tcPr>
          <w:p w14:paraId="32744FF5" w14:textId="2C444C63" w:rsidR="008403C0" w:rsidRPr="008403C0" w:rsidRDefault="008403C0" w:rsidP="008403C0">
            <w:pPr>
              <w:widowControl/>
              <w:spacing w:before="40" w:after="40"/>
              <w:jc w:val="left"/>
              <w:rPr>
                <w:b/>
                <w:i/>
                <w:sz w:val="20"/>
                <w:szCs w:val="20"/>
                <w:lang w:val="en-US"/>
              </w:rPr>
            </w:pPr>
            <w:r w:rsidRPr="008403C0">
              <w:rPr>
                <w:b/>
                <w:i/>
                <w:sz w:val="20"/>
                <w:szCs w:val="20"/>
                <w:lang w:val="en-US"/>
              </w:rPr>
              <w:t>Australian Cash</w:t>
            </w:r>
          </w:p>
        </w:tc>
        <w:tc>
          <w:tcPr>
            <w:tcW w:w="1478" w:type="dxa"/>
            <w:vAlign w:val="center"/>
          </w:tcPr>
          <w:p w14:paraId="332C4651" w14:textId="1220D7DC" w:rsidR="008403C0" w:rsidRPr="006771EF" w:rsidRDefault="008403C0" w:rsidP="008403C0">
            <w:pPr>
              <w:widowControl/>
              <w:spacing w:before="40" w:after="40"/>
              <w:jc w:val="center"/>
              <w:rPr>
                <w:sz w:val="20"/>
                <w:szCs w:val="20"/>
                <w:lang w:val="en-US"/>
              </w:rPr>
            </w:pPr>
          </w:p>
        </w:tc>
        <w:tc>
          <w:tcPr>
            <w:tcW w:w="1242" w:type="dxa"/>
            <w:vAlign w:val="center"/>
          </w:tcPr>
          <w:p w14:paraId="449262DF" w14:textId="2F9F8CEF" w:rsidR="008403C0" w:rsidRPr="006771EF" w:rsidRDefault="008403C0" w:rsidP="008403C0">
            <w:pPr>
              <w:widowControl/>
              <w:spacing w:before="40" w:after="40"/>
              <w:jc w:val="center"/>
              <w:rPr>
                <w:sz w:val="20"/>
                <w:szCs w:val="20"/>
                <w:lang w:val="en-US"/>
              </w:rPr>
            </w:pPr>
          </w:p>
        </w:tc>
        <w:tc>
          <w:tcPr>
            <w:tcW w:w="1301" w:type="dxa"/>
            <w:vAlign w:val="center"/>
          </w:tcPr>
          <w:p w14:paraId="3EE7EFDC" w14:textId="211EA4A8" w:rsidR="008403C0" w:rsidRPr="006771EF" w:rsidRDefault="008403C0" w:rsidP="008403C0">
            <w:pPr>
              <w:widowControl/>
              <w:spacing w:before="40" w:after="40"/>
              <w:jc w:val="center"/>
              <w:rPr>
                <w:sz w:val="20"/>
                <w:szCs w:val="20"/>
                <w:lang w:val="en-US"/>
              </w:rPr>
            </w:pPr>
          </w:p>
        </w:tc>
        <w:tc>
          <w:tcPr>
            <w:tcW w:w="1071" w:type="dxa"/>
          </w:tcPr>
          <w:p w14:paraId="63E6B71E" w14:textId="1CBA68CD" w:rsidR="008403C0" w:rsidRPr="006771EF" w:rsidRDefault="008403C0" w:rsidP="008403C0">
            <w:pPr>
              <w:widowControl/>
              <w:spacing w:before="40" w:after="40"/>
              <w:jc w:val="center"/>
              <w:rPr>
                <w:sz w:val="20"/>
                <w:szCs w:val="20"/>
                <w:lang w:val="en-US"/>
              </w:rPr>
            </w:pPr>
          </w:p>
        </w:tc>
        <w:tc>
          <w:tcPr>
            <w:tcW w:w="1117" w:type="dxa"/>
            <w:vAlign w:val="center"/>
          </w:tcPr>
          <w:p w14:paraId="62E9A582" w14:textId="23E35954" w:rsidR="008403C0" w:rsidRPr="006771EF" w:rsidRDefault="008403C0" w:rsidP="008403C0">
            <w:pPr>
              <w:widowControl/>
              <w:spacing w:before="40" w:after="40"/>
              <w:jc w:val="center"/>
              <w:rPr>
                <w:sz w:val="20"/>
                <w:szCs w:val="20"/>
                <w:lang w:val="en-US"/>
              </w:rPr>
            </w:pPr>
          </w:p>
        </w:tc>
        <w:tc>
          <w:tcPr>
            <w:tcW w:w="1054" w:type="dxa"/>
            <w:vAlign w:val="center"/>
          </w:tcPr>
          <w:p w14:paraId="387F5D38" w14:textId="52337C36" w:rsidR="008403C0" w:rsidRPr="006771EF" w:rsidRDefault="008403C0" w:rsidP="008403C0">
            <w:pPr>
              <w:widowControl/>
              <w:spacing w:before="40" w:after="40"/>
              <w:jc w:val="center"/>
              <w:rPr>
                <w:sz w:val="20"/>
                <w:szCs w:val="20"/>
                <w:lang w:val="en-US"/>
              </w:rPr>
            </w:pPr>
          </w:p>
        </w:tc>
      </w:tr>
      <w:tr w:rsidR="008403C0" w14:paraId="134F7F04" w14:textId="77777777" w:rsidTr="00C25D62">
        <w:tc>
          <w:tcPr>
            <w:tcW w:w="2875" w:type="dxa"/>
            <w:vAlign w:val="center"/>
          </w:tcPr>
          <w:p w14:paraId="0D54A0D7" w14:textId="0E88DFE9" w:rsidR="008403C0" w:rsidRPr="006771EF" w:rsidRDefault="008403C0" w:rsidP="008403C0">
            <w:pPr>
              <w:widowControl/>
              <w:spacing w:before="40" w:after="40"/>
              <w:jc w:val="left"/>
              <w:rPr>
                <w:sz w:val="20"/>
                <w:szCs w:val="20"/>
                <w:lang w:val="en-US"/>
              </w:rPr>
            </w:pPr>
            <w:r w:rsidRPr="006771EF">
              <w:rPr>
                <w:sz w:val="20"/>
                <w:szCs w:val="20"/>
                <w:lang w:val="en-US"/>
              </w:rPr>
              <w:t>BetaShares Australia High Interest Cash</w:t>
            </w:r>
          </w:p>
        </w:tc>
        <w:tc>
          <w:tcPr>
            <w:tcW w:w="1478" w:type="dxa"/>
            <w:vAlign w:val="center"/>
          </w:tcPr>
          <w:p w14:paraId="02AB0E48" w14:textId="77777777" w:rsidR="008403C0" w:rsidRPr="006771EF" w:rsidRDefault="008403C0" w:rsidP="008403C0">
            <w:pPr>
              <w:widowControl/>
              <w:spacing w:before="40" w:after="40"/>
              <w:jc w:val="center"/>
              <w:rPr>
                <w:sz w:val="20"/>
                <w:szCs w:val="20"/>
                <w:lang w:val="en-US"/>
              </w:rPr>
            </w:pPr>
          </w:p>
        </w:tc>
        <w:tc>
          <w:tcPr>
            <w:tcW w:w="1242" w:type="dxa"/>
            <w:vAlign w:val="center"/>
          </w:tcPr>
          <w:p w14:paraId="774FA024" w14:textId="52056600" w:rsidR="008403C0" w:rsidRPr="006771EF" w:rsidRDefault="008403C0" w:rsidP="008403C0">
            <w:pPr>
              <w:widowControl/>
              <w:spacing w:before="40" w:after="40"/>
              <w:jc w:val="center"/>
              <w:rPr>
                <w:sz w:val="20"/>
                <w:szCs w:val="20"/>
                <w:lang w:val="en-US"/>
              </w:rPr>
            </w:pPr>
            <w:r w:rsidRPr="006771EF">
              <w:rPr>
                <w:sz w:val="20"/>
                <w:szCs w:val="20"/>
                <w:lang w:val="en-US"/>
              </w:rPr>
              <w:t>16,693.29</w:t>
            </w:r>
          </w:p>
        </w:tc>
        <w:tc>
          <w:tcPr>
            <w:tcW w:w="1301" w:type="dxa"/>
            <w:vAlign w:val="center"/>
          </w:tcPr>
          <w:p w14:paraId="44BF89EE" w14:textId="3426F4F4" w:rsidR="008403C0" w:rsidRPr="006771EF" w:rsidRDefault="008403C0" w:rsidP="008403C0">
            <w:pPr>
              <w:widowControl/>
              <w:spacing w:before="40" w:after="40"/>
              <w:jc w:val="center"/>
              <w:rPr>
                <w:sz w:val="20"/>
                <w:szCs w:val="20"/>
                <w:lang w:val="en-US"/>
              </w:rPr>
            </w:pPr>
            <w:r w:rsidRPr="006771EF">
              <w:rPr>
                <w:sz w:val="20"/>
                <w:szCs w:val="20"/>
                <w:lang w:val="en-US"/>
              </w:rPr>
              <w:t>16,679.97</w:t>
            </w:r>
          </w:p>
        </w:tc>
        <w:tc>
          <w:tcPr>
            <w:tcW w:w="1071" w:type="dxa"/>
          </w:tcPr>
          <w:p w14:paraId="535C1919" w14:textId="77777777" w:rsidR="008403C0" w:rsidRPr="006771EF" w:rsidRDefault="008403C0" w:rsidP="008403C0">
            <w:pPr>
              <w:widowControl/>
              <w:spacing w:before="40" w:after="40"/>
              <w:jc w:val="center"/>
              <w:rPr>
                <w:sz w:val="20"/>
                <w:szCs w:val="20"/>
                <w:lang w:val="en-US"/>
              </w:rPr>
            </w:pPr>
          </w:p>
        </w:tc>
        <w:tc>
          <w:tcPr>
            <w:tcW w:w="1117" w:type="dxa"/>
            <w:vAlign w:val="center"/>
          </w:tcPr>
          <w:p w14:paraId="031B3BD1" w14:textId="0B0E4672" w:rsidR="008403C0" w:rsidRPr="006771EF" w:rsidRDefault="008403C0" w:rsidP="008403C0">
            <w:pPr>
              <w:widowControl/>
              <w:spacing w:before="40" w:after="40"/>
              <w:jc w:val="center"/>
              <w:rPr>
                <w:sz w:val="20"/>
                <w:szCs w:val="20"/>
                <w:lang w:val="en-US"/>
              </w:rPr>
            </w:pPr>
            <w:r>
              <w:rPr>
                <w:sz w:val="20"/>
                <w:szCs w:val="20"/>
                <w:lang w:val="en-US"/>
              </w:rPr>
              <w:t>2.6</w:t>
            </w:r>
          </w:p>
        </w:tc>
        <w:tc>
          <w:tcPr>
            <w:tcW w:w="1054" w:type="dxa"/>
            <w:vAlign w:val="center"/>
          </w:tcPr>
          <w:p w14:paraId="46D277EC" w14:textId="1015B28D" w:rsidR="008403C0" w:rsidRPr="006771EF" w:rsidRDefault="008403C0" w:rsidP="008403C0">
            <w:pPr>
              <w:widowControl/>
              <w:spacing w:before="40" w:after="40"/>
              <w:jc w:val="center"/>
              <w:rPr>
                <w:sz w:val="20"/>
                <w:szCs w:val="20"/>
                <w:lang w:val="en-US"/>
              </w:rPr>
            </w:pPr>
            <w:r w:rsidRPr="006771EF">
              <w:rPr>
                <w:sz w:val="20"/>
                <w:szCs w:val="20"/>
                <w:lang w:val="en-US"/>
              </w:rPr>
              <w:t>0.27</w:t>
            </w:r>
          </w:p>
        </w:tc>
      </w:tr>
      <w:tr w:rsidR="008403C0" w14:paraId="58B838D5" w14:textId="77777777" w:rsidTr="00C25D62">
        <w:tc>
          <w:tcPr>
            <w:tcW w:w="2875" w:type="dxa"/>
            <w:tcBorders>
              <w:bottom w:val="single" w:sz="4" w:space="0" w:color="auto"/>
            </w:tcBorders>
            <w:vAlign w:val="center"/>
          </w:tcPr>
          <w:p w14:paraId="6466F7B0" w14:textId="06C1C8ED" w:rsidR="008403C0" w:rsidRPr="006771EF" w:rsidRDefault="008403C0" w:rsidP="008403C0">
            <w:pPr>
              <w:widowControl/>
              <w:spacing w:before="40" w:after="40"/>
              <w:jc w:val="left"/>
              <w:rPr>
                <w:sz w:val="20"/>
                <w:szCs w:val="20"/>
                <w:lang w:val="en-US"/>
              </w:rPr>
            </w:pPr>
            <w:r>
              <w:rPr>
                <w:sz w:val="20"/>
                <w:szCs w:val="20"/>
                <w:lang w:val="en-US"/>
              </w:rPr>
              <w:t xml:space="preserve">BT Cash Management Trust </w:t>
            </w:r>
          </w:p>
        </w:tc>
        <w:tc>
          <w:tcPr>
            <w:tcW w:w="1478" w:type="dxa"/>
            <w:tcBorders>
              <w:bottom w:val="single" w:sz="4" w:space="0" w:color="auto"/>
            </w:tcBorders>
            <w:vAlign w:val="center"/>
          </w:tcPr>
          <w:p w14:paraId="5D3909AE" w14:textId="14C5FA29" w:rsidR="008403C0" w:rsidRPr="006771EF" w:rsidRDefault="008403C0" w:rsidP="008403C0">
            <w:pPr>
              <w:widowControl/>
              <w:spacing w:before="40" w:after="40"/>
              <w:jc w:val="center"/>
              <w:rPr>
                <w:sz w:val="20"/>
                <w:szCs w:val="20"/>
                <w:lang w:val="en-US"/>
              </w:rPr>
            </w:pPr>
            <w:r w:rsidRPr="006771EF">
              <w:rPr>
                <w:sz w:val="20"/>
                <w:szCs w:val="20"/>
                <w:lang w:val="en-US"/>
              </w:rPr>
              <w:t>-</w:t>
            </w:r>
          </w:p>
        </w:tc>
        <w:tc>
          <w:tcPr>
            <w:tcW w:w="1242" w:type="dxa"/>
            <w:tcBorders>
              <w:bottom w:val="single" w:sz="4" w:space="0" w:color="auto"/>
            </w:tcBorders>
            <w:vAlign w:val="center"/>
          </w:tcPr>
          <w:p w14:paraId="703543E1" w14:textId="0A1AB8AF" w:rsidR="008403C0" w:rsidRPr="006771EF" w:rsidRDefault="008403C0" w:rsidP="008403C0">
            <w:pPr>
              <w:widowControl/>
              <w:spacing w:before="40" w:after="40"/>
              <w:jc w:val="center"/>
              <w:rPr>
                <w:sz w:val="20"/>
                <w:szCs w:val="20"/>
                <w:lang w:val="en-US"/>
              </w:rPr>
            </w:pPr>
            <w:r w:rsidRPr="006771EF">
              <w:rPr>
                <w:sz w:val="20"/>
                <w:szCs w:val="20"/>
                <w:lang w:val="en-US"/>
              </w:rPr>
              <w:t>13,067.31</w:t>
            </w:r>
          </w:p>
        </w:tc>
        <w:tc>
          <w:tcPr>
            <w:tcW w:w="1301" w:type="dxa"/>
            <w:tcBorders>
              <w:bottom w:val="single" w:sz="4" w:space="0" w:color="auto"/>
            </w:tcBorders>
            <w:vAlign w:val="center"/>
          </w:tcPr>
          <w:p w14:paraId="467A0F9D" w14:textId="3E2BD77C" w:rsidR="008403C0" w:rsidRPr="006771EF" w:rsidRDefault="008403C0" w:rsidP="008403C0">
            <w:pPr>
              <w:widowControl/>
              <w:spacing w:before="40" w:after="40"/>
              <w:jc w:val="center"/>
              <w:rPr>
                <w:sz w:val="20"/>
                <w:szCs w:val="20"/>
                <w:lang w:val="en-US"/>
              </w:rPr>
            </w:pPr>
            <w:r w:rsidRPr="006771EF">
              <w:rPr>
                <w:sz w:val="20"/>
                <w:szCs w:val="20"/>
                <w:lang w:val="en-US"/>
              </w:rPr>
              <w:t>13,142.82</w:t>
            </w:r>
          </w:p>
        </w:tc>
        <w:tc>
          <w:tcPr>
            <w:tcW w:w="1071" w:type="dxa"/>
            <w:tcBorders>
              <w:bottom w:val="single" w:sz="4" w:space="0" w:color="auto"/>
            </w:tcBorders>
          </w:tcPr>
          <w:p w14:paraId="7EA332E1" w14:textId="77777777" w:rsidR="008403C0" w:rsidRPr="006771EF" w:rsidRDefault="008403C0" w:rsidP="008403C0">
            <w:pPr>
              <w:widowControl/>
              <w:spacing w:before="40" w:after="40"/>
              <w:jc w:val="center"/>
              <w:rPr>
                <w:sz w:val="20"/>
                <w:szCs w:val="20"/>
                <w:lang w:val="en-US"/>
              </w:rPr>
            </w:pPr>
          </w:p>
        </w:tc>
        <w:tc>
          <w:tcPr>
            <w:tcW w:w="1117" w:type="dxa"/>
            <w:tcBorders>
              <w:bottom w:val="single" w:sz="4" w:space="0" w:color="auto"/>
            </w:tcBorders>
            <w:vAlign w:val="center"/>
          </w:tcPr>
          <w:p w14:paraId="53B5E40F" w14:textId="6BF9C032" w:rsidR="008403C0" w:rsidRPr="006771EF" w:rsidRDefault="008403C0" w:rsidP="008403C0">
            <w:pPr>
              <w:widowControl/>
              <w:spacing w:before="40" w:after="40"/>
              <w:jc w:val="center"/>
              <w:rPr>
                <w:sz w:val="20"/>
                <w:szCs w:val="20"/>
                <w:lang w:val="en-US"/>
              </w:rPr>
            </w:pPr>
            <w:r>
              <w:rPr>
                <w:sz w:val="20"/>
                <w:szCs w:val="20"/>
                <w:lang w:val="en-US"/>
              </w:rPr>
              <w:t>2.1</w:t>
            </w:r>
          </w:p>
        </w:tc>
        <w:tc>
          <w:tcPr>
            <w:tcW w:w="1054" w:type="dxa"/>
            <w:tcBorders>
              <w:bottom w:val="single" w:sz="4" w:space="0" w:color="auto"/>
            </w:tcBorders>
            <w:vAlign w:val="center"/>
          </w:tcPr>
          <w:p w14:paraId="03FAEE1E" w14:textId="34099E2F" w:rsidR="008403C0" w:rsidRPr="006771EF" w:rsidRDefault="008403C0" w:rsidP="008403C0">
            <w:pPr>
              <w:widowControl/>
              <w:spacing w:before="40" w:after="40"/>
              <w:jc w:val="center"/>
              <w:rPr>
                <w:sz w:val="20"/>
                <w:szCs w:val="20"/>
                <w:lang w:val="en-US"/>
              </w:rPr>
            </w:pPr>
            <w:r w:rsidRPr="006771EF">
              <w:rPr>
                <w:sz w:val="20"/>
                <w:szCs w:val="20"/>
                <w:lang w:val="en-US"/>
              </w:rPr>
              <w:t>0.08</w:t>
            </w:r>
          </w:p>
        </w:tc>
      </w:tr>
      <w:tr w:rsidR="00C25D62" w14:paraId="58ADD665" w14:textId="77777777" w:rsidTr="00C25D62">
        <w:tc>
          <w:tcPr>
            <w:tcW w:w="2875" w:type="dxa"/>
            <w:tcBorders>
              <w:top w:val="single" w:sz="4" w:space="0" w:color="auto"/>
              <w:bottom w:val="single" w:sz="4" w:space="0" w:color="auto"/>
            </w:tcBorders>
            <w:vAlign w:val="center"/>
          </w:tcPr>
          <w:p w14:paraId="4EAB69B1" w14:textId="7C7DEDD7" w:rsidR="008403C0" w:rsidRPr="008403C0" w:rsidRDefault="008403C0" w:rsidP="008403C0">
            <w:pPr>
              <w:widowControl/>
              <w:spacing w:before="40" w:after="40"/>
              <w:jc w:val="left"/>
              <w:rPr>
                <w:b/>
                <w:i/>
                <w:sz w:val="20"/>
                <w:szCs w:val="20"/>
                <w:lang w:val="en-US"/>
              </w:rPr>
            </w:pPr>
            <w:r w:rsidRPr="008403C0">
              <w:rPr>
                <w:b/>
                <w:i/>
                <w:sz w:val="20"/>
                <w:szCs w:val="20"/>
                <w:lang w:val="en-US"/>
              </w:rPr>
              <w:t>Total Australian Cash</w:t>
            </w:r>
          </w:p>
        </w:tc>
        <w:tc>
          <w:tcPr>
            <w:tcW w:w="1478" w:type="dxa"/>
            <w:tcBorders>
              <w:top w:val="single" w:sz="4" w:space="0" w:color="auto"/>
              <w:bottom w:val="single" w:sz="4" w:space="0" w:color="auto"/>
            </w:tcBorders>
            <w:vAlign w:val="center"/>
          </w:tcPr>
          <w:p w14:paraId="2102976D" w14:textId="0F50A4BE" w:rsidR="008403C0" w:rsidRPr="008403C0" w:rsidRDefault="008403C0" w:rsidP="008403C0">
            <w:pPr>
              <w:widowControl/>
              <w:spacing w:before="40" w:after="40"/>
              <w:jc w:val="center"/>
              <w:rPr>
                <w:sz w:val="20"/>
                <w:szCs w:val="20"/>
                <w:lang w:val="en-US"/>
              </w:rPr>
            </w:pPr>
            <w:r w:rsidRPr="008403C0">
              <w:rPr>
                <w:sz w:val="20"/>
                <w:szCs w:val="20"/>
                <w:lang w:val="en-US"/>
              </w:rPr>
              <w:t>BetaShares Australia High Interest Cash</w:t>
            </w:r>
          </w:p>
        </w:tc>
        <w:tc>
          <w:tcPr>
            <w:tcW w:w="1242" w:type="dxa"/>
            <w:tcBorders>
              <w:top w:val="single" w:sz="4" w:space="0" w:color="auto"/>
              <w:bottom w:val="single" w:sz="4" w:space="0" w:color="auto"/>
            </w:tcBorders>
            <w:vAlign w:val="center"/>
          </w:tcPr>
          <w:p w14:paraId="7B77E831" w14:textId="77777777" w:rsidR="008403C0" w:rsidRPr="008403C0" w:rsidRDefault="008403C0" w:rsidP="008403C0">
            <w:pPr>
              <w:widowControl/>
              <w:spacing w:before="40" w:after="40"/>
              <w:jc w:val="center"/>
              <w:rPr>
                <w:b/>
                <w:i/>
                <w:sz w:val="20"/>
                <w:szCs w:val="20"/>
                <w:lang w:val="en-US"/>
              </w:rPr>
            </w:pPr>
          </w:p>
        </w:tc>
        <w:tc>
          <w:tcPr>
            <w:tcW w:w="1301" w:type="dxa"/>
            <w:tcBorders>
              <w:top w:val="single" w:sz="4" w:space="0" w:color="auto"/>
              <w:bottom w:val="single" w:sz="4" w:space="0" w:color="auto"/>
            </w:tcBorders>
            <w:vAlign w:val="center"/>
          </w:tcPr>
          <w:p w14:paraId="42139776" w14:textId="77777777" w:rsidR="008403C0" w:rsidRPr="008403C0" w:rsidRDefault="008403C0" w:rsidP="008403C0">
            <w:pPr>
              <w:widowControl/>
              <w:spacing w:before="40" w:after="40"/>
              <w:jc w:val="center"/>
              <w:rPr>
                <w:b/>
                <w:i/>
                <w:sz w:val="20"/>
                <w:szCs w:val="20"/>
                <w:lang w:val="en-US"/>
              </w:rPr>
            </w:pPr>
          </w:p>
        </w:tc>
        <w:tc>
          <w:tcPr>
            <w:tcW w:w="1071" w:type="dxa"/>
            <w:tcBorders>
              <w:top w:val="single" w:sz="4" w:space="0" w:color="auto"/>
              <w:bottom w:val="single" w:sz="4" w:space="0" w:color="auto"/>
            </w:tcBorders>
            <w:vAlign w:val="center"/>
          </w:tcPr>
          <w:p w14:paraId="2096A0CA" w14:textId="70DBBA98" w:rsidR="008403C0" w:rsidRPr="00C25D62" w:rsidRDefault="008403C0" w:rsidP="008403C0">
            <w:pPr>
              <w:widowControl/>
              <w:spacing w:before="40" w:after="40"/>
              <w:jc w:val="center"/>
              <w:rPr>
                <w:b/>
                <w:i/>
                <w:sz w:val="20"/>
                <w:szCs w:val="20"/>
                <w:lang w:val="en-US"/>
              </w:rPr>
            </w:pPr>
            <w:r w:rsidRPr="00C25D62">
              <w:rPr>
                <w:b/>
                <w:i/>
                <w:sz w:val="20"/>
                <w:szCs w:val="20"/>
                <w:lang w:val="en-US"/>
              </w:rPr>
              <w:t>5</w:t>
            </w:r>
          </w:p>
        </w:tc>
        <w:tc>
          <w:tcPr>
            <w:tcW w:w="1117" w:type="dxa"/>
            <w:tcBorders>
              <w:top w:val="single" w:sz="4" w:space="0" w:color="auto"/>
              <w:bottom w:val="single" w:sz="4" w:space="0" w:color="auto"/>
            </w:tcBorders>
            <w:vAlign w:val="center"/>
          </w:tcPr>
          <w:p w14:paraId="04A666DB" w14:textId="037BD3C6" w:rsidR="008403C0" w:rsidRPr="00C25D62" w:rsidRDefault="008403C0" w:rsidP="008403C0">
            <w:pPr>
              <w:widowControl/>
              <w:spacing w:before="40" w:after="40"/>
              <w:jc w:val="center"/>
              <w:rPr>
                <w:b/>
                <w:i/>
                <w:sz w:val="20"/>
                <w:szCs w:val="20"/>
                <w:lang w:val="en-US"/>
              </w:rPr>
            </w:pPr>
            <w:r w:rsidRPr="00C25D62">
              <w:rPr>
                <w:b/>
                <w:i/>
                <w:sz w:val="20"/>
                <w:szCs w:val="20"/>
                <w:lang w:val="en-US"/>
              </w:rPr>
              <w:t>4.7</w:t>
            </w:r>
          </w:p>
        </w:tc>
        <w:tc>
          <w:tcPr>
            <w:tcW w:w="1054" w:type="dxa"/>
            <w:tcBorders>
              <w:top w:val="single" w:sz="4" w:space="0" w:color="auto"/>
              <w:bottom w:val="single" w:sz="4" w:space="0" w:color="auto"/>
            </w:tcBorders>
            <w:vAlign w:val="center"/>
          </w:tcPr>
          <w:p w14:paraId="7EC4A2FE" w14:textId="77777777" w:rsidR="008403C0" w:rsidRPr="008403C0" w:rsidRDefault="008403C0" w:rsidP="008403C0">
            <w:pPr>
              <w:widowControl/>
              <w:spacing w:before="40" w:after="40"/>
              <w:jc w:val="center"/>
              <w:rPr>
                <w:b/>
                <w:i/>
                <w:sz w:val="20"/>
                <w:szCs w:val="20"/>
                <w:lang w:val="en-US"/>
              </w:rPr>
            </w:pPr>
          </w:p>
        </w:tc>
      </w:tr>
      <w:tr w:rsidR="008403C0" w14:paraId="67FE241D" w14:textId="77777777" w:rsidTr="00C25D62">
        <w:tc>
          <w:tcPr>
            <w:tcW w:w="2875" w:type="dxa"/>
            <w:tcBorders>
              <w:top w:val="single" w:sz="4" w:space="0" w:color="auto"/>
              <w:bottom w:val="single" w:sz="4" w:space="0" w:color="auto"/>
            </w:tcBorders>
            <w:vAlign w:val="center"/>
          </w:tcPr>
          <w:p w14:paraId="4E76B10E" w14:textId="3F33A934" w:rsidR="008403C0" w:rsidRPr="008403C0" w:rsidRDefault="008403C0" w:rsidP="008403C0">
            <w:pPr>
              <w:widowControl/>
              <w:spacing w:before="40" w:after="40"/>
              <w:jc w:val="left"/>
              <w:rPr>
                <w:b/>
                <w:sz w:val="20"/>
                <w:szCs w:val="20"/>
                <w:lang w:val="en-US"/>
              </w:rPr>
            </w:pPr>
            <w:r>
              <w:rPr>
                <w:b/>
                <w:sz w:val="20"/>
                <w:szCs w:val="20"/>
                <w:lang w:val="en-US"/>
              </w:rPr>
              <w:t>Total Fixed Income &amp; Cash</w:t>
            </w:r>
            <w:r w:rsidRPr="008403C0">
              <w:rPr>
                <w:b/>
                <w:sz w:val="20"/>
                <w:szCs w:val="20"/>
                <w:lang w:val="en-US"/>
              </w:rPr>
              <w:t xml:space="preserve"> </w:t>
            </w:r>
          </w:p>
        </w:tc>
        <w:tc>
          <w:tcPr>
            <w:tcW w:w="1478" w:type="dxa"/>
            <w:tcBorders>
              <w:top w:val="single" w:sz="4" w:space="0" w:color="auto"/>
              <w:bottom w:val="single" w:sz="4" w:space="0" w:color="auto"/>
            </w:tcBorders>
            <w:vAlign w:val="center"/>
          </w:tcPr>
          <w:p w14:paraId="3A73574E" w14:textId="77777777" w:rsidR="008403C0" w:rsidRPr="008403C0" w:rsidRDefault="008403C0" w:rsidP="008403C0">
            <w:pPr>
              <w:widowControl/>
              <w:spacing w:before="40" w:after="40"/>
              <w:jc w:val="center"/>
              <w:rPr>
                <w:b/>
                <w:sz w:val="20"/>
                <w:szCs w:val="20"/>
                <w:lang w:val="en-US"/>
              </w:rPr>
            </w:pPr>
          </w:p>
        </w:tc>
        <w:tc>
          <w:tcPr>
            <w:tcW w:w="1242" w:type="dxa"/>
            <w:tcBorders>
              <w:top w:val="single" w:sz="4" w:space="0" w:color="auto"/>
              <w:bottom w:val="single" w:sz="4" w:space="0" w:color="auto"/>
            </w:tcBorders>
            <w:vAlign w:val="center"/>
          </w:tcPr>
          <w:p w14:paraId="75E9106B" w14:textId="77777777" w:rsidR="008403C0" w:rsidRPr="008403C0" w:rsidRDefault="008403C0" w:rsidP="008403C0">
            <w:pPr>
              <w:widowControl/>
              <w:spacing w:before="40" w:after="40"/>
              <w:jc w:val="center"/>
              <w:rPr>
                <w:b/>
                <w:sz w:val="20"/>
                <w:szCs w:val="20"/>
                <w:lang w:val="en-US"/>
              </w:rPr>
            </w:pPr>
          </w:p>
        </w:tc>
        <w:tc>
          <w:tcPr>
            <w:tcW w:w="1301" w:type="dxa"/>
            <w:tcBorders>
              <w:top w:val="single" w:sz="4" w:space="0" w:color="auto"/>
              <w:bottom w:val="single" w:sz="4" w:space="0" w:color="auto"/>
            </w:tcBorders>
            <w:vAlign w:val="center"/>
          </w:tcPr>
          <w:p w14:paraId="0927C4D9" w14:textId="77777777" w:rsidR="008403C0" w:rsidRPr="008403C0" w:rsidRDefault="008403C0" w:rsidP="008403C0">
            <w:pPr>
              <w:widowControl/>
              <w:spacing w:before="40" w:after="40"/>
              <w:jc w:val="center"/>
              <w:rPr>
                <w:b/>
                <w:sz w:val="20"/>
                <w:szCs w:val="20"/>
                <w:lang w:val="en-US"/>
              </w:rPr>
            </w:pPr>
          </w:p>
        </w:tc>
        <w:tc>
          <w:tcPr>
            <w:tcW w:w="1071" w:type="dxa"/>
            <w:tcBorders>
              <w:top w:val="single" w:sz="4" w:space="0" w:color="auto"/>
              <w:bottom w:val="single" w:sz="4" w:space="0" w:color="auto"/>
            </w:tcBorders>
          </w:tcPr>
          <w:p w14:paraId="05621D12" w14:textId="1AB72D48" w:rsidR="008403C0" w:rsidRPr="008403C0" w:rsidRDefault="008403C0" w:rsidP="008403C0">
            <w:pPr>
              <w:widowControl/>
              <w:spacing w:before="40" w:after="40"/>
              <w:jc w:val="center"/>
              <w:rPr>
                <w:b/>
                <w:sz w:val="20"/>
                <w:szCs w:val="20"/>
                <w:lang w:val="en-US"/>
              </w:rPr>
            </w:pPr>
            <w:r w:rsidRPr="008403C0">
              <w:rPr>
                <w:b/>
                <w:sz w:val="20"/>
                <w:szCs w:val="20"/>
                <w:lang w:val="en-US"/>
              </w:rPr>
              <w:t>20</w:t>
            </w:r>
          </w:p>
        </w:tc>
        <w:tc>
          <w:tcPr>
            <w:tcW w:w="1117" w:type="dxa"/>
            <w:tcBorders>
              <w:top w:val="single" w:sz="4" w:space="0" w:color="auto"/>
              <w:bottom w:val="single" w:sz="4" w:space="0" w:color="auto"/>
            </w:tcBorders>
            <w:vAlign w:val="center"/>
          </w:tcPr>
          <w:p w14:paraId="55B76291" w14:textId="1FC105C8" w:rsidR="008403C0" w:rsidRPr="008403C0" w:rsidRDefault="008403C0" w:rsidP="008403C0">
            <w:pPr>
              <w:widowControl/>
              <w:spacing w:before="40" w:after="40"/>
              <w:jc w:val="center"/>
              <w:rPr>
                <w:b/>
                <w:sz w:val="20"/>
                <w:szCs w:val="20"/>
                <w:lang w:val="en-US"/>
              </w:rPr>
            </w:pPr>
            <w:r w:rsidRPr="008403C0">
              <w:rPr>
                <w:b/>
                <w:sz w:val="20"/>
                <w:szCs w:val="20"/>
                <w:lang w:val="en-US"/>
              </w:rPr>
              <w:t>19.1</w:t>
            </w:r>
          </w:p>
        </w:tc>
        <w:tc>
          <w:tcPr>
            <w:tcW w:w="1054" w:type="dxa"/>
            <w:tcBorders>
              <w:top w:val="single" w:sz="4" w:space="0" w:color="auto"/>
              <w:bottom w:val="single" w:sz="4" w:space="0" w:color="auto"/>
            </w:tcBorders>
            <w:vAlign w:val="center"/>
          </w:tcPr>
          <w:p w14:paraId="774D352E" w14:textId="77777777" w:rsidR="008403C0" w:rsidRPr="008403C0" w:rsidRDefault="008403C0" w:rsidP="008403C0">
            <w:pPr>
              <w:widowControl/>
              <w:spacing w:before="40" w:after="40"/>
              <w:jc w:val="center"/>
              <w:rPr>
                <w:b/>
                <w:sz w:val="20"/>
                <w:szCs w:val="20"/>
                <w:lang w:val="en-US"/>
              </w:rPr>
            </w:pPr>
          </w:p>
        </w:tc>
      </w:tr>
      <w:tr w:rsidR="008403C0" w14:paraId="7C977180" w14:textId="77777777" w:rsidTr="00C25D62">
        <w:tc>
          <w:tcPr>
            <w:tcW w:w="2875" w:type="dxa"/>
            <w:tcBorders>
              <w:top w:val="single" w:sz="4" w:space="0" w:color="auto"/>
              <w:bottom w:val="single" w:sz="4" w:space="0" w:color="auto"/>
            </w:tcBorders>
            <w:vAlign w:val="center"/>
          </w:tcPr>
          <w:p w14:paraId="4DCE0400" w14:textId="77777777" w:rsidR="008403C0" w:rsidRPr="008403C0" w:rsidRDefault="008403C0" w:rsidP="008403C0">
            <w:pPr>
              <w:widowControl/>
              <w:spacing w:before="40" w:after="40"/>
              <w:jc w:val="left"/>
              <w:rPr>
                <w:sz w:val="12"/>
                <w:szCs w:val="12"/>
                <w:lang w:val="en-US"/>
              </w:rPr>
            </w:pPr>
          </w:p>
        </w:tc>
        <w:tc>
          <w:tcPr>
            <w:tcW w:w="1478" w:type="dxa"/>
            <w:tcBorders>
              <w:top w:val="single" w:sz="4" w:space="0" w:color="auto"/>
              <w:bottom w:val="single" w:sz="4" w:space="0" w:color="auto"/>
            </w:tcBorders>
            <w:vAlign w:val="center"/>
          </w:tcPr>
          <w:p w14:paraId="737C6105" w14:textId="77777777" w:rsidR="008403C0" w:rsidRPr="008403C0" w:rsidRDefault="008403C0" w:rsidP="008403C0">
            <w:pPr>
              <w:widowControl/>
              <w:spacing w:before="40" w:after="40"/>
              <w:jc w:val="center"/>
              <w:rPr>
                <w:sz w:val="12"/>
                <w:szCs w:val="12"/>
                <w:lang w:val="en-US"/>
              </w:rPr>
            </w:pPr>
          </w:p>
        </w:tc>
        <w:tc>
          <w:tcPr>
            <w:tcW w:w="1242" w:type="dxa"/>
            <w:tcBorders>
              <w:top w:val="single" w:sz="4" w:space="0" w:color="auto"/>
              <w:bottom w:val="single" w:sz="4" w:space="0" w:color="auto"/>
            </w:tcBorders>
            <w:vAlign w:val="center"/>
          </w:tcPr>
          <w:p w14:paraId="05A2E1AC" w14:textId="77777777" w:rsidR="008403C0" w:rsidRPr="008403C0" w:rsidRDefault="008403C0" w:rsidP="008403C0">
            <w:pPr>
              <w:widowControl/>
              <w:spacing w:before="40" w:after="40"/>
              <w:jc w:val="center"/>
              <w:rPr>
                <w:sz w:val="12"/>
                <w:szCs w:val="12"/>
                <w:lang w:val="en-US"/>
              </w:rPr>
            </w:pPr>
          </w:p>
        </w:tc>
        <w:tc>
          <w:tcPr>
            <w:tcW w:w="1301" w:type="dxa"/>
            <w:tcBorders>
              <w:top w:val="single" w:sz="4" w:space="0" w:color="auto"/>
              <w:bottom w:val="single" w:sz="4" w:space="0" w:color="auto"/>
            </w:tcBorders>
            <w:vAlign w:val="center"/>
          </w:tcPr>
          <w:p w14:paraId="54B849D7" w14:textId="77777777" w:rsidR="008403C0" w:rsidRPr="008403C0" w:rsidRDefault="008403C0" w:rsidP="008403C0">
            <w:pPr>
              <w:widowControl/>
              <w:spacing w:before="40" w:after="40"/>
              <w:jc w:val="center"/>
              <w:rPr>
                <w:sz w:val="12"/>
                <w:szCs w:val="12"/>
                <w:lang w:val="en-US"/>
              </w:rPr>
            </w:pPr>
          </w:p>
        </w:tc>
        <w:tc>
          <w:tcPr>
            <w:tcW w:w="1071" w:type="dxa"/>
            <w:tcBorders>
              <w:top w:val="single" w:sz="4" w:space="0" w:color="auto"/>
              <w:bottom w:val="single" w:sz="4" w:space="0" w:color="auto"/>
            </w:tcBorders>
          </w:tcPr>
          <w:p w14:paraId="2B1EAE67" w14:textId="77777777" w:rsidR="008403C0" w:rsidRPr="008403C0" w:rsidRDefault="008403C0" w:rsidP="008403C0">
            <w:pPr>
              <w:widowControl/>
              <w:spacing w:before="40" w:after="40"/>
              <w:jc w:val="center"/>
              <w:rPr>
                <w:sz w:val="12"/>
                <w:szCs w:val="12"/>
                <w:lang w:val="en-US"/>
              </w:rPr>
            </w:pPr>
          </w:p>
        </w:tc>
        <w:tc>
          <w:tcPr>
            <w:tcW w:w="1117" w:type="dxa"/>
            <w:tcBorders>
              <w:top w:val="single" w:sz="4" w:space="0" w:color="auto"/>
              <w:bottom w:val="single" w:sz="4" w:space="0" w:color="auto"/>
            </w:tcBorders>
            <w:vAlign w:val="center"/>
          </w:tcPr>
          <w:p w14:paraId="3CF5AC73" w14:textId="32F99039" w:rsidR="008403C0" w:rsidRPr="008403C0" w:rsidRDefault="008403C0" w:rsidP="008403C0">
            <w:pPr>
              <w:widowControl/>
              <w:spacing w:before="40" w:after="40"/>
              <w:jc w:val="center"/>
              <w:rPr>
                <w:sz w:val="12"/>
                <w:szCs w:val="12"/>
                <w:lang w:val="en-US"/>
              </w:rPr>
            </w:pPr>
          </w:p>
        </w:tc>
        <w:tc>
          <w:tcPr>
            <w:tcW w:w="1054" w:type="dxa"/>
            <w:tcBorders>
              <w:top w:val="single" w:sz="4" w:space="0" w:color="auto"/>
              <w:bottom w:val="single" w:sz="4" w:space="0" w:color="auto"/>
            </w:tcBorders>
            <w:vAlign w:val="center"/>
          </w:tcPr>
          <w:p w14:paraId="37E58E78" w14:textId="77777777" w:rsidR="008403C0" w:rsidRPr="008403C0" w:rsidRDefault="008403C0" w:rsidP="008403C0">
            <w:pPr>
              <w:widowControl/>
              <w:spacing w:before="40" w:after="40"/>
              <w:jc w:val="center"/>
              <w:rPr>
                <w:sz w:val="12"/>
                <w:szCs w:val="12"/>
                <w:lang w:val="en-US"/>
              </w:rPr>
            </w:pPr>
          </w:p>
        </w:tc>
      </w:tr>
      <w:tr w:rsidR="008403C0" w14:paraId="1DAA7A62" w14:textId="77777777" w:rsidTr="00C25D62">
        <w:tc>
          <w:tcPr>
            <w:tcW w:w="2875" w:type="dxa"/>
            <w:tcBorders>
              <w:top w:val="single" w:sz="4" w:space="0" w:color="auto"/>
              <w:bottom w:val="single" w:sz="8" w:space="0" w:color="auto"/>
            </w:tcBorders>
            <w:vAlign w:val="center"/>
          </w:tcPr>
          <w:p w14:paraId="4815AB63" w14:textId="0169F01E" w:rsidR="008403C0" w:rsidRPr="006771EF" w:rsidRDefault="008403C0" w:rsidP="008403C0">
            <w:pPr>
              <w:widowControl/>
              <w:spacing w:before="40" w:after="40"/>
              <w:jc w:val="left"/>
              <w:rPr>
                <w:sz w:val="20"/>
                <w:szCs w:val="20"/>
                <w:lang w:val="en-US"/>
              </w:rPr>
            </w:pPr>
            <w:r>
              <w:rPr>
                <w:b/>
                <w:sz w:val="20"/>
                <w:szCs w:val="20"/>
                <w:lang w:val="en-US"/>
              </w:rPr>
              <w:t>TOTAL PORTFOLIO</w:t>
            </w:r>
          </w:p>
        </w:tc>
        <w:tc>
          <w:tcPr>
            <w:tcW w:w="1478" w:type="dxa"/>
            <w:tcBorders>
              <w:top w:val="single" w:sz="4" w:space="0" w:color="auto"/>
              <w:bottom w:val="single" w:sz="8" w:space="0" w:color="auto"/>
            </w:tcBorders>
            <w:vAlign w:val="center"/>
          </w:tcPr>
          <w:p w14:paraId="025CD2A1" w14:textId="77777777" w:rsidR="008403C0" w:rsidRPr="006771EF" w:rsidRDefault="008403C0" w:rsidP="008403C0">
            <w:pPr>
              <w:widowControl/>
              <w:spacing w:before="40" w:after="40"/>
              <w:jc w:val="center"/>
              <w:rPr>
                <w:sz w:val="20"/>
                <w:szCs w:val="20"/>
                <w:lang w:val="en-US"/>
              </w:rPr>
            </w:pPr>
          </w:p>
        </w:tc>
        <w:tc>
          <w:tcPr>
            <w:tcW w:w="1242" w:type="dxa"/>
            <w:tcBorders>
              <w:top w:val="single" w:sz="4" w:space="0" w:color="auto"/>
              <w:bottom w:val="single" w:sz="8" w:space="0" w:color="auto"/>
            </w:tcBorders>
            <w:vAlign w:val="center"/>
          </w:tcPr>
          <w:p w14:paraId="3E091FEA" w14:textId="3541082B" w:rsidR="008403C0" w:rsidRPr="006771EF" w:rsidRDefault="008403C0" w:rsidP="008403C0">
            <w:pPr>
              <w:widowControl/>
              <w:spacing w:before="40" w:after="40"/>
              <w:jc w:val="center"/>
              <w:rPr>
                <w:sz w:val="20"/>
                <w:szCs w:val="20"/>
                <w:lang w:val="en-US"/>
              </w:rPr>
            </w:pPr>
            <w:r w:rsidRPr="006E40EA">
              <w:rPr>
                <w:b/>
                <w:sz w:val="20"/>
                <w:szCs w:val="20"/>
                <w:lang w:val="en-US"/>
              </w:rPr>
              <w:t>621,269.38</w:t>
            </w:r>
          </w:p>
        </w:tc>
        <w:tc>
          <w:tcPr>
            <w:tcW w:w="1301" w:type="dxa"/>
            <w:tcBorders>
              <w:top w:val="single" w:sz="4" w:space="0" w:color="auto"/>
              <w:bottom w:val="single" w:sz="8" w:space="0" w:color="auto"/>
            </w:tcBorders>
            <w:vAlign w:val="center"/>
          </w:tcPr>
          <w:p w14:paraId="7F1A1B0A" w14:textId="1AE31844" w:rsidR="008403C0" w:rsidRPr="006771EF" w:rsidRDefault="008403C0" w:rsidP="008403C0">
            <w:pPr>
              <w:widowControl/>
              <w:spacing w:before="40" w:after="40"/>
              <w:jc w:val="center"/>
              <w:rPr>
                <w:sz w:val="20"/>
                <w:szCs w:val="20"/>
                <w:lang w:val="en-US"/>
              </w:rPr>
            </w:pPr>
            <w:r w:rsidRPr="006E40EA">
              <w:rPr>
                <w:b/>
                <w:sz w:val="20"/>
                <w:szCs w:val="20"/>
                <w:lang w:val="en-US"/>
              </w:rPr>
              <w:t>638,062.51</w:t>
            </w:r>
          </w:p>
        </w:tc>
        <w:tc>
          <w:tcPr>
            <w:tcW w:w="1071" w:type="dxa"/>
            <w:tcBorders>
              <w:top w:val="single" w:sz="4" w:space="0" w:color="auto"/>
              <w:bottom w:val="single" w:sz="8" w:space="0" w:color="auto"/>
            </w:tcBorders>
          </w:tcPr>
          <w:p w14:paraId="7A21BFC2" w14:textId="400D17DF" w:rsidR="008403C0" w:rsidRPr="006E40EA" w:rsidRDefault="008403C0" w:rsidP="008403C0">
            <w:pPr>
              <w:widowControl/>
              <w:spacing w:before="40" w:after="40"/>
              <w:jc w:val="center"/>
              <w:rPr>
                <w:b/>
                <w:sz w:val="20"/>
                <w:szCs w:val="20"/>
                <w:lang w:val="en-US"/>
              </w:rPr>
            </w:pPr>
            <w:r>
              <w:rPr>
                <w:b/>
                <w:sz w:val="20"/>
                <w:szCs w:val="20"/>
                <w:lang w:val="en-US"/>
              </w:rPr>
              <w:t>100</w:t>
            </w:r>
          </w:p>
        </w:tc>
        <w:tc>
          <w:tcPr>
            <w:tcW w:w="1117" w:type="dxa"/>
            <w:tcBorders>
              <w:top w:val="single" w:sz="4" w:space="0" w:color="auto"/>
              <w:bottom w:val="single" w:sz="8" w:space="0" w:color="auto"/>
            </w:tcBorders>
            <w:vAlign w:val="center"/>
          </w:tcPr>
          <w:p w14:paraId="278C46F8" w14:textId="53157B23" w:rsidR="008403C0" w:rsidRPr="006771EF" w:rsidRDefault="008403C0" w:rsidP="008403C0">
            <w:pPr>
              <w:widowControl/>
              <w:spacing w:before="40" w:after="40"/>
              <w:jc w:val="center"/>
              <w:rPr>
                <w:sz w:val="20"/>
                <w:szCs w:val="20"/>
                <w:lang w:val="en-US"/>
              </w:rPr>
            </w:pPr>
            <w:r w:rsidRPr="006E40EA">
              <w:rPr>
                <w:b/>
                <w:sz w:val="20"/>
                <w:szCs w:val="20"/>
                <w:lang w:val="en-US"/>
              </w:rPr>
              <w:t>100</w:t>
            </w:r>
          </w:p>
        </w:tc>
        <w:tc>
          <w:tcPr>
            <w:tcW w:w="1054" w:type="dxa"/>
            <w:tcBorders>
              <w:top w:val="single" w:sz="4" w:space="0" w:color="auto"/>
              <w:bottom w:val="single" w:sz="8" w:space="0" w:color="auto"/>
            </w:tcBorders>
            <w:vAlign w:val="center"/>
          </w:tcPr>
          <w:p w14:paraId="4B8B6725" w14:textId="0467EC37" w:rsidR="008403C0" w:rsidRPr="006771EF" w:rsidRDefault="008403C0" w:rsidP="008403C0">
            <w:pPr>
              <w:widowControl/>
              <w:spacing w:before="40" w:after="40"/>
              <w:jc w:val="center"/>
              <w:rPr>
                <w:sz w:val="20"/>
                <w:szCs w:val="20"/>
                <w:lang w:val="en-US"/>
              </w:rPr>
            </w:pPr>
            <w:r w:rsidRPr="006E40EA">
              <w:rPr>
                <w:b/>
                <w:sz w:val="20"/>
                <w:szCs w:val="20"/>
                <w:lang w:val="en-US"/>
              </w:rPr>
              <w:t>2.71</w:t>
            </w:r>
          </w:p>
        </w:tc>
      </w:tr>
    </w:tbl>
    <w:p w14:paraId="475D22CF" w14:textId="77777777" w:rsidR="007D766D" w:rsidRDefault="007D766D">
      <w:pPr>
        <w:widowControl/>
        <w:spacing w:line="312" w:lineRule="auto"/>
        <w:jc w:val="left"/>
        <w:rPr>
          <w:rFonts w:eastAsiaTheme="minorEastAsia"/>
          <w:b/>
          <w:color w:val="4472C4" w:themeColor="accent1"/>
          <w:spacing w:val="15"/>
          <w:lang w:eastAsia="zh-CN"/>
        </w:rPr>
      </w:pPr>
      <w:r>
        <w:rPr>
          <w:lang w:eastAsia="zh-CN"/>
        </w:rPr>
        <w:br w:type="page"/>
      </w:r>
    </w:p>
    <w:p w14:paraId="3BD7DC5C" w14:textId="2B611B32" w:rsidR="00380F71" w:rsidRPr="00136215" w:rsidRDefault="00380F71" w:rsidP="006E40EA">
      <w:pPr>
        <w:pStyle w:val="Heading1"/>
        <w:spacing w:before="360"/>
        <w:rPr>
          <w:sz w:val="24"/>
          <w:szCs w:val="24"/>
          <w:lang w:eastAsia="zh-CN"/>
        </w:rPr>
      </w:pPr>
      <w:bookmarkStart w:id="21" w:name="_Toc517159296"/>
      <w:r w:rsidRPr="00136215">
        <w:rPr>
          <w:sz w:val="24"/>
          <w:szCs w:val="24"/>
          <w:lang w:eastAsia="zh-CN"/>
        </w:rPr>
        <w:lastRenderedPageBreak/>
        <w:t>Socially Responsible Investment (SRI) Report</w:t>
      </w:r>
      <w:bookmarkEnd w:id="21"/>
    </w:p>
    <w:p w14:paraId="632D788E" w14:textId="5031AE03" w:rsidR="00380F71" w:rsidRPr="006771EF" w:rsidRDefault="00380F71" w:rsidP="00136215">
      <w:pPr>
        <w:spacing w:before="180" w:after="0"/>
        <w:rPr>
          <w:sz w:val="20"/>
          <w:szCs w:val="20"/>
          <w:lang w:val="en-US"/>
        </w:rPr>
      </w:pPr>
      <w:r w:rsidRPr="006771EF">
        <w:rPr>
          <w:sz w:val="20"/>
          <w:szCs w:val="20"/>
          <w:lang w:val="en-US"/>
        </w:rPr>
        <w:t xml:space="preserve">The SMF portfolio must comply with the </w:t>
      </w:r>
      <w:r w:rsidR="009A2BF2">
        <w:rPr>
          <w:sz w:val="20"/>
          <w:szCs w:val="20"/>
          <w:lang w:val="en-US"/>
        </w:rPr>
        <w:t xml:space="preserve">ANU’s </w:t>
      </w:r>
      <w:r w:rsidRPr="006771EF">
        <w:rPr>
          <w:sz w:val="20"/>
          <w:szCs w:val="20"/>
          <w:lang w:val="en-US"/>
        </w:rPr>
        <w:t>SRI</w:t>
      </w:r>
      <w:r w:rsidR="009D2BB3">
        <w:rPr>
          <w:sz w:val="20"/>
          <w:szCs w:val="20"/>
          <w:lang w:val="en-US"/>
        </w:rPr>
        <w:t xml:space="preserve"> </w:t>
      </w:r>
      <w:r w:rsidRPr="006771EF">
        <w:rPr>
          <w:sz w:val="20"/>
          <w:szCs w:val="20"/>
          <w:lang w:val="en-US"/>
        </w:rPr>
        <w:t>policy</w:t>
      </w:r>
      <w:r w:rsidR="00D601DC">
        <w:rPr>
          <w:sz w:val="20"/>
          <w:szCs w:val="20"/>
          <w:lang w:val="en-US"/>
        </w:rPr>
        <w:t>; and will</w:t>
      </w:r>
      <w:r w:rsidR="009A2BF2">
        <w:rPr>
          <w:sz w:val="20"/>
          <w:szCs w:val="20"/>
          <w:lang w:val="en-US"/>
        </w:rPr>
        <w:t xml:space="preserve"> foll</w:t>
      </w:r>
      <w:r w:rsidR="00D601DC">
        <w:rPr>
          <w:sz w:val="20"/>
          <w:szCs w:val="20"/>
          <w:lang w:val="en-US"/>
        </w:rPr>
        <w:t>ow the policy in accordance with how it i</w:t>
      </w:r>
      <w:r w:rsidR="00207A31">
        <w:rPr>
          <w:sz w:val="20"/>
          <w:szCs w:val="20"/>
          <w:lang w:val="en-US"/>
        </w:rPr>
        <w:t>s applied within</w:t>
      </w:r>
      <w:r w:rsidRPr="006771EF">
        <w:rPr>
          <w:sz w:val="20"/>
          <w:szCs w:val="20"/>
          <w:lang w:val="en-US"/>
        </w:rPr>
        <w:t xml:space="preserve"> the ANU’s </w:t>
      </w:r>
      <w:r w:rsidR="00207A31">
        <w:rPr>
          <w:sz w:val="20"/>
          <w:szCs w:val="20"/>
          <w:lang w:val="en-US"/>
        </w:rPr>
        <w:t>Long-Term Investment Portfolio (</w:t>
      </w:r>
      <w:r w:rsidRPr="006771EF">
        <w:rPr>
          <w:sz w:val="20"/>
          <w:szCs w:val="20"/>
          <w:lang w:val="en-US"/>
        </w:rPr>
        <w:t>LTIP</w:t>
      </w:r>
      <w:r w:rsidR="00207A31">
        <w:rPr>
          <w:sz w:val="20"/>
          <w:szCs w:val="20"/>
          <w:lang w:val="en-US"/>
        </w:rPr>
        <w:t>)</w:t>
      </w:r>
      <w:r w:rsidRPr="006771EF">
        <w:rPr>
          <w:sz w:val="20"/>
          <w:szCs w:val="20"/>
          <w:lang w:val="en-US"/>
        </w:rPr>
        <w:t xml:space="preserve">. </w:t>
      </w:r>
      <w:r w:rsidR="009A2BF2">
        <w:rPr>
          <w:sz w:val="20"/>
          <w:szCs w:val="20"/>
          <w:lang w:val="en-US"/>
        </w:rPr>
        <w:t xml:space="preserve">This entails ensuring that the active stock selection component of the </w:t>
      </w:r>
      <w:r w:rsidR="009D2BB3">
        <w:rPr>
          <w:sz w:val="20"/>
          <w:szCs w:val="20"/>
          <w:lang w:val="en-US"/>
        </w:rPr>
        <w:t>AAE</w:t>
      </w:r>
      <w:r w:rsidR="009A2BF2">
        <w:rPr>
          <w:sz w:val="20"/>
          <w:szCs w:val="20"/>
          <w:lang w:val="en-US"/>
        </w:rPr>
        <w:t xml:space="preserve"> portfolio fulfils three</w:t>
      </w:r>
      <w:r w:rsidRPr="006771EF">
        <w:rPr>
          <w:sz w:val="20"/>
          <w:szCs w:val="20"/>
          <w:lang w:val="en-US"/>
        </w:rPr>
        <w:t xml:space="preserve"> main conditions:</w:t>
      </w:r>
    </w:p>
    <w:p w14:paraId="6276D632" w14:textId="1F8701E4" w:rsidR="00380F71" w:rsidRPr="006771EF" w:rsidRDefault="00380F71" w:rsidP="003A4744">
      <w:pPr>
        <w:pStyle w:val="NormalWeb"/>
        <w:numPr>
          <w:ilvl w:val="0"/>
          <w:numId w:val="34"/>
        </w:numPr>
        <w:spacing w:before="180" w:beforeAutospacing="0" w:after="0" w:afterAutospacing="0" w:line="252" w:lineRule="auto"/>
        <w:ind w:left="274" w:hanging="274"/>
        <w:rPr>
          <w:rFonts w:eastAsiaTheme="minorHAnsi"/>
          <w:sz w:val="20"/>
          <w:szCs w:val="20"/>
          <w:lang w:val="en-US" w:eastAsia="en-US"/>
        </w:rPr>
      </w:pPr>
      <w:r w:rsidRPr="006771EF">
        <w:rPr>
          <w:rFonts w:eastAsiaTheme="minorHAnsi"/>
          <w:sz w:val="20"/>
          <w:szCs w:val="20"/>
          <w:lang w:val="en-US" w:eastAsia="en-US"/>
        </w:rPr>
        <w:t>Exclude com</w:t>
      </w:r>
      <w:r w:rsidR="00207A31">
        <w:rPr>
          <w:rFonts w:eastAsiaTheme="minorHAnsi"/>
          <w:sz w:val="20"/>
          <w:szCs w:val="20"/>
          <w:lang w:val="en-US" w:eastAsia="en-US"/>
        </w:rPr>
        <w:t>panies that derive more than 20</w:t>
      </w:r>
      <w:r w:rsidR="00DA0F9D">
        <w:rPr>
          <w:rFonts w:eastAsiaTheme="minorHAnsi"/>
          <w:sz w:val="20"/>
          <w:szCs w:val="20"/>
          <w:lang w:val="en-US" w:eastAsia="en-US"/>
        </w:rPr>
        <w:t>%</w:t>
      </w:r>
      <w:r w:rsidRPr="006771EF">
        <w:rPr>
          <w:rFonts w:eastAsiaTheme="minorHAnsi"/>
          <w:sz w:val="20"/>
          <w:szCs w:val="20"/>
          <w:lang w:val="en-US" w:eastAsia="en-US"/>
        </w:rPr>
        <w:t xml:space="preserve"> of revenues from coal, gambling, tobacco or pornography.</w:t>
      </w:r>
    </w:p>
    <w:p w14:paraId="04042A9D" w14:textId="77777777" w:rsidR="00380F71" w:rsidRPr="006771EF" w:rsidRDefault="00380F71" w:rsidP="003A4744">
      <w:pPr>
        <w:pStyle w:val="NormalWeb"/>
        <w:numPr>
          <w:ilvl w:val="0"/>
          <w:numId w:val="34"/>
        </w:numPr>
        <w:spacing w:before="0" w:beforeAutospacing="0" w:after="0" w:afterAutospacing="0" w:line="252" w:lineRule="auto"/>
        <w:ind w:left="270" w:hanging="270"/>
        <w:rPr>
          <w:rFonts w:eastAsiaTheme="minorHAnsi"/>
          <w:sz w:val="20"/>
          <w:szCs w:val="20"/>
          <w:lang w:val="en-US" w:eastAsia="en-US"/>
        </w:rPr>
      </w:pPr>
      <w:r w:rsidRPr="006771EF">
        <w:rPr>
          <w:rFonts w:eastAsiaTheme="minorHAnsi"/>
          <w:sz w:val="20"/>
          <w:szCs w:val="20"/>
          <w:lang w:val="en-US" w:eastAsia="en-US"/>
        </w:rPr>
        <w:t>Hold a portfolio with 25% less carbon intensity than the S&amp;P/ASX 200.</w:t>
      </w:r>
    </w:p>
    <w:p w14:paraId="2EE37279" w14:textId="09646AEE" w:rsidR="00380F71" w:rsidRPr="006771EF" w:rsidRDefault="00380F71" w:rsidP="003A4744">
      <w:pPr>
        <w:pStyle w:val="NormalWeb"/>
        <w:numPr>
          <w:ilvl w:val="0"/>
          <w:numId w:val="34"/>
        </w:numPr>
        <w:spacing w:before="0" w:beforeAutospacing="0" w:after="0" w:afterAutospacing="0" w:line="252" w:lineRule="auto"/>
        <w:ind w:left="270" w:hanging="270"/>
        <w:rPr>
          <w:rFonts w:eastAsiaTheme="minorHAnsi"/>
          <w:sz w:val="20"/>
          <w:szCs w:val="20"/>
          <w:lang w:val="en-US" w:eastAsia="en-US"/>
        </w:rPr>
      </w:pPr>
      <w:r w:rsidRPr="006771EF">
        <w:rPr>
          <w:rFonts w:eastAsiaTheme="minorHAnsi"/>
          <w:sz w:val="20"/>
          <w:szCs w:val="20"/>
          <w:lang w:val="en-US" w:eastAsia="en-US"/>
        </w:rPr>
        <w:t xml:space="preserve">Ensure that the portfolio demonstrates a 10 </w:t>
      </w:r>
      <w:r w:rsidR="00DA0F9D">
        <w:rPr>
          <w:rFonts w:eastAsiaTheme="minorHAnsi"/>
          <w:sz w:val="20"/>
          <w:szCs w:val="20"/>
          <w:lang w:val="en-US" w:eastAsia="en-US"/>
        </w:rPr>
        <w:t>%</w:t>
      </w:r>
      <w:r w:rsidRPr="006771EF">
        <w:rPr>
          <w:rFonts w:eastAsiaTheme="minorHAnsi"/>
          <w:sz w:val="20"/>
          <w:szCs w:val="20"/>
          <w:lang w:val="en-US" w:eastAsia="en-US"/>
        </w:rPr>
        <w:t xml:space="preserve"> improvement in the overall ESG</w:t>
      </w:r>
      <w:r w:rsidR="009D2BB3">
        <w:rPr>
          <w:rFonts w:eastAsiaTheme="minorHAnsi"/>
          <w:sz w:val="20"/>
          <w:szCs w:val="20"/>
          <w:lang w:val="en-US" w:eastAsia="en-US"/>
        </w:rPr>
        <w:t xml:space="preserve"> </w:t>
      </w:r>
      <w:r w:rsidRPr="006771EF">
        <w:rPr>
          <w:rFonts w:eastAsiaTheme="minorHAnsi"/>
          <w:sz w:val="20"/>
          <w:szCs w:val="20"/>
          <w:lang w:val="en-US" w:eastAsia="en-US"/>
        </w:rPr>
        <w:t>rating relative to the benchmark.</w:t>
      </w:r>
    </w:p>
    <w:p w14:paraId="66AB5097" w14:textId="56E99C64" w:rsidR="00380F71" w:rsidRPr="006771EF" w:rsidRDefault="00207A31" w:rsidP="00136215">
      <w:pPr>
        <w:spacing w:before="180" w:after="0"/>
        <w:rPr>
          <w:sz w:val="20"/>
          <w:szCs w:val="20"/>
          <w:lang w:val="en-US"/>
        </w:rPr>
      </w:pPr>
      <w:r>
        <w:rPr>
          <w:sz w:val="20"/>
          <w:szCs w:val="20"/>
          <w:lang w:val="en-US"/>
        </w:rPr>
        <w:t>Figure 4</w:t>
      </w:r>
      <w:r w:rsidR="00380F71" w:rsidRPr="006771EF">
        <w:rPr>
          <w:sz w:val="20"/>
          <w:szCs w:val="20"/>
          <w:lang w:val="en-US"/>
        </w:rPr>
        <w:t xml:space="preserve"> shows the </w:t>
      </w:r>
      <w:r>
        <w:rPr>
          <w:sz w:val="20"/>
          <w:szCs w:val="20"/>
          <w:lang w:val="en-US"/>
        </w:rPr>
        <w:t xml:space="preserve">investments within the AAE component </w:t>
      </w:r>
      <w:r w:rsidR="009A2BF2" w:rsidRPr="006771EF">
        <w:rPr>
          <w:sz w:val="20"/>
          <w:szCs w:val="20"/>
          <w:lang w:val="en-US"/>
        </w:rPr>
        <w:t>as</w:t>
      </w:r>
      <w:r>
        <w:rPr>
          <w:sz w:val="20"/>
          <w:szCs w:val="20"/>
          <w:lang w:val="en-US"/>
        </w:rPr>
        <w:t xml:space="preserve"> at </w:t>
      </w:r>
      <w:r w:rsidR="009A2BF2" w:rsidRPr="006771EF">
        <w:rPr>
          <w:sz w:val="20"/>
          <w:szCs w:val="20"/>
          <w:lang w:val="en-US"/>
        </w:rPr>
        <w:t>9</w:t>
      </w:r>
      <w:r w:rsidR="009A2BF2" w:rsidRPr="006771EF">
        <w:rPr>
          <w:sz w:val="20"/>
          <w:szCs w:val="20"/>
          <w:vertAlign w:val="superscript"/>
          <w:lang w:val="en-US"/>
        </w:rPr>
        <w:t>th</w:t>
      </w:r>
      <w:r w:rsidR="009A2BF2" w:rsidRPr="006771EF">
        <w:rPr>
          <w:sz w:val="20"/>
          <w:szCs w:val="20"/>
          <w:lang w:val="en-US"/>
        </w:rPr>
        <w:t xml:space="preserve"> of June 2018</w:t>
      </w:r>
      <w:r w:rsidR="00380F71" w:rsidRPr="006771EF">
        <w:rPr>
          <w:sz w:val="20"/>
          <w:szCs w:val="20"/>
          <w:lang w:val="en-US"/>
        </w:rPr>
        <w:t xml:space="preserve">, </w:t>
      </w:r>
      <w:r>
        <w:rPr>
          <w:sz w:val="20"/>
          <w:szCs w:val="20"/>
          <w:lang w:val="en-US"/>
        </w:rPr>
        <w:t>and the associated carbon intensity and</w:t>
      </w:r>
      <w:r w:rsidR="009A2BF2">
        <w:rPr>
          <w:sz w:val="20"/>
          <w:szCs w:val="20"/>
          <w:lang w:val="en-US"/>
        </w:rPr>
        <w:t xml:space="preserve"> </w:t>
      </w:r>
      <w:r w:rsidR="00380F71" w:rsidRPr="006771EF">
        <w:rPr>
          <w:sz w:val="20"/>
          <w:szCs w:val="20"/>
          <w:lang w:val="en-US"/>
        </w:rPr>
        <w:t>ESG score</w:t>
      </w:r>
      <w:r>
        <w:rPr>
          <w:sz w:val="20"/>
          <w:szCs w:val="20"/>
          <w:lang w:val="en-US"/>
        </w:rPr>
        <w:t xml:space="preserve">s for </w:t>
      </w:r>
      <w:r w:rsidR="00380F71" w:rsidRPr="006771EF">
        <w:rPr>
          <w:sz w:val="20"/>
          <w:szCs w:val="20"/>
          <w:lang w:val="en-US"/>
        </w:rPr>
        <w:t xml:space="preserve">the </w:t>
      </w:r>
      <w:r w:rsidR="009A2BF2">
        <w:rPr>
          <w:sz w:val="20"/>
          <w:szCs w:val="20"/>
          <w:lang w:val="en-US"/>
        </w:rPr>
        <w:t xml:space="preserve">S&amp;P/ASX200 </w:t>
      </w:r>
      <w:r w:rsidR="00380F71" w:rsidRPr="006771EF">
        <w:rPr>
          <w:sz w:val="20"/>
          <w:szCs w:val="20"/>
          <w:lang w:val="en-US"/>
        </w:rPr>
        <w:t xml:space="preserve">benchmark and our active stock holdings. </w:t>
      </w:r>
      <w:r>
        <w:rPr>
          <w:sz w:val="20"/>
          <w:szCs w:val="20"/>
          <w:lang w:val="en-US"/>
        </w:rPr>
        <w:t>The carbon intensity scores a</w:t>
      </w:r>
      <w:r w:rsidRPr="006771EF">
        <w:rPr>
          <w:sz w:val="20"/>
          <w:szCs w:val="20"/>
          <w:lang w:val="en-US"/>
        </w:rPr>
        <w:t>re retrieved from Bloomberg</w:t>
      </w:r>
      <w:r>
        <w:rPr>
          <w:sz w:val="20"/>
          <w:szCs w:val="20"/>
          <w:lang w:val="en-US"/>
        </w:rPr>
        <w:t>. T</w:t>
      </w:r>
      <w:r w:rsidRPr="006771EF">
        <w:rPr>
          <w:sz w:val="20"/>
          <w:szCs w:val="20"/>
          <w:lang w:val="en-US"/>
        </w:rPr>
        <w:t>hey are calculated based on the annual carbon emission (in tonnes) pe</w:t>
      </w:r>
      <w:r>
        <w:rPr>
          <w:sz w:val="20"/>
          <w:szCs w:val="20"/>
          <w:lang w:val="en-US"/>
        </w:rPr>
        <w:t xml:space="preserve">r $1 million of revenue earned. </w:t>
      </w:r>
      <w:r w:rsidR="00380F71" w:rsidRPr="006771EF">
        <w:rPr>
          <w:sz w:val="20"/>
          <w:szCs w:val="20"/>
          <w:lang w:val="en-US"/>
        </w:rPr>
        <w:t xml:space="preserve">The ESG scores </w:t>
      </w:r>
      <w:r>
        <w:rPr>
          <w:sz w:val="20"/>
          <w:szCs w:val="20"/>
          <w:lang w:val="en-US"/>
        </w:rPr>
        <w:t xml:space="preserve">are based on </w:t>
      </w:r>
      <w:r w:rsidR="00380F71" w:rsidRPr="006771EF">
        <w:rPr>
          <w:sz w:val="20"/>
          <w:szCs w:val="20"/>
          <w:lang w:val="en-US"/>
        </w:rPr>
        <w:t>analysis performed by Sustainalytics</w:t>
      </w:r>
      <w:r>
        <w:rPr>
          <w:sz w:val="20"/>
          <w:szCs w:val="20"/>
          <w:lang w:val="en-US"/>
        </w:rPr>
        <w:t xml:space="preserve">. </w:t>
      </w:r>
    </w:p>
    <w:p w14:paraId="553F9961" w14:textId="483CA9B6" w:rsidR="00380F71" w:rsidRPr="007F06F5" w:rsidRDefault="00BF3830" w:rsidP="00207A31">
      <w:pPr>
        <w:pStyle w:val="TableFigure"/>
        <w:spacing w:before="240" w:after="80"/>
        <w:jc w:val="left"/>
        <w:rPr>
          <w:sz w:val="20"/>
          <w:szCs w:val="20"/>
          <w:lang w:val="en-US"/>
        </w:rPr>
      </w:pPr>
      <w:r w:rsidRPr="007F06F5">
        <w:rPr>
          <w:sz w:val="20"/>
          <w:szCs w:val="20"/>
          <w:lang w:val="en-US"/>
        </w:rPr>
        <w:t>Figure 4: C</w:t>
      </w:r>
      <w:r w:rsidR="00207A31">
        <w:rPr>
          <w:sz w:val="20"/>
          <w:szCs w:val="20"/>
          <w:lang w:val="en-US"/>
        </w:rPr>
        <w:t>urrent P</w:t>
      </w:r>
      <w:r w:rsidR="00380F71" w:rsidRPr="007F06F5">
        <w:rPr>
          <w:sz w:val="20"/>
          <w:szCs w:val="20"/>
          <w:lang w:val="en-US"/>
        </w:rPr>
        <w:t xml:space="preserve">osition of the AAE </w:t>
      </w:r>
      <w:r w:rsidR="00207A31">
        <w:rPr>
          <w:sz w:val="20"/>
          <w:szCs w:val="20"/>
          <w:lang w:val="en-US"/>
        </w:rPr>
        <w:t>C</w:t>
      </w:r>
      <w:r w:rsidR="00380F71" w:rsidRPr="007F06F5">
        <w:rPr>
          <w:sz w:val="20"/>
          <w:szCs w:val="20"/>
          <w:lang w:val="en-US"/>
        </w:rPr>
        <w:t xml:space="preserve">omponent </w:t>
      </w:r>
      <w:r w:rsidR="00207A31">
        <w:rPr>
          <w:sz w:val="20"/>
          <w:szCs w:val="20"/>
          <w:lang w:val="en-US"/>
        </w:rPr>
        <w:t>in regard to SRI C</w:t>
      </w:r>
      <w:r w:rsidR="00380F71" w:rsidRPr="007F06F5">
        <w:rPr>
          <w:sz w:val="20"/>
          <w:szCs w:val="20"/>
          <w:lang w:val="en-US"/>
        </w:rPr>
        <w:t>ompliance</w:t>
      </w:r>
    </w:p>
    <w:tbl>
      <w:tblPr>
        <w:tblStyle w:val="TableGrid"/>
        <w:tblW w:w="9535" w:type="dxa"/>
        <w:tblLook w:val="04A0" w:firstRow="1" w:lastRow="0" w:firstColumn="1" w:lastColumn="0" w:noHBand="0" w:noVBand="1"/>
      </w:tblPr>
      <w:tblGrid>
        <w:gridCol w:w="2515"/>
        <w:gridCol w:w="1250"/>
        <w:gridCol w:w="1000"/>
        <w:gridCol w:w="1080"/>
        <w:gridCol w:w="1522"/>
        <w:gridCol w:w="2168"/>
      </w:tblGrid>
      <w:tr w:rsidR="00380F71" w:rsidRPr="006771EF" w14:paraId="46F3E0F0" w14:textId="77777777" w:rsidTr="00207A31">
        <w:trPr>
          <w:trHeight w:val="656"/>
        </w:trPr>
        <w:tc>
          <w:tcPr>
            <w:tcW w:w="2515" w:type="dxa"/>
          </w:tcPr>
          <w:p w14:paraId="03EC06FE" w14:textId="77777777" w:rsidR="00380F71" w:rsidRPr="006771EF" w:rsidRDefault="00380F71" w:rsidP="003439A1">
            <w:pPr>
              <w:rPr>
                <w:sz w:val="20"/>
                <w:szCs w:val="20"/>
                <w:lang w:val="en-US"/>
              </w:rPr>
            </w:pPr>
          </w:p>
        </w:tc>
        <w:tc>
          <w:tcPr>
            <w:tcW w:w="1250" w:type="dxa"/>
          </w:tcPr>
          <w:p w14:paraId="10D4EF34" w14:textId="77777777" w:rsidR="00380F71" w:rsidRPr="00207A31" w:rsidRDefault="00380F71" w:rsidP="00207A31">
            <w:pPr>
              <w:spacing w:before="60"/>
              <w:jc w:val="center"/>
              <w:rPr>
                <w:b/>
                <w:sz w:val="20"/>
                <w:szCs w:val="20"/>
                <w:lang w:val="en-US"/>
              </w:rPr>
            </w:pPr>
            <w:r w:rsidRPr="00207A31">
              <w:rPr>
                <w:b/>
                <w:sz w:val="20"/>
                <w:szCs w:val="20"/>
                <w:lang w:val="en-US"/>
              </w:rPr>
              <w:t>ASX200 ETF</w:t>
            </w:r>
          </w:p>
        </w:tc>
        <w:tc>
          <w:tcPr>
            <w:tcW w:w="1000" w:type="dxa"/>
          </w:tcPr>
          <w:p w14:paraId="53E968D1" w14:textId="77777777" w:rsidR="00380F71" w:rsidRPr="00207A31" w:rsidRDefault="00380F71" w:rsidP="00207A31">
            <w:pPr>
              <w:spacing w:before="60"/>
              <w:jc w:val="center"/>
              <w:rPr>
                <w:b/>
                <w:sz w:val="20"/>
                <w:szCs w:val="20"/>
                <w:lang w:val="en-US"/>
              </w:rPr>
            </w:pPr>
            <w:r w:rsidRPr="00207A31">
              <w:rPr>
                <w:b/>
                <w:sz w:val="20"/>
                <w:szCs w:val="20"/>
                <w:lang w:val="en-US"/>
              </w:rPr>
              <w:t>Telstra (TLS)</w:t>
            </w:r>
          </w:p>
        </w:tc>
        <w:tc>
          <w:tcPr>
            <w:tcW w:w="1080" w:type="dxa"/>
          </w:tcPr>
          <w:p w14:paraId="3C670C58" w14:textId="77777777" w:rsidR="00380F71" w:rsidRPr="00207A31" w:rsidRDefault="00380F71" w:rsidP="00207A31">
            <w:pPr>
              <w:spacing w:before="60"/>
              <w:jc w:val="center"/>
              <w:rPr>
                <w:b/>
                <w:sz w:val="20"/>
                <w:szCs w:val="20"/>
                <w:lang w:val="en-US"/>
              </w:rPr>
            </w:pPr>
            <w:r w:rsidRPr="00207A31">
              <w:rPr>
                <w:b/>
                <w:sz w:val="20"/>
                <w:szCs w:val="20"/>
                <w:lang w:val="en-US"/>
              </w:rPr>
              <w:t>Rio Tinto (RIO)</w:t>
            </w:r>
          </w:p>
        </w:tc>
        <w:tc>
          <w:tcPr>
            <w:tcW w:w="1522" w:type="dxa"/>
          </w:tcPr>
          <w:p w14:paraId="58514D74" w14:textId="28654EB8" w:rsidR="00380F71" w:rsidRPr="00207A31" w:rsidRDefault="00744F4F" w:rsidP="00207A31">
            <w:pPr>
              <w:spacing w:before="60"/>
              <w:jc w:val="center"/>
              <w:rPr>
                <w:b/>
                <w:sz w:val="20"/>
                <w:szCs w:val="20"/>
                <w:lang w:val="en-US"/>
              </w:rPr>
            </w:pPr>
            <w:r w:rsidRPr="00207A31">
              <w:rPr>
                <w:b/>
                <w:sz w:val="20"/>
                <w:szCs w:val="20"/>
                <w:lang w:val="en-US"/>
              </w:rPr>
              <w:t>Total Active Stock Positions</w:t>
            </w:r>
          </w:p>
        </w:tc>
        <w:tc>
          <w:tcPr>
            <w:tcW w:w="2168" w:type="dxa"/>
          </w:tcPr>
          <w:p w14:paraId="421551E7" w14:textId="36DA329D" w:rsidR="00380F71" w:rsidRPr="00207A31" w:rsidRDefault="00380F71" w:rsidP="00207A31">
            <w:pPr>
              <w:spacing w:before="60" w:after="60"/>
              <w:jc w:val="center"/>
              <w:rPr>
                <w:b/>
                <w:sz w:val="20"/>
                <w:szCs w:val="20"/>
                <w:lang w:val="en-US"/>
              </w:rPr>
            </w:pPr>
            <w:r w:rsidRPr="00207A31">
              <w:rPr>
                <w:b/>
                <w:sz w:val="20"/>
                <w:szCs w:val="20"/>
                <w:lang w:val="en-US"/>
              </w:rPr>
              <w:t>A</w:t>
            </w:r>
            <w:r w:rsidR="00DC2C08" w:rsidRPr="00207A31">
              <w:rPr>
                <w:b/>
                <w:sz w:val="20"/>
                <w:szCs w:val="20"/>
                <w:lang w:val="en-US"/>
              </w:rPr>
              <w:t xml:space="preserve">ctive Stock Positions </w:t>
            </w:r>
            <w:r w:rsidRPr="00207A31">
              <w:rPr>
                <w:b/>
                <w:sz w:val="20"/>
                <w:szCs w:val="20"/>
                <w:lang w:val="en-US"/>
              </w:rPr>
              <w:t xml:space="preserve">vs. </w:t>
            </w:r>
            <w:r w:rsidR="00BF3830" w:rsidRPr="00207A31">
              <w:rPr>
                <w:b/>
                <w:sz w:val="20"/>
                <w:szCs w:val="20"/>
                <w:lang w:val="en-US"/>
              </w:rPr>
              <w:t>S&amp;P/ASX200 (B</w:t>
            </w:r>
            <w:r w:rsidRPr="00207A31">
              <w:rPr>
                <w:b/>
                <w:sz w:val="20"/>
                <w:szCs w:val="20"/>
                <w:lang w:val="en-US"/>
              </w:rPr>
              <w:t>enchmark)</w:t>
            </w:r>
          </w:p>
        </w:tc>
      </w:tr>
      <w:tr w:rsidR="00744F4F" w:rsidRPr="006771EF" w14:paraId="01674A7D" w14:textId="77777777" w:rsidTr="00207A31">
        <w:trPr>
          <w:trHeight w:val="287"/>
        </w:trPr>
        <w:tc>
          <w:tcPr>
            <w:tcW w:w="2515" w:type="dxa"/>
          </w:tcPr>
          <w:p w14:paraId="15091EBF" w14:textId="77777777" w:rsidR="00744F4F" w:rsidRPr="006771EF" w:rsidRDefault="00744F4F" w:rsidP="00207A31">
            <w:pPr>
              <w:spacing w:before="60" w:after="60"/>
              <w:jc w:val="left"/>
              <w:rPr>
                <w:sz w:val="20"/>
                <w:szCs w:val="20"/>
                <w:lang w:val="en-US"/>
              </w:rPr>
            </w:pPr>
            <w:r w:rsidRPr="006771EF">
              <w:rPr>
                <w:sz w:val="20"/>
                <w:szCs w:val="20"/>
                <w:lang w:val="en-US"/>
              </w:rPr>
              <w:t>Weighting in AAE portfolio</w:t>
            </w:r>
          </w:p>
        </w:tc>
        <w:tc>
          <w:tcPr>
            <w:tcW w:w="1250" w:type="dxa"/>
          </w:tcPr>
          <w:p w14:paraId="19ED4AC6" w14:textId="77777777" w:rsidR="00744F4F" w:rsidRPr="006771EF" w:rsidRDefault="00744F4F" w:rsidP="00207A31">
            <w:pPr>
              <w:spacing w:before="60" w:after="60"/>
              <w:jc w:val="center"/>
              <w:rPr>
                <w:sz w:val="20"/>
                <w:szCs w:val="20"/>
                <w:lang w:val="en-US"/>
              </w:rPr>
            </w:pPr>
            <w:r w:rsidRPr="006771EF">
              <w:rPr>
                <w:sz w:val="20"/>
                <w:szCs w:val="20"/>
                <w:lang w:val="en-US"/>
              </w:rPr>
              <w:t>90.8%</w:t>
            </w:r>
          </w:p>
        </w:tc>
        <w:tc>
          <w:tcPr>
            <w:tcW w:w="1000" w:type="dxa"/>
          </w:tcPr>
          <w:p w14:paraId="3F5A490C" w14:textId="77777777" w:rsidR="00744F4F" w:rsidRPr="006771EF" w:rsidRDefault="00744F4F" w:rsidP="00207A31">
            <w:pPr>
              <w:spacing w:before="60" w:after="60"/>
              <w:jc w:val="center"/>
              <w:rPr>
                <w:sz w:val="20"/>
                <w:szCs w:val="20"/>
                <w:lang w:val="en-US"/>
              </w:rPr>
            </w:pPr>
            <w:r w:rsidRPr="006771EF">
              <w:rPr>
                <w:sz w:val="20"/>
                <w:szCs w:val="20"/>
                <w:lang w:val="en-US"/>
              </w:rPr>
              <w:t>6.1%</w:t>
            </w:r>
          </w:p>
        </w:tc>
        <w:tc>
          <w:tcPr>
            <w:tcW w:w="1080" w:type="dxa"/>
          </w:tcPr>
          <w:p w14:paraId="05B13744" w14:textId="77777777" w:rsidR="00744F4F" w:rsidRPr="006771EF" w:rsidRDefault="00744F4F" w:rsidP="00207A31">
            <w:pPr>
              <w:spacing w:before="60" w:after="60"/>
              <w:jc w:val="center"/>
              <w:rPr>
                <w:sz w:val="20"/>
                <w:szCs w:val="20"/>
                <w:lang w:val="en-US"/>
              </w:rPr>
            </w:pPr>
            <w:r w:rsidRPr="006771EF">
              <w:rPr>
                <w:sz w:val="20"/>
                <w:szCs w:val="20"/>
                <w:lang w:val="en-US"/>
              </w:rPr>
              <w:t>3.1%</w:t>
            </w:r>
          </w:p>
        </w:tc>
        <w:tc>
          <w:tcPr>
            <w:tcW w:w="1522" w:type="dxa"/>
          </w:tcPr>
          <w:p w14:paraId="7AA1E060" w14:textId="30AE41B7" w:rsidR="00744F4F" w:rsidRPr="00744F4F" w:rsidRDefault="00DC2C08" w:rsidP="00207A31">
            <w:pPr>
              <w:spacing w:before="60" w:after="60"/>
              <w:jc w:val="center"/>
              <w:rPr>
                <w:sz w:val="20"/>
                <w:szCs w:val="20"/>
                <w:lang w:val="en-US"/>
              </w:rPr>
            </w:pPr>
            <w:r w:rsidRPr="00DC2C08">
              <w:rPr>
                <w:sz w:val="20"/>
                <w:szCs w:val="20"/>
              </w:rPr>
              <w:t>9.2</w:t>
            </w:r>
            <w:r w:rsidR="00744F4F" w:rsidRPr="003A4744">
              <w:rPr>
                <w:sz w:val="20"/>
                <w:szCs w:val="20"/>
              </w:rPr>
              <w:t>%</w:t>
            </w:r>
          </w:p>
        </w:tc>
        <w:tc>
          <w:tcPr>
            <w:tcW w:w="2168" w:type="dxa"/>
          </w:tcPr>
          <w:p w14:paraId="6E6A5C64" w14:textId="20FB090B" w:rsidR="00744F4F" w:rsidRPr="00744F4F" w:rsidRDefault="00744F4F" w:rsidP="00207A31">
            <w:pPr>
              <w:spacing w:before="60" w:after="60"/>
              <w:jc w:val="center"/>
              <w:rPr>
                <w:sz w:val="20"/>
                <w:szCs w:val="20"/>
                <w:lang w:val="en-US"/>
              </w:rPr>
            </w:pPr>
            <w:r w:rsidRPr="003A4744">
              <w:rPr>
                <w:sz w:val="20"/>
                <w:szCs w:val="20"/>
              </w:rPr>
              <w:t>-</w:t>
            </w:r>
          </w:p>
        </w:tc>
      </w:tr>
      <w:tr w:rsidR="00744F4F" w:rsidRPr="006771EF" w14:paraId="4C0AE988" w14:textId="77777777" w:rsidTr="00207A31">
        <w:trPr>
          <w:trHeight w:val="269"/>
        </w:trPr>
        <w:tc>
          <w:tcPr>
            <w:tcW w:w="2515" w:type="dxa"/>
          </w:tcPr>
          <w:p w14:paraId="72A14F16" w14:textId="77777777" w:rsidR="00744F4F" w:rsidRPr="006771EF" w:rsidRDefault="00744F4F" w:rsidP="00207A31">
            <w:pPr>
              <w:spacing w:before="60" w:after="60"/>
              <w:jc w:val="left"/>
              <w:rPr>
                <w:sz w:val="20"/>
                <w:szCs w:val="20"/>
                <w:lang w:val="en-US"/>
              </w:rPr>
            </w:pPr>
            <w:r w:rsidRPr="006771EF">
              <w:rPr>
                <w:sz w:val="20"/>
                <w:szCs w:val="20"/>
                <w:lang w:val="en-US"/>
              </w:rPr>
              <w:t>Carbon intensity</w:t>
            </w:r>
          </w:p>
        </w:tc>
        <w:tc>
          <w:tcPr>
            <w:tcW w:w="1250" w:type="dxa"/>
          </w:tcPr>
          <w:p w14:paraId="3163E93E" w14:textId="77777777" w:rsidR="00744F4F" w:rsidRPr="006771EF" w:rsidRDefault="00744F4F" w:rsidP="00207A31">
            <w:pPr>
              <w:spacing w:before="60" w:after="60"/>
              <w:jc w:val="center"/>
              <w:rPr>
                <w:sz w:val="20"/>
                <w:szCs w:val="20"/>
                <w:lang w:val="en-US"/>
              </w:rPr>
            </w:pPr>
            <w:r w:rsidRPr="006771EF">
              <w:rPr>
                <w:sz w:val="20"/>
                <w:szCs w:val="20"/>
                <w:lang w:val="en-US"/>
              </w:rPr>
              <w:t>314.2</w:t>
            </w:r>
          </w:p>
        </w:tc>
        <w:tc>
          <w:tcPr>
            <w:tcW w:w="1000" w:type="dxa"/>
          </w:tcPr>
          <w:p w14:paraId="60F7C444" w14:textId="77777777" w:rsidR="00744F4F" w:rsidRPr="006771EF" w:rsidRDefault="00744F4F" w:rsidP="00207A31">
            <w:pPr>
              <w:spacing w:before="60" w:after="60"/>
              <w:jc w:val="center"/>
              <w:rPr>
                <w:sz w:val="20"/>
                <w:szCs w:val="20"/>
                <w:lang w:val="en-US"/>
              </w:rPr>
            </w:pPr>
            <w:r w:rsidRPr="006771EF">
              <w:rPr>
                <w:sz w:val="20"/>
                <w:szCs w:val="20"/>
                <w:lang w:val="en-US"/>
              </w:rPr>
              <w:t>50.2</w:t>
            </w:r>
          </w:p>
        </w:tc>
        <w:tc>
          <w:tcPr>
            <w:tcW w:w="1080" w:type="dxa"/>
          </w:tcPr>
          <w:p w14:paraId="1C314F41" w14:textId="77777777" w:rsidR="00744F4F" w:rsidRPr="006771EF" w:rsidRDefault="00744F4F" w:rsidP="00207A31">
            <w:pPr>
              <w:spacing w:before="60" w:after="60"/>
              <w:jc w:val="center"/>
              <w:rPr>
                <w:sz w:val="20"/>
                <w:szCs w:val="20"/>
                <w:lang w:val="en-US"/>
              </w:rPr>
            </w:pPr>
            <w:r w:rsidRPr="006771EF">
              <w:rPr>
                <w:sz w:val="20"/>
                <w:szCs w:val="20"/>
                <w:lang w:val="en-US"/>
              </w:rPr>
              <w:t>573.3</w:t>
            </w:r>
          </w:p>
        </w:tc>
        <w:tc>
          <w:tcPr>
            <w:tcW w:w="1522" w:type="dxa"/>
          </w:tcPr>
          <w:p w14:paraId="2ABA2F54" w14:textId="21880AB7" w:rsidR="00744F4F" w:rsidRPr="00744F4F" w:rsidRDefault="00744F4F" w:rsidP="00207A31">
            <w:pPr>
              <w:spacing w:before="60" w:after="60"/>
              <w:jc w:val="center"/>
              <w:rPr>
                <w:sz w:val="20"/>
                <w:szCs w:val="20"/>
                <w:lang w:val="en-US"/>
              </w:rPr>
            </w:pPr>
            <w:r w:rsidRPr="00744F4F">
              <w:rPr>
                <w:sz w:val="20"/>
                <w:szCs w:val="20"/>
              </w:rPr>
              <w:t>226.</w:t>
            </w:r>
            <w:r w:rsidRPr="003A4744">
              <w:rPr>
                <w:sz w:val="20"/>
                <w:szCs w:val="20"/>
              </w:rPr>
              <w:t>5</w:t>
            </w:r>
          </w:p>
        </w:tc>
        <w:tc>
          <w:tcPr>
            <w:tcW w:w="2168" w:type="dxa"/>
          </w:tcPr>
          <w:p w14:paraId="43B684A1" w14:textId="18C4CC5C" w:rsidR="00744F4F" w:rsidRPr="00744F4F" w:rsidRDefault="00744F4F" w:rsidP="00207A31">
            <w:pPr>
              <w:spacing w:before="60" w:after="60"/>
              <w:jc w:val="center"/>
              <w:rPr>
                <w:sz w:val="20"/>
                <w:szCs w:val="20"/>
                <w:lang w:val="en-US"/>
              </w:rPr>
            </w:pPr>
            <w:r w:rsidRPr="003A4744">
              <w:rPr>
                <w:sz w:val="20"/>
                <w:szCs w:val="20"/>
              </w:rPr>
              <w:t>-</w:t>
            </w:r>
            <w:r w:rsidRPr="00744F4F">
              <w:rPr>
                <w:sz w:val="20"/>
                <w:szCs w:val="20"/>
              </w:rPr>
              <w:t>27.9</w:t>
            </w:r>
            <w:r w:rsidRPr="003A4744">
              <w:rPr>
                <w:sz w:val="20"/>
                <w:szCs w:val="20"/>
              </w:rPr>
              <w:t>%</w:t>
            </w:r>
          </w:p>
        </w:tc>
      </w:tr>
      <w:tr w:rsidR="00744F4F" w:rsidRPr="006771EF" w14:paraId="50766B38" w14:textId="77777777" w:rsidTr="00207A31">
        <w:trPr>
          <w:trHeight w:val="276"/>
        </w:trPr>
        <w:tc>
          <w:tcPr>
            <w:tcW w:w="2515" w:type="dxa"/>
          </w:tcPr>
          <w:p w14:paraId="59ADE677" w14:textId="77777777" w:rsidR="00744F4F" w:rsidRPr="006771EF" w:rsidRDefault="00744F4F" w:rsidP="00207A31">
            <w:pPr>
              <w:spacing w:before="60" w:after="60"/>
              <w:jc w:val="left"/>
              <w:rPr>
                <w:sz w:val="20"/>
                <w:szCs w:val="20"/>
                <w:lang w:val="en-US"/>
              </w:rPr>
            </w:pPr>
            <w:r w:rsidRPr="006771EF">
              <w:rPr>
                <w:sz w:val="20"/>
                <w:szCs w:val="20"/>
                <w:lang w:val="en-US"/>
              </w:rPr>
              <w:t>ESG score</w:t>
            </w:r>
          </w:p>
        </w:tc>
        <w:tc>
          <w:tcPr>
            <w:tcW w:w="1250" w:type="dxa"/>
          </w:tcPr>
          <w:p w14:paraId="7F6F37D2" w14:textId="77777777" w:rsidR="00744F4F" w:rsidRPr="006771EF" w:rsidRDefault="00744F4F" w:rsidP="00207A31">
            <w:pPr>
              <w:spacing w:before="60" w:after="60"/>
              <w:jc w:val="center"/>
              <w:rPr>
                <w:sz w:val="20"/>
                <w:szCs w:val="20"/>
                <w:lang w:val="en-US"/>
              </w:rPr>
            </w:pPr>
            <w:r w:rsidRPr="006771EF">
              <w:rPr>
                <w:sz w:val="20"/>
                <w:szCs w:val="20"/>
                <w:lang w:val="en-US"/>
              </w:rPr>
              <w:t>63.8</w:t>
            </w:r>
          </w:p>
        </w:tc>
        <w:tc>
          <w:tcPr>
            <w:tcW w:w="1000" w:type="dxa"/>
          </w:tcPr>
          <w:p w14:paraId="68BD7643" w14:textId="77777777" w:rsidR="00744F4F" w:rsidRPr="006771EF" w:rsidRDefault="00744F4F" w:rsidP="00207A31">
            <w:pPr>
              <w:spacing w:before="60" w:after="60"/>
              <w:jc w:val="center"/>
              <w:rPr>
                <w:sz w:val="20"/>
                <w:szCs w:val="20"/>
                <w:lang w:val="en-US"/>
              </w:rPr>
            </w:pPr>
            <w:r w:rsidRPr="006771EF">
              <w:rPr>
                <w:sz w:val="20"/>
                <w:szCs w:val="20"/>
                <w:lang w:val="en-US"/>
              </w:rPr>
              <w:t>74.0</w:t>
            </w:r>
          </w:p>
        </w:tc>
        <w:tc>
          <w:tcPr>
            <w:tcW w:w="1080" w:type="dxa"/>
          </w:tcPr>
          <w:p w14:paraId="476ED5A9" w14:textId="77777777" w:rsidR="00744F4F" w:rsidRPr="006771EF" w:rsidRDefault="00744F4F" w:rsidP="00207A31">
            <w:pPr>
              <w:spacing w:before="60" w:after="60"/>
              <w:jc w:val="center"/>
              <w:rPr>
                <w:sz w:val="20"/>
                <w:szCs w:val="20"/>
                <w:lang w:val="en-US"/>
              </w:rPr>
            </w:pPr>
            <w:r w:rsidRPr="006771EF">
              <w:rPr>
                <w:sz w:val="20"/>
                <w:szCs w:val="20"/>
                <w:lang w:val="en-US"/>
              </w:rPr>
              <w:t>68.0</w:t>
            </w:r>
          </w:p>
        </w:tc>
        <w:tc>
          <w:tcPr>
            <w:tcW w:w="1522" w:type="dxa"/>
          </w:tcPr>
          <w:p w14:paraId="02078EC3" w14:textId="3D11774A" w:rsidR="00744F4F" w:rsidRPr="00744F4F" w:rsidRDefault="00744F4F" w:rsidP="00207A31">
            <w:pPr>
              <w:spacing w:before="60" w:after="60"/>
              <w:jc w:val="center"/>
              <w:rPr>
                <w:sz w:val="20"/>
                <w:szCs w:val="20"/>
                <w:lang w:val="en-US"/>
              </w:rPr>
            </w:pPr>
            <w:r w:rsidRPr="00744F4F">
              <w:rPr>
                <w:sz w:val="20"/>
                <w:szCs w:val="20"/>
              </w:rPr>
              <w:t>72</w:t>
            </w:r>
            <w:r w:rsidRPr="003A4744">
              <w:rPr>
                <w:sz w:val="20"/>
                <w:szCs w:val="20"/>
              </w:rPr>
              <w:t>.</w:t>
            </w:r>
            <w:r>
              <w:rPr>
                <w:sz w:val="20"/>
                <w:szCs w:val="20"/>
              </w:rPr>
              <w:t>0</w:t>
            </w:r>
          </w:p>
        </w:tc>
        <w:tc>
          <w:tcPr>
            <w:tcW w:w="2168" w:type="dxa"/>
          </w:tcPr>
          <w:p w14:paraId="76FC848F" w14:textId="7E1A44D7" w:rsidR="00744F4F" w:rsidRPr="00744F4F" w:rsidRDefault="00744F4F" w:rsidP="00207A31">
            <w:pPr>
              <w:spacing w:before="60" w:after="60"/>
              <w:jc w:val="center"/>
              <w:rPr>
                <w:sz w:val="20"/>
                <w:szCs w:val="20"/>
                <w:lang w:val="en-US"/>
              </w:rPr>
            </w:pPr>
            <w:r>
              <w:rPr>
                <w:sz w:val="20"/>
                <w:szCs w:val="20"/>
              </w:rPr>
              <w:t>+</w:t>
            </w:r>
            <w:r w:rsidRPr="003A4744">
              <w:rPr>
                <w:sz w:val="20"/>
                <w:szCs w:val="20"/>
              </w:rPr>
              <w:t>1</w:t>
            </w:r>
            <w:r w:rsidRPr="00744F4F">
              <w:rPr>
                <w:sz w:val="20"/>
                <w:szCs w:val="20"/>
              </w:rPr>
              <w:t>2.8</w:t>
            </w:r>
            <w:r w:rsidRPr="003A4744">
              <w:rPr>
                <w:sz w:val="20"/>
                <w:szCs w:val="20"/>
              </w:rPr>
              <w:t>%</w:t>
            </w:r>
          </w:p>
        </w:tc>
      </w:tr>
    </w:tbl>
    <w:p w14:paraId="0A14CD70" w14:textId="5C8651A3" w:rsidR="00380F71" w:rsidRPr="006771EF" w:rsidRDefault="007D766D" w:rsidP="003A4744">
      <w:pPr>
        <w:spacing w:before="240" w:after="0"/>
        <w:rPr>
          <w:sz w:val="20"/>
          <w:szCs w:val="20"/>
          <w:lang w:val="en-US"/>
        </w:rPr>
      </w:pPr>
      <w:r>
        <w:rPr>
          <w:sz w:val="20"/>
          <w:szCs w:val="20"/>
          <w:lang w:val="en-US"/>
        </w:rPr>
        <w:t>The SMF</w:t>
      </w:r>
      <w:r w:rsidR="00380F71" w:rsidRPr="006771EF">
        <w:rPr>
          <w:sz w:val="20"/>
          <w:szCs w:val="20"/>
          <w:lang w:val="en-US"/>
        </w:rPr>
        <w:t xml:space="preserve"> portfolio is currently </w:t>
      </w:r>
      <w:r w:rsidR="00DC2C08">
        <w:rPr>
          <w:sz w:val="20"/>
          <w:szCs w:val="20"/>
          <w:lang w:val="en-US"/>
        </w:rPr>
        <w:t xml:space="preserve">in compliance with the SRI policy with respect to its active stock positions, with some margin </w:t>
      </w:r>
      <w:r w:rsidR="00D24EF8">
        <w:rPr>
          <w:sz w:val="20"/>
          <w:szCs w:val="20"/>
          <w:lang w:val="en-US"/>
        </w:rPr>
        <w:t>to spare. T</w:t>
      </w:r>
      <w:r w:rsidR="00DC2C08">
        <w:rPr>
          <w:sz w:val="20"/>
          <w:szCs w:val="20"/>
          <w:lang w:val="en-US"/>
        </w:rPr>
        <w:t xml:space="preserve">he entire </w:t>
      </w:r>
      <w:r w:rsidR="009D2BB3">
        <w:rPr>
          <w:sz w:val="20"/>
          <w:szCs w:val="20"/>
          <w:lang w:val="en-US"/>
        </w:rPr>
        <w:t>AAE</w:t>
      </w:r>
      <w:r w:rsidR="00DC2C08">
        <w:rPr>
          <w:sz w:val="20"/>
          <w:szCs w:val="20"/>
          <w:lang w:val="en-US"/>
        </w:rPr>
        <w:t xml:space="preserve"> portfolio will progress towards full compliance with the SRI </w:t>
      </w:r>
      <w:r>
        <w:rPr>
          <w:sz w:val="20"/>
          <w:szCs w:val="20"/>
          <w:lang w:val="en-US"/>
        </w:rPr>
        <w:t>p</w:t>
      </w:r>
      <w:r w:rsidR="00DC2C08">
        <w:rPr>
          <w:sz w:val="20"/>
          <w:szCs w:val="20"/>
          <w:lang w:val="en-US"/>
        </w:rPr>
        <w:t xml:space="preserve">olicy as </w:t>
      </w:r>
      <w:r>
        <w:rPr>
          <w:sz w:val="20"/>
          <w:szCs w:val="20"/>
          <w:lang w:val="en-US"/>
        </w:rPr>
        <w:t xml:space="preserve">more active stock positions are added, and </w:t>
      </w:r>
      <w:r w:rsidR="00207A31">
        <w:rPr>
          <w:sz w:val="20"/>
          <w:szCs w:val="20"/>
          <w:lang w:val="en-US"/>
        </w:rPr>
        <w:t>the weighting in</w:t>
      </w:r>
      <w:r w:rsidR="00380F71" w:rsidRPr="006771EF">
        <w:rPr>
          <w:sz w:val="20"/>
          <w:szCs w:val="20"/>
          <w:lang w:val="en-US"/>
        </w:rPr>
        <w:t xml:space="preserve"> the </w:t>
      </w:r>
      <w:r>
        <w:rPr>
          <w:sz w:val="20"/>
          <w:szCs w:val="20"/>
          <w:lang w:val="en-US"/>
        </w:rPr>
        <w:t xml:space="preserve">S&amp;P/ASX200 ETF </w:t>
      </w:r>
      <w:r w:rsidR="00380F71" w:rsidRPr="006771EF">
        <w:rPr>
          <w:sz w:val="20"/>
          <w:szCs w:val="20"/>
          <w:lang w:val="en-US"/>
        </w:rPr>
        <w:t>is reduced.</w:t>
      </w:r>
    </w:p>
    <w:p w14:paraId="714C1008" w14:textId="77777777" w:rsidR="007D766D" w:rsidRDefault="007D766D">
      <w:pPr>
        <w:widowControl/>
        <w:spacing w:line="312" w:lineRule="auto"/>
        <w:jc w:val="left"/>
        <w:rPr>
          <w:rFonts w:eastAsiaTheme="minorEastAsia"/>
          <w:b/>
          <w:color w:val="4472C4" w:themeColor="accent1"/>
          <w:spacing w:val="15"/>
          <w:lang w:val="en-US"/>
        </w:rPr>
      </w:pPr>
      <w:r>
        <w:rPr>
          <w:lang w:val="en-US"/>
        </w:rPr>
        <w:br w:type="page"/>
      </w:r>
    </w:p>
    <w:p w14:paraId="5EF06B36" w14:textId="10453555" w:rsidR="00D22FCC" w:rsidRPr="00D22FCC" w:rsidRDefault="00D22FCC" w:rsidP="003D43F9">
      <w:pPr>
        <w:pStyle w:val="Heading1"/>
        <w:spacing w:after="360"/>
        <w:jc w:val="center"/>
        <w:rPr>
          <w:sz w:val="24"/>
          <w:szCs w:val="24"/>
          <w:lang w:eastAsia="zh-CN"/>
        </w:rPr>
      </w:pPr>
      <w:bookmarkStart w:id="22" w:name="_Toc517159297"/>
      <w:r>
        <w:rPr>
          <w:sz w:val="24"/>
          <w:szCs w:val="24"/>
          <w:lang w:eastAsia="zh-CN"/>
        </w:rPr>
        <w:lastRenderedPageBreak/>
        <w:t>APPENDIX</w:t>
      </w:r>
      <w:bookmarkEnd w:id="22"/>
    </w:p>
    <w:p w14:paraId="3619E1F0" w14:textId="5C822941" w:rsidR="006771EF" w:rsidRPr="00136215" w:rsidRDefault="006E40EA" w:rsidP="00813981">
      <w:pPr>
        <w:pStyle w:val="Heading2"/>
      </w:pPr>
      <w:bookmarkStart w:id="23" w:name="_Toc517159298"/>
      <w:r>
        <w:t xml:space="preserve">SMF </w:t>
      </w:r>
      <w:r w:rsidR="006771EF" w:rsidRPr="00136215">
        <w:t>Activit</w:t>
      </w:r>
      <w:r>
        <w:t xml:space="preserve">ies </w:t>
      </w:r>
      <w:r w:rsidR="003A4744">
        <w:t>during</w:t>
      </w:r>
      <w:r>
        <w:t xml:space="preserve"> Semester 1, 2018</w:t>
      </w:r>
      <w:bookmarkEnd w:id="23"/>
    </w:p>
    <w:p w14:paraId="19FD7860" w14:textId="77777777" w:rsidR="006771EF" w:rsidRPr="006771EF" w:rsidRDefault="006771EF" w:rsidP="003A4744">
      <w:pPr>
        <w:pStyle w:val="ListParagraph"/>
        <w:widowControl/>
        <w:numPr>
          <w:ilvl w:val="0"/>
          <w:numId w:val="33"/>
        </w:numPr>
        <w:spacing w:after="60"/>
        <w:ind w:left="274" w:hanging="274"/>
        <w:contextualSpacing w:val="0"/>
        <w:jc w:val="left"/>
        <w:rPr>
          <w:i/>
          <w:sz w:val="20"/>
          <w:szCs w:val="20"/>
        </w:rPr>
      </w:pPr>
      <w:r w:rsidRPr="006771EF">
        <w:rPr>
          <w:i/>
          <w:sz w:val="20"/>
          <w:szCs w:val="20"/>
        </w:rPr>
        <w:t>SMF student team make-up</w:t>
      </w:r>
    </w:p>
    <w:p w14:paraId="2BFFB997" w14:textId="26FAD168" w:rsidR="006771EF" w:rsidRPr="006771EF" w:rsidRDefault="00F54FE3" w:rsidP="00F54FE3">
      <w:pPr>
        <w:pStyle w:val="ListParagraph"/>
        <w:widowControl/>
        <w:numPr>
          <w:ilvl w:val="1"/>
          <w:numId w:val="33"/>
        </w:numPr>
        <w:spacing w:before="0" w:after="0"/>
        <w:ind w:left="450" w:hanging="180"/>
        <w:contextualSpacing w:val="0"/>
        <w:jc w:val="left"/>
        <w:rPr>
          <w:sz w:val="20"/>
          <w:szCs w:val="20"/>
        </w:rPr>
      </w:pPr>
      <w:r>
        <w:rPr>
          <w:sz w:val="20"/>
          <w:szCs w:val="20"/>
        </w:rPr>
        <w:t>The SMF had</w:t>
      </w:r>
      <w:r w:rsidR="003810FD">
        <w:rPr>
          <w:sz w:val="20"/>
          <w:szCs w:val="20"/>
        </w:rPr>
        <w:t xml:space="preserve"> </w:t>
      </w:r>
      <w:r w:rsidR="006771EF" w:rsidRPr="006771EF">
        <w:rPr>
          <w:sz w:val="20"/>
          <w:szCs w:val="20"/>
        </w:rPr>
        <w:t>12 members during the semester, which include</w:t>
      </w:r>
      <w:r w:rsidR="003810FD">
        <w:rPr>
          <w:sz w:val="20"/>
          <w:szCs w:val="20"/>
        </w:rPr>
        <w:t>s</w:t>
      </w:r>
      <w:r w:rsidR="006771EF" w:rsidRPr="006771EF">
        <w:rPr>
          <w:sz w:val="20"/>
          <w:szCs w:val="20"/>
        </w:rPr>
        <w:t xml:space="preserve"> 4 seniors carrying over and 8 new juniors.</w:t>
      </w:r>
    </w:p>
    <w:p w14:paraId="0C7FB0F9" w14:textId="7D4BCCB1" w:rsidR="006771EF" w:rsidRPr="006771EF" w:rsidRDefault="003810FD" w:rsidP="00F54FE3">
      <w:pPr>
        <w:pStyle w:val="ListParagraph"/>
        <w:widowControl/>
        <w:numPr>
          <w:ilvl w:val="1"/>
          <w:numId w:val="33"/>
        </w:numPr>
        <w:spacing w:before="0" w:after="0"/>
        <w:ind w:left="450" w:hanging="180"/>
        <w:contextualSpacing w:val="0"/>
        <w:jc w:val="left"/>
        <w:rPr>
          <w:sz w:val="20"/>
          <w:szCs w:val="20"/>
        </w:rPr>
      </w:pPr>
      <w:r>
        <w:rPr>
          <w:sz w:val="20"/>
          <w:szCs w:val="20"/>
        </w:rPr>
        <w:t xml:space="preserve">The SMF is expected to have </w:t>
      </w:r>
      <w:r w:rsidR="00F54FE3">
        <w:rPr>
          <w:sz w:val="20"/>
          <w:szCs w:val="20"/>
        </w:rPr>
        <w:t>18 members next semester, including</w:t>
      </w:r>
      <w:r w:rsidR="006771EF" w:rsidRPr="006771EF">
        <w:rPr>
          <w:sz w:val="20"/>
          <w:szCs w:val="20"/>
        </w:rPr>
        <w:t xml:space="preserve"> 8 seniors carrying over and 10 new juniors.</w:t>
      </w:r>
    </w:p>
    <w:p w14:paraId="19B4EF24" w14:textId="35DD173A" w:rsidR="006771EF" w:rsidRPr="006771EF" w:rsidRDefault="006771EF" w:rsidP="00F54FE3">
      <w:pPr>
        <w:pStyle w:val="ListParagraph"/>
        <w:widowControl/>
        <w:numPr>
          <w:ilvl w:val="1"/>
          <w:numId w:val="33"/>
        </w:numPr>
        <w:spacing w:before="0"/>
        <w:ind w:left="450" w:hanging="187"/>
        <w:contextualSpacing w:val="0"/>
        <w:jc w:val="left"/>
        <w:rPr>
          <w:sz w:val="20"/>
          <w:szCs w:val="20"/>
        </w:rPr>
      </w:pPr>
      <w:r w:rsidRPr="006771EF">
        <w:rPr>
          <w:sz w:val="20"/>
          <w:szCs w:val="20"/>
        </w:rPr>
        <w:t>Team compositions in 2018:</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715"/>
        <w:gridCol w:w="1620"/>
      </w:tblGrid>
      <w:tr w:rsidR="006771EF" w:rsidRPr="006771EF" w14:paraId="205EC635" w14:textId="77777777" w:rsidTr="003439A1">
        <w:tc>
          <w:tcPr>
            <w:tcW w:w="2605" w:type="dxa"/>
          </w:tcPr>
          <w:p w14:paraId="4D46F1C6" w14:textId="77777777" w:rsidR="006771EF" w:rsidRPr="006771EF" w:rsidRDefault="006771EF" w:rsidP="006771EF">
            <w:pPr>
              <w:rPr>
                <w:i/>
                <w:sz w:val="20"/>
                <w:szCs w:val="20"/>
              </w:rPr>
            </w:pPr>
            <w:r w:rsidRPr="006771EF">
              <w:rPr>
                <w:i/>
                <w:sz w:val="20"/>
                <w:szCs w:val="20"/>
              </w:rPr>
              <w:t>Team / Position</w:t>
            </w:r>
          </w:p>
        </w:tc>
        <w:tc>
          <w:tcPr>
            <w:tcW w:w="1715" w:type="dxa"/>
          </w:tcPr>
          <w:p w14:paraId="35B60D86" w14:textId="77777777" w:rsidR="006771EF" w:rsidRPr="006771EF" w:rsidRDefault="006771EF" w:rsidP="006771EF">
            <w:pPr>
              <w:jc w:val="center"/>
              <w:rPr>
                <w:i/>
                <w:sz w:val="20"/>
                <w:szCs w:val="20"/>
              </w:rPr>
            </w:pPr>
            <w:r w:rsidRPr="006771EF">
              <w:rPr>
                <w:i/>
                <w:sz w:val="20"/>
                <w:szCs w:val="20"/>
              </w:rPr>
              <w:t>Semester 1, 2018</w:t>
            </w:r>
          </w:p>
        </w:tc>
        <w:tc>
          <w:tcPr>
            <w:tcW w:w="1620" w:type="dxa"/>
          </w:tcPr>
          <w:p w14:paraId="2431AA4B" w14:textId="77777777" w:rsidR="006771EF" w:rsidRPr="006771EF" w:rsidRDefault="006771EF" w:rsidP="006771EF">
            <w:pPr>
              <w:jc w:val="center"/>
              <w:rPr>
                <w:i/>
                <w:sz w:val="20"/>
                <w:szCs w:val="20"/>
              </w:rPr>
            </w:pPr>
            <w:r w:rsidRPr="006771EF">
              <w:rPr>
                <w:i/>
                <w:sz w:val="20"/>
                <w:szCs w:val="20"/>
              </w:rPr>
              <w:t>Semester 2, 2018</w:t>
            </w:r>
          </w:p>
        </w:tc>
      </w:tr>
      <w:tr w:rsidR="006771EF" w:rsidRPr="006771EF" w14:paraId="6E8A428A" w14:textId="77777777" w:rsidTr="003439A1">
        <w:tc>
          <w:tcPr>
            <w:tcW w:w="2605" w:type="dxa"/>
          </w:tcPr>
          <w:p w14:paraId="6EE69340" w14:textId="77777777" w:rsidR="006771EF" w:rsidRPr="006771EF" w:rsidRDefault="006771EF" w:rsidP="006771EF">
            <w:pPr>
              <w:ind w:left="-22"/>
              <w:rPr>
                <w:sz w:val="20"/>
                <w:szCs w:val="20"/>
              </w:rPr>
            </w:pPr>
            <w:r w:rsidRPr="006771EF">
              <w:rPr>
                <w:sz w:val="20"/>
                <w:szCs w:val="20"/>
              </w:rPr>
              <w:t>Chief Investment Officer</w:t>
            </w:r>
          </w:p>
        </w:tc>
        <w:tc>
          <w:tcPr>
            <w:tcW w:w="1715" w:type="dxa"/>
          </w:tcPr>
          <w:p w14:paraId="1EAC00B4" w14:textId="77777777" w:rsidR="006771EF" w:rsidRPr="006771EF" w:rsidRDefault="006771EF" w:rsidP="006771EF">
            <w:pPr>
              <w:jc w:val="center"/>
              <w:rPr>
                <w:sz w:val="20"/>
                <w:szCs w:val="20"/>
              </w:rPr>
            </w:pPr>
            <w:r w:rsidRPr="006771EF">
              <w:rPr>
                <w:sz w:val="20"/>
                <w:szCs w:val="20"/>
              </w:rPr>
              <w:t>1</w:t>
            </w:r>
          </w:p>
        </w:tc>
        <w:tc>
          <w:tcPr>
            <w:tcW w:w="1620" w:type="dxa"/>
          </w:tcPr>
          <w:p w14:paraId="47A3B602" w14:textId="77777777" w:rsidR="006771EF" w:rsidRPr="006771EF" w:rsidRDefault="006771EF" w:rsidP="006771EF">
            <w:pPr>
              <w:jc w:val="center"/>
              <w:rPr>
                <w:sz w:val="20"/>
                <w:szCs w:val="20"/>
              </w:rPr>
            </w:pPr>
            <w:r w:rsidRPr="006771EF">
              <w:rPr>
                <w:sz w:val="20"/>
                <w:szCs w:val="20"/>
              </w:rPr>
              <w:t>1</w:t>
            </w:r>
          </w:p>
        </w:tc>
      </w:tr>
      <w:tr w:rsidR="006771EF" w:rsidRPr="006771EF" w14:paraId="2EBC5302" w14:textId="77777777" w:rsidTr="003439A1">
        <w:tc>
          <w:tcPr>
            <w:tcW w:w="2605" w:type="dxa"/>
          </w:tcPr>
          <w:p w14:paraId="4927A3D7" w14:textId="77777777" w:rsidR="006771EF" w:rsidRPr="006771EF" w:rsidRDefault="006771EF" w:rsidP="006771EF">
            <w:pPr>
              <w:rPr>
                <w:sz w:val="20"/>
                <w:szCs w:val="20"/>
              </w:rPr>
            </w:pPr>
            <w:r w:rsidRPr="006771EF">
              <w:rPr>
                <w:sz w:val="20"/>
                <w:szCs w:val="20"/>
              </w:rPr>
              <w:t>Asset Allocation</w:t>
            </w:r>
          </w:p>
        </w:tc>
        <w:tc>
          <w:tcPr>
            <w:tcW w:w="1715" w:type="dxa"/>
          </w:tcPr>
          <w:p w14:paraId="10C544C0" w14:textId="77777777" w:rsidR="006771EF" w:rsidRPr="006771EF" w:rsidRDefault="006771EF" w:rsidP="006771EF">
            <w:pPr>
              <w:jc w:val="center"/>
              <w:rPr>
                <w:sz w:val="20"/>
                <w:szCs w:val="20"/>
              </w:rPr>
            </w:pPr>
            <w:r w:rsidRPr="006771EF">
              <w:rPr>
                <w:sz w:val="20"/>
                <w:szCs w:val="20"/>
              </w:rPr>
              <w:t>3</w:t>
            </w:r>
          </w:p>
        </w:tc>
        <w:tc>
          <w:tcPr>
            <w:tcW w:w="1620" w:type="dxa"/>
          </w:tcPr>
          <w:p w14:paraId="7AEB44D3" w14:textId="77777777" w:rsidR="006771EF" w:rsidRPr="006771EF" w:rsidRDefault="006771EF" w:rsidP="006771EF">
            <w:pPr>
              <w:jc w:val="center"/>
              <w:rPr>
                <w:sz w:val="20"/>
                <w:szCs w:val="20"/>
              </w:rPr>
            </w:pPr>
            <w:r w:rsidRPr="006771EF">
              <w:rPr>
                <w:sz w:val="20"/>
                <w:szCs w:val="20"/>
              </w:rPr>
              <w:t>4</w:t>
            </w:r>
          </w:p>
        </w:tc>
      </w:tr>
      <w:tr w:rsidR="006771EF" w:rsidRPr="006771EF" w14:paraId="6ED80F6E" w14:textId="77777777" w:rsidTr="003439A1">
        <w:tc>
          <w:tcPr>
            <w:tcW w:w="2605" w:type="dxa"/>
          </w:tcPr>
          <w:p w14:paraId="09C92D0D" w14:textId="77777777" w:rsidR="006771EF" w:rsidRPr="006771EF" w:rsidRDefault="006771EF" w:rsidP="006771EF">
            <w:pPr>
              <w:rPr>
                <w:sz w:val="20"/>
                <w:szCs w:val="20"/>
              </w:rPr>
            </w:pPr>
            <w:r w:rsidRPr="006771EF">
              <w:rPr>
                <w:sz w:val="20"/>
                <w:szCs w:val="20"/>
              </w:rPr>
              <w:t>Active Australian Equities</w:t>
            </w:r>
          </w:p>
        </w:tc>
        <w:tc>
          <w:tcPr>
            <w:tcW w:w="1715" w:type="dxa"/>
          </w:tcPr>
          <w:p w14:paraId="05D1FD7B" w14:textId="77777777" w:rsidR="006771EF" w:rsidRPr="006771EF" w:rsidRDefault="006771EF" w:rsidP="006771EF">
            <w:pPr>
              <w:jc w:val="center"/>
              <w:rPr>
                <w:sz w:val="20"/>
                <w:szCs w:val="20"/>
              </w:rPr>
            </w:pPr>
            <w:r w:rsidRPr="006771EF">
              <w:rPr>
                <w:sz w:val="20"/>
                <w:szCs w:val="20"/>
              </w:rPr>
              <w:t>4</w:t>
            </w:r>
          </w:p>
        </w:tc>
        <w:tc>
          <w:tcPr>
            <w:tcW w:w="1620" w:type="dxa"/>
          </w:tcPr>
          <w:p w14:paraId="63F5FC2C" w14:textId="77777777" w:rsidR="006771EF" w:rsidRPr="006771EF" w:rsidRDefault="006771EF" w:rsidP="006771EF">
            <w:pPr>
              <w:jc w:val="center"/>
              <w:rPr>
                <w:sz w:val="20"/>
                <w:szCs w:val="20"/>
              </w:rPr>
            </w:pPr>
            <w:r w:rsidRPr="006771EF">
              <w:rPr>
                <w:sz w:val="20"/>
                <w:szCs w:val="20"/>
              </w:rPr>
              <w:t>8</w:t>
            </w:r>
          </w:p>
        </w:tc>
      </w:tr>
      <w:tr w:rsidR="006771EF" w:rsidRPr="006771EF" w14:paraId="75996A6F" w14:textId="77777777" w:rsidTr="003439A1">
        <w:tc>
          <w:tcPr>
            <w:tcW w:w="2605" w:type="dxa"/>
          </w:tcPr>
          <w:p w14:paraId="71D4DAEE" w14:textId="77777777" w:rsidR="006771EF" w:rsidRPr="006771EF" w:rsidRDefault="006771EF" w:rsidP="006771EF">
            <w:pPr>
              <w:rPr>
                <w:sz w:val="20"/>
                <w:szCs w:val="20"/>
              </w:rPr>
            </w:pPr>
            <w:r w:rsidRPr="006771EF">
              <w:rPr>
                <w:sz w:val="20"/>
                <w:szCs w:val="20"/>
              </w:rPr>
              <w:t>Risk and Compliance</w:t>
            </w:r>
          </w:p>
        </w:tc>
        <w:tc>
          <w:tcPr>
            <w:tcW w:w="1715" w:type="dxa"/>
          </w:tcPr>
          <w:p w14:paraId="0DDFD2ED" w14:textId="77777777" w:rsidR="006771EF" w:rsidRPr="006771EF" w:rsidRDefault="006771EF" w:rsidP="006771EF">
            <w:pPr>
              <w:jc w:val="center"/>
              <w:rPr>
                <w:sz w:val="20"/>
                <w:szCs w:val="20"/>
              </w:rPr>
            </w:pPr>
            <w:r w:rsidRPr="006771EF">
              <w:rPr>
                <w:sz w:val="20"/>
                <w:szCs w:val="20"/>
              </w:rPr>
              <w:t>3</w:t>
            </w:r>
          </w:p>
        </w:tc>
        <w:tc>
          <w:tcPr>
            <w:tcW w:w="1620" w:type="dxa"/>
          </w:tcPr>
          <w:p w14:paraId="5EAB8851" w14:textId="77777777" w:rsidR="006771EF" w:rsidRPr="006771EF" w:rsidRDefault="006771EF" w:rsidP="006771EF">
            <w:pPr>
              <w:jc w:val="center"/>
              <w:rPr>
                <w:sz w:val="20"/>
                <w:szCs w:val="20"/>
              </w:rPr>
            </w:pPr>
            <w:r w:rsidRPr="006771EF">
              <w:rPr>
                <w:sz w:val="20"/>
                <w:szCs w:val="20"/>
              </w:rPr>
              <w:t>3.5</w:t>
            </w:r>
          </w:p>
        </w:tc>
      </w:tr>
      <w:tr w:rsidR="006771EF" w:rsidRPr="006771EF" w14:paraId="3C6ECD91" w14:textId="77777777" w:rsidTr="003439A1">
        <w:tc>
          <w:tcPr>
            <w:tcW w:w="2605" w:type="dxa"/>
          </w:tcPr>
          <w:p w14:paraId="19950A74" w14:textId="77777777" w:rsidR="006771EF" w:rsidRPr="006771EF" w:rsidRDefault="006771EF" w:rsidP="006771EF">
            <w:pPr>
              <w:rPr>
                <w:sz w:val="20"/>
                <w:szCs w:val="20"/>
              </w:rPr>
            </w:pPr>
            <w:r w:rsidRPr="006771EF">
              <w:rPr>
                <w:sz w:val="20"/>
                <w:szCs w:val="20"/>
              </w:rPr>
              <w:t>Relationship</w:t>
            </w:r>
          </w:p>
        </w:tc>
        <w:tc>
          <w:tcPr>
            <w:tcW w:w="1715" w:type="dxa"/>
          </w:tcPr>
          <w:p w14:paraId="05BECDCD" w14:textId="77777777" w:rsidR="006771EF" w:rsidRPr="006771EF" w:rsidRDefault="006771EF" w:rsidP="006771EF">
            <w:pPr>
              <w:jc w:val="center"/>
              <w:rPr>
                <w:sz w:val="20"/>
                <w:szCs w:val="20"/>
              </w:rPr>
            </w:pPr>
            <w:r w:rsidRPr="006771EF">
              <w:rPr>
                <w:sz w:val="20"/>
                <w:szCs w:val="20"/>
              </w:rPr>
              <w:t>1</w:t>
            </w:r>
          </w:p>
        </w:tc>
        <w:tc>
          <w:tcPr>
            <w:tcW w:w="1620" w:type="dxa"/>
          </w:tcPr>
          <w:p w14:paraId="03E9D3CB" w14:textId="77777777" w:rsidR="006771EF" w:rsidRPr="006771EF" w:rsidRDefault="006771EF" w:rsidP="006771EF">
            <w:pPr>
              <w:jc w:val="center"/>
              <w:rPr>
                <w:sz w:val="20"/>
                <w:szCs w:val="20"/>
              </w:rPr>
            </w:pPr>
            <w:r w:rsidRPr="006771EF">
              <w:rPr>
                <w:sz w:val="20"/>
                <w:szCs w:val="20"/>
              </w:rPr>
              <w:t>1.5</w:t>
            </w:r>
          </w:p>
        </w:tc>
      </w:tr>
      <w:tr w:rsidR="006771EF" w:rsidRPr="006771EF" w14:paraId="4DB79B66" w14:textId="77777777" w:rsidTr="003439A1">
        <w:tc>
          <w:tcPr>
            <w:tcW w:w="2605" w:type="dxa"/>
          </w:tcPr>
          <w:p w14:paraId="01D0FDB6" w14:textId="77777777" w:rsidR="006771EF" w:rsidRPr="006771EF" w:rsidRDefault="006771EF" w:rsidP="006771EF">
            <w:pPr>
              <w:rPr>
                <w:i/>
                <w:sz w:val="20"/>
                <w:szCs w:val="20"/>
              </w:rPr>
            </w:pPr>
            <w:r w:rsidRPr="006771EF">
              <w:rPr>
                <w:i/>
                <w:sz w:val="20"/>
                <w:szCs w:val="20"/>
              </w:rPr>
              <w:t>Total</w:t>
            </w:r>
          </w:p>
        </w:tc>
        <w:tc>
          <w:tcPr>
            <w:tcW w:w="1715" w:type="dxa"/>
          </w:tcPr>
          <w:p w14:paraId="49A1CDEA" w14:textId="77777777" w:rsidR="006771EF" w:rsidRPr="006771EF" w:rsidRDefault="006771EF" w:rsidP="006771EF">
            <w:pPr>
              <w:jc w:val="center"/>
              <w:rPr>
                <w:i/>
                <w:sz w:val="20"/>
                <w:szCs w:val="20"/>
              </w:rPr>
            </w:pPr>
            <w:r w:rsidRPr="006771EF">
              <w:rPr>
                <w:i/>
                <w:sz w:val="20"/>
                <w:szCs w:val="20"/>
              </w:rPr>
              <w:t>12</w:t>
            </w:r>
          </w:p>
        </w:tc>
        <w:tc>
          <w:tcPr>
            <w:tcW w:w="1620" w:type="dxa"/>
          </w:tcPr>
          <w:p w14:paraId="5F655696" w14:textId="77777777" w:rsidR="006771EF" w:rsidRPr="006771EF" w:rsidRDefault="006771EF" w:rsidP="006771EF">
            <w:pPr>
              <w:jc w:val="center"/>
              <w:rPr>
                <w:i/>
                <w:sz w:val="20"/>
                <w:szCs w:val="20"/>
              </w:rPr>
            </w:pPr>
            <w:r w:rsidRPr="006771EF">
              <w:rPr>
                <w:i/>
                <w:sz w:val="20"/>
                <w:szCs w:val="20"/>
              </w:rPr>
              <w:t>18</w:t>
            </w:r>
          </w:p>
        </w:tc>
      </w:tr>
    </w:tbl>
    <w:p w14:paraId="17D168E8" w14:textId="63E8D79E" w:rsidR="006771EF" w:rsidRPr="006771EF" w:rsidRDefault="006771EF" w:rsidP="003A4744">
      <w:pPr>
        <w:pStyle w:val="ListParagraph"/>
        <w:widowControl/>
        <w:numPr>
          <w:ilvl w:val="0"/>
          <w:numId w:val="33"/>
        </w:numPr>
        <w:spacing w:after="60"/>
        <w:ind w:left="274" w:hanging="274"/>
        <w:contextualSpacing w:val="0"/>
        <w:jc w:val="left"/>
        <w:rPr>
          <w:sz w:val="20"/>
          <w:szCs w:val="20"/>
        </w:rPr>
      </w:pPr>
      <w:r w:rsidRPr="006771EF">
        <w:rPr>
          <w:i/>
          <w:sz w:val="20"/>
          <w:szCs w:val="20"/>
        </w:rPr>
        <w:t>Establishment of administration platform and investments</w:t>
      </w:r>
      <w:r w:rsidRPr="006771EF">
        <w:rPr>
          <w:sz w:val="20"/>
          <w:szCs w:val="20"/>
        </w:rPr>
        <w:t xml:space="preserve"> – An account was established with the BT Panorama Investment Platform on 3</w:t>
      </w:r>
      <w:r w:rsidRPr="006771EF">
        <w:rPr>
          <w:sz w:val="20"/>
          <w:szCs w:val="20"/>
          <w:vertAlign w:val="superscript"/>
        </w:rPr>
        <w:t>rd</w:t>
      </w:r>
      <w:r w:rsidRPr="006771EF">
        <w:rPr>
          <w:sz w:val="20"/>
          <w:szCs w:val="20"/>
        </w:rPr>
        <w:t xml:space="preserve"> April, 2018. The funds were previously invested in a cash account in ANU. A transfer fr</w:t>
      </w:r>
      <w:r w:rsidR="00F54FE3">
        <w:rPr>
          <w:sz w:val="20"/>
          <w:szCs w:val="20"/>
        </w:rPr>
        <w:t>om the BT cash management trust</w:t>
      </w:r>
      <w:r w:rsidRPr="006771EF">
        <w:rPr>
          <w:sz w:val="20"/>
          <w:szCs w:val="20"/>
        </w:rPr>
        <w:t xml:space="preserve"> into the reference portfolio was</w:t>
      </w:r>
      <w:r w:rsidR="007D766D">
        <w:rPr>
          <w:sz w:val="20"/>
          <w:szCs w:val="20"/>
        </w:rPr>
        <w:t xml:space="preserve"> finalised </w:t>
      </w:r>
      <w:r w:rsidRPr="006771EF">
        <w:rPr>
          <w:sz w:val="20"/>
          <w:szCs w:val="20"/>
        </w:rPr>
        <w:t>on 1</w:t>
      </w:r>
      <w:r w:rsidR="007D766D">
        <w:rPr>
          <w:sz w:val="20"/>
          <w:szCs w:val="20"/>
        </w:rPr>
        <w:t>6</w:t>
      </w:r>
      <w:r w:rsidRPr="006771EF">
        <w:rPr>
          <w:sz w:val="20"/>
          <w:szCs w:val="20"/>
          <w:vertAlign w:val="superscript"/>
        </w:rPr>
        <w:t>th</w:t>
      </w:r>
      <w:r w:rsidRPr="006771EF">
        <w:rPr>
          <w:sz w:val="20"/>
          <w:szCs w:val="20"/>
        </w:rPr>
        <w:t xml:space="preserve"> April, 2018. </w:t>
      </w:r>
    </w:p>
    <w:p w14:paraId="57B23F62" w14:textId="77777777" w:rsidR="006771EF" w:rsidRPr="006771EF" w:rsidRDefault="006771EF" w:rsidP="003A4744">
      <w:pPr>
        <w:pStyle w:val="ListParagraph"/>
        <w:widowControl/>
        <w:numPr>
          <w:ilvl w:val="0"/>
          <w:numId w:val="33"/>
        </w:numPr>
        <w:spacing w:after="60"/>
        <w:ind w:left="274" w:hanging="274"/>
        <w:contextualSpacing w:val="0"/>
        <w:jc w:val="left"/>
        <w:rPr>
          <w:sz w:val="20"/>
          <w:szCs w:val="20"/>
        </w:rPr>
      </w:pPr>
      <w:r w:rsidRPr="006771EF">
        <w:rPr>
          <w:i/>
          <w:sz w:val="20"/>
          <w:szCs w:val="20"/>
        </w:rPr>
        <w:t xml:space="preserve">SMF meetings </w:t>
      </w:r>
    </w:p>
    <w:p w14:paraId="6C3667CB" w14:textId="77777777" w:rsidR="006771EF" w:rsidRPr="006771EF" w:rsidRDefault="006771EF" w:rsidP="006771EF">
      <w:pPr>
        <w:pStyle w:val="ListParagraph"/>
        <w:widowControl/>
        <w:numPr>
          <w:ilvl w:val="3"/>
          <w:numId w:val="33"/>
        </w:numPr>
        <w:tabs>
          <w:tab w:val="left" w:pos="630"/>
        </w:tabs>
        <w:spacing w:before="0" w:after="0"/>
        <w:ind w:left="540" w:hanging="180"/>
        <w:jc w:val="left"/>
        <w:rPr>
          <w:sz w:val="20"/>
          <w:szCs w:val="20"/>
        </w:rPr>
      </w:pPr>
      <w:r w:rsidRPr="006771EF">
        <w:rPr>
          <w:sz w:val="20"/>
          <w:szCs w:val="20"/>
        </w:rPr>
        <w:t>11 regular team meetings were held during the semester on Mondays, 9 am-12 noon, ARNDT TR1.</w:t>
      </w:r>
    </w:p>
    <w:p w14:paraId="7E38C4BD" w14:textId="55D07B1F" w:rsidR="006771EF" w:rsidRPr="006771EF" w:rsidRDefault="006771EF" w:rsidP="006771EF">
      <w:pPr>
        <w:pStyle w:val="ListParagraph"/>
        <w:widowControl/>
        <w:numPr>
          <w:ilvl w:val="3"/>
          <w:numId w:val="33"/>
        </w:numPr>
        <w:tabs>
          <w:tab w:val="left" w:pos="630"/>
        </w:tabs>
        <w:spacing w:before="0" w:after="0"/>
        <w:ind w:left="540" w:hanging="180"/>
        <w:jc w:val="left"/>
        <w:rPr>
          <w:sz w:val="20"/>
          <w:szCs w:val="20"/>
        </w:rPr>
      </w:pPr>
      <w:r w:rsidRPr="006771EF">
        <w:rPr>
          <w:sz w:val="20"/>
          <w:szCs w:val="20"/>
        </w:rPr>
        <w:t xml:space="preserve">End-of semester get-together and welcoming </w:t>
      </w:r>
      <w:r w:rsidR="008B24A4">
        <w:rPr>
          <w:sz w:val="20"/>
          <w:szCs w:val="20"/>
        </w:rPr>
        <w:t xml:space="preserve">gathering </w:t>
      </w:r>
      <w:r w:rsidR="00F54FE3">
        <w:rPr>
          <w:sz w:val="20"/>
          <w:szCs w:val="20"/>
        </w:rPr>
        <w:t>of new team members was</w:t>
      </w:r>
      <w:r w:rsidRPr="006771EF">
        <w:rPr>
          <w:sz w:val="20"/>
          <w:szCs w:val="20"/>
        </w:rPr>
        <w:t xml:space="preserve"> held on 25</w:t>
      </w:r>
      <w:r w:rsidRPr="006771EF">
        <w:rPr>
          <w:sz w:val="20"/>
          <w:szCs w:val="20"/>
          <w:vertAlign w:val="superscript"/>
        </w:rPr>
        <w:t>th</w:t>
      </w:r>
      <w:r w:rsidRPr="006771EF">
        <w:rPr>
          <w:sz w:val="20"/>
          <w:szCs w:val="20"/>
        </w:rPr>
        <w:t xml:space="preserve"> May, 2018. </w:t>
      </w:r>
    </w:p>
    <w:p w14:paraId="62E07960" w14:textId="77777777" w:rsidR="006771EF" w:rsidRPr="006771EF" w:rsidRDefault="006771EF" w:rsidP="003A4744">
      <w:pPr>
        <w:pStyle w:val="ListParagraph"/>
        <w:widowControl/>
        <w:numPr>
          <w:ilvl w:val="0"/>
          <w:numId w:val="33"/>
        </w:numPr>
        <w:spacing w:after="60"/>
        <w:ind w:left="274" w:hanging="274"/>
        <w:contextualSpacing w:val="0"/>
        <w:jc w:val="left"/>
        <w:rPr>
          <w:sz w:val="20"/>
          <w:szCs w:val="20"/>
        </w:rPr>
      </w:pPr>
      <w:r w:rsidRPr="006771EF">
        <w:rPr>
          <w:i/>
          <w:sz w:val="20"/>
          <w:szCs w:val="20"/>
        </w:rPr>
        <w:t>SMF Investment Advisory Committee (IAC) meetings</w:t>
      </w:r>
    </w:p>
    <w:p w14:paraId="589D354F" w14:textId="2D1B543B" w:rsidR="006771EF" w:rsidRPr="006771EF" w:rsidRDefault="006771EF" w:rsidP="006771EF">
      <w:pPr>
        <w:pStyle w:val="ListParagraph"/>
        <w:widowControl/>
        <w:numPr>
          <w:ilvl w:val="3"/>
          <w:numId w:val="33"/>
        </w:numPr>
        <w:tabs>
          <w:tab w:val="left" w:pos="630"/>
        </w:tabs>
        <w:spacing w:before="0" w:after="0"/>
        <w:ind w:left="540" w:hanging="180"/>
        <w:jc w:val="left"/>
        <w:rPr>
          <w:sz w:val="20"/>
          <w:szCs w:val="20"/>
        </w:rPr>
      </w:pPr>
      <w:r w:rsidRPr="006771EF">
        <w:rPr>
          <w:sz w:val="20"/>
          <w:szCs w:val="20"/>
        </w:rPr>
        <w:t>An IAC meeting was held on Monday 21</w:t>
      </w:r>
      <w:r w:rsidRPr="006771EF">
        <w:rPr>
          <w:sz w:val="20"/>
          <w:szCs w:val="20"/>
          <w:vertAlign w:val="superscript"/>
        </w:rPr>
        <w:t>st</w:t>
      </w:r>
      <w:r w:rsidRPr="006771EF">
        <w:rPr>
          <w:sz w:val="20"/>
          <w:szCs w:val="20"/>
        </w:rPr>
        <w:t xml:space="preserve"> May, 2018 to discuss recommendations to add Rio Tinto and Telstra to the Active Australian Equities portfolio, funded out of the iShare Core S&amp;P/ASX200 ETF. Endorsement was received for positions of 3% in Rio and 6% in Telstra, representing the inaugural active positions taken by the fund.</w:t>
      </w:r>
      <w:r w:rsidR="007D766D">
        <w:rPr>
          <w:sz w:val="20"/>
          <w:szCs w:val="20"/>
        </w:rPr>
        <w:t xml:space="preserve"> The transactions were completed on 22</w:t>
      </w:r>
      <w:r w:rsidR="007D766D" w:rsidRPr="003A4744">
        <w:rPr>
          <w:sz w:val="20"/>
          <w:szCs w:val="20"/>
          <w:vertAlign w:val="superscript"/>
        </w:rPr>
        <w:t>nd</w:t>
      </w:r>
      <w:r w:rsidR="007D766D">
        <w:rPr>
          <w:sz w:val="20"/>
          <w:szCs w:val="20"/>
        </w:rPr>
        <w:t xml:space="preserve"> May, 2018.</w:t>
      </w:r>
    </w:p>
    <w:p w14:paraId="221304F2" w14:textId="77777777" w:rsidR="006771EF" w:rsidRPr="006771EF" w:rsidRDefault="006771EF" w:rsidP="003A4744">
      <w:pPr>
        <w:pStyle w:val="ListParagraph"/>
        <w:widowControl/>
        <w:numPr>
          <w:ilvl w:val="0"/>
          <w:numId w:val="33"/>
        </w:numPr>
        <w:spacing w:after="60"/>
        <w:ind w:left="274" w:hanging="274"/>
        <w:contextualSpacing w:val="0"/>
        <w:jc w:val="left"/>
        <w:rPr>
          <w:i/>
          <w:sz w:val="20"/>
          <w:szCs w:val="20"/>
        </w:rPr>
      </w:pPr>
      <w:r w:rsidRPr="006771EF">
        <w:rPr>
          <w:i/>
          <w:sz w:val="20"/>
          <w:szCs w:val="20"/>
        </w:rPr>
        <w:t>Guest speakers</w:t>
      </w:r>
    </w:p>
    <w:p w14:paraId="4EB18B4F" w14:textId="77777777" w:rsidR="006771EF" w:rsidRPr="006771EF" w:rsidRDefault="006771EF" w:rsidP="006771EF">
      <w:pPr>
        <w:pStyle w:val="ListParagraph"/>
        <w:widowControl/>
        <w:numPr>
          <w:ilvl w:val="1"/>
          <w:numId w:val="33"/>
        </w:numPr>
        <w:spacing w:before="0" w:after="0"/>
        <w:ind w:left="540" w:hanging="180"/>
        <w:contextualSpacing w:val="0"/>
        <w:jc w:val="left"/>
        <w:rPr>
          <w:sz w:val="20"/>
          <w:szCs w:val="20"/>
        </w:rPr>
      </w:pPr>
      <w:r w:rsidRPr="006771EF">
        <w:rPr>
          <w:sz w:val="20"/>
          <w:szCs w:val="20"/>
        </w:rPr>
        <w:t>Debbie Saunders, Whitehelm Capital, Monday 7</w:t>
      </w:r>
      <w:r w:rsidRPr="006771EF">
        <w:rPr>
          <w:sz w:val="20"/>
          <w:szCs w:val="20"/>
          <w:vertAlign w:val="superscript"/>
        </w:rPr>
        <w:t>th</w:t>
      </w:r>
      <w:r w:rsidRPr="006771EF">
        <w:rPr>
          <w:sz w:val="20"/>
          <w:szCs w:val="20"/>
        </w:rPr>
        <w:t xml:space="preserve"> May, 2018</w:t>
      </w:r>
    </w:p>
    <w:p w14:paraId="0C3A35E9" w14:textId="77777777" w:rsidR="006771EF" w:rsidRPr="006771EF" w:rsidRDefault="006771EF" w:rsidP="006771EF">
      <w:pPr>
        <w:pStyle w:val="ListParagraph"/>
        <w:widowControl/>
        <w:numPr>
          <w:ilvl w:val="1"/>
          <w:numId w:val="33"/>
        </w:numPr>
        <w:spacing w:before="0" w:after="0"/>
        <w:ind w:left="540" w:hanging="180"/>
        <w:contextualSpacing w:val="0"/>
        <w:jc w:val="left"/>
        <w:rPr>
          <w:sz w:val="20"/>
          <w:szCs w:val="20"/>
        </w:rPr>
      </w:pPr>
      <w:r w:rsidRPr="006771EF">
        <w:rPr>
          <w:sz w:val="20"/>
          <w:szCs w:val="20"/>
        </w:rPr>
        <w:t>Grant Wilson, Civic Capital, Wednesday 30</w:t>
      </w:r>
      <w:r w:rsidRPr="006771EF">
        <w:rPr>
          <w:sz w:val="20"/>
          <w:szCs w:val="20"/>
          <w:vertAlign w:val="superscript"/>
        </w:rPr>
        <w:t>th</w:t>
      </w:r>
      <w:r w:rsidRPr="006771EF">
        <w:rPr>
          <w:sz w:val="20"/>
          <w:szCs w:val="20"/>
        </w:rPr>
        <w:t xml:space="preserve"> May, 2018    </w:t>
      </w:r>
    </w:p>
    <w:p w14:paraId="3032E7D0" w14:textId="77777777" w:rsidR="006771EF" w:rsidRPr="006771EF" w:rsidRDefault="006771EF" w:rsidP="003A4744">
      <w:pPr>
        <w:pStyle w:val="ListParagraph"/>
        <w:widowControl/>
        <w:numPr>
          <w:ilvl w:val="0"/>
          <w:numId w:val="33"/>
        </w:numPr>
        <w:spacing w:after="60"/>
        <w:ind w:left="274" w:hanging="274"/>
        <w:contextualSpacing w:val="0"/>
        <w:jc w:val="left"/>
        <w:rPr>
          <w:sz w:val="20"/>
          <w:szCs w:val="20"/>
        </w:rPr>
      </w:pPr>
      <w:r w:rsidRPr="006771EF">
        <w:rPr>
          <w:i/>
          <w:sz w:val="20"/>
          <w:szCs w:val="20"/>
        </w:rPr>
        <w:t>Reports finalised</w:t>
      </w:r>
      <w:r w:rsidRPr="006771EF">
        <w:rPr>
          <w:sz w:val="20"/>
          <w:szCs w:val="20"/>
        </w:rPr>
        <w:t xml:space="preserve"> </w:t>
      </w:r>
    </w:p>
    <w:p w14:paraId="2BF3EAEF" w14:textId="77777777" w:rsidR="006771EF" w:rsidRPr="006771EF" w:rsidRDefault="006771EF" w:rsidP="006771EF">
      <w:pPr>
        <w:pStyle w:val="ListParagraph"/>
        <w:widowControl/>
        <w:numPr>
          <w:ilvl w:val="3"/>
          <w:numId w:val="33"/>
        </w:numPr>
        <w:tabs>
          <w:tab w:val="left" w:pos="630"/>
        </w:tabs>
        <w:spacing w:before="0" w:after="0"/>
        <w:ind w:left="540" w:hanging="180"/>
        <w:jc w:val="left"/>
        <w:rPr>
          <w:sz w:val="20"/>
          <w:szCs w:val="20"/>
        </w:rPr>
      </w:pPr>
      <w:r w:rsidRPr="006771EF">
        <w:rPr>
          <w:sz w:val="20"/>
          <w:szCs w:val="20"/>
        </w:rPr>
        <w:t xml:space="preserve">Reports on Rio Tinto and Telstra were prepared in support of the investment recommendations.  </w:t>
      </w:r>
    </w:p>
    <w:p w14:paraId="47889A88" w14:textId="77777777" w:rsidR="006771EF" w:rsidRPr="006771EF" w:rsidRDefault="006771EF" w:rsidP="003A4744">
      <w:pPr>
        <w:pStyle w:val="ListParagraph"/>
        <w:widowControl/>
        <w:numPr>
          <w:ilvl w:val="0"/>
          <w:numId w:val="33"/>
        </w:numPr>
        <w:spacing w:after="60"/>
        <w:ind w:left="274" w:hanging="274"/>
        <w:contextualSpacing w:val="0"/>
        <w:jc w:val="left"/>
        <w:rPr>
          <w:i/>
          <w:sz w:val="20"/>
          <w:szCs w:val="20"/>
        </w:rPr>
      </w:pPr>
      <w:r w:rsidRPr="006771EF">
        <w:rPr>
          <w:i/>
          <w:sz w:val="20"/>
          <w:szCs w:val="20"/>
        </w:rPr>
        <w:t>Other notable items</w:t>
      </w:r>
    </w:p>
    <w:p w14:paraId="5E9D26BA" w14:textId="77777777" w:rsidR="006771EF" w:rsidRPr="006771EF" w:rsidRDefault="006771EF" w:rsidP="006771EF">
      <w:pPr>
        <w:pStyle w:val="ListParagraph"/>
        <w:widowControl/>
        <w:numPr>
          <w:ilvl w:val="1"/>
          <w:numId w:val="33"/>
        </w:numPr>
        <w:spacing w:before="0" w:after="0"/>
        <w:ind w:left="540" w:hanging="180"/>
        <w:contextualSpacing w:val="0"/>
        <w:jc w:val="left"/>
        <w:rPr>
          <w:sz w:val="20"/>
          <w:szCs w:val="20"/>
        </w:rPr>
      </w:pPr>
      <w:r w:rsidRPr="006771EF">
        <w:rPr>
          <w:sz w:val="20"/>
          <w:szCs w:val="20"/>
        </w:rPr>
        <w:t>Substantial progress was made on developing and documenting the Asset Allocation and Risk and Compliance processes. Major components of both are due for completion during Semester 2 of 2018.</w:t>
      </w:r>
    </w:p>
    <w:p w14:paraId="4DE386CF" w14:textId="77777777" w:rsidR="006771EF" w:rsidRPr="006771EF" w:rsidRDefault="006771EF" w:rsidP="006771EF">
      <w:pPr>
        <w:pStyle w:val="ListParagraph"/>
        <w:widowControl/>
        <w:numPr>
          <w:ilvl w:val="1"/>
          <w:numId w:val="33"/>
        </w:numPr>
        <w:spacing w:before="0" w:after="0"/>
        <w:ind w:left="540" w:hanging="180"/>
        <w:contextualSpacing w:val="0"/>
        <w:jc w:val="left"/>
        <w:rPr>
          <w:sz w:val="20"/>
          <w:szCs w:val="20"/>
        </w:rPr>
      </w:pPr>
      <w:r w:rsidRPr="006771EF">
        <w:rPr>
          <w:sz w:val="20"/>
          <w:szCs w:val="20"/>
        </w:rPr>
        <w:t>Website and a Facebook page are being developed, and should go on live in the next couple of months.</w:t>
      </w:r>
    </w:p>
    <w:p w14:paraId="2CB799DA" w14:textId="77777777" w:rsidR="006771EF" w:rsidRPr="006771EF" w:rsidRDefault="006771EF" w:rsidP="006771EF">
      <w:pPr>
        <w:pStyle w:val="ListParagraph"/>
        <w:widowControl/>
        <w:numPr>
          <w:ilvl w:val="1"/>
          <w:numId w:val="33"/>
        </w:numPr>
        <w:spacing w:before="0" w:after="0"/>
        <w:ind w:left="540" w:hanging="180"/>
        <w:contextualSpacing w:val="0"/>
        <w:jc w:val="left"/>
        <w:rPr>
          <w:sz w:val="20"/>
          <w:szCs w:val="20"/>
        </w:rPr>
      </w:pPr>
      <w:r w:rsidRPr="006771EF">
        <w:rPr>
          <w:sz w:val="20"/>
          <w:szCs w:val="20"/>
        </w:rPr>
        <w:t xml:space="preserve">Outreach activities conducted by SMF student team members include: running a booth at the CBE welcome day; presentations to Year 11 students and ANU students; and cross-promotion at an ANU public lecture. </w:t>
      </w:r>
    </w:p>
    <w:p w14:paraId="3DFBC9CC" w14:textId="77777777" w:rsidR="007D766D" w:rsidRPr="00136215" w:rsidRDefault="007D766D" w:rsidP="00813981">
      <w:pPr>
        <w:pStyle w:val="Heading2"/>
        <w:rPr>
          <w:lang w:eastAsia="zh-CN"/>
        </w:rPr>
      </w:pPr>
      <w:bookmarkStart w:id="24" w:name="_Toc517159299"/>
      <w:r w:rsidRPr="00136215">
        <w:t>SMF Contributors</w:t>
      </w:r>
      <w:bookmarkEnd w:id="24"/>
    </w:p>
    <w:p w14:paraId="7F7963E8" w14:textId="77777777" w:rsidR="007D766D" w:rsidRPr="006771EF" w:rsidRDefault="007D766D" w:rsidP="007D766D">
      <w:pPr>
        <w:spacing w:before="180" w:after="0"/>
        <w:rPr>
          <w:i/>
          <w:sz w:val="20"/>
          <w:szCs w:val="20"/>
        </w:rPr>
      </w:pPr>
      <w:r w:rsidRPr="006771EF">
        <w:rPr>
          <w:i/>
          <w:sz w:val="20"/>
          <w:szCs w:val="20"/>
        </w:rPr>
        <w:t>Over $200,000</w:t>
      </w:r>
    </w:p>
    <w:p w14:paraId="6EFAC273" w14:textId="77777777" w:rsidR="007D766D" w:rsidRPr="006771EF" w:rsidRDefault="007D766D" w:rsidP="007D766D">
      <w:pPr>
        <w:spacing w:before="0" w:after="0"/>
        <w:rPr>
          <w:sz w:val="20"/>
          <w:szCs w:val="20"/>
        </w:rPr>
      </w:pPr>
      <w:r w:rsidRPr="006771EF">
        <w:rPr>
          <w:sz w:val="20"/>
          <w:szCs w:val="20"/>
        </w:rPr>
        <w:t>Russell Clark (seed donor)</w:t>
      </w:r>
    </w:p>
    <w:p w14:paraId="2502A9B2" w14:textId="77777777" w:rsidR="007D766D" w:rsidRPr="006771EF" w:rsidRDefault="007D766D" w:rsidP="007D766D">
      <w:pPr>
        <w:spacing w:before="180" w:after="0"/>
        <w:rPr>
          <w:i/>
          <w:sz w:val="20"/>
          <w:szCs w:val="20"/>
        </w:rPr>
      </w:pPr>
      <w:r w:rsidRPr="006771EF">
        <w:rPr>
          <w:i/>
          <w:sz w:val="20"/>
          <w:szCs w:val="20"/>
        </w:rPr>
        <w:t>$10,000-$50,000</w:t>
      </w:r>
    </w:p>
    <w:p w14:paraId="7234C523" w14:textId="77777777" w:rsidR="007D766D" w:rsidRPr="006771EF" w:rsidRDefault="007D766D" w:rsidP="007D766D">
      <w:pPr>
        <w:spacing w:before="0" w:after="0"/>
        <w:rPr>
          <w:sz w:val="20"/>
          <w:szCs w:val="20"/>
        </w:rPr>
      </w:pPr>
      <w:r w:rsidRPr="006771EF">
        <w:rPr>
          <w:sz w:val="20"/>
          <w:szCs w:val="20"/>
        </w:rPr>
        <w:t>Family of Andre Morony</w:t>
      </w:r>
    </w:p>
    <w:p w14:paraId="6D7BC7BF" w14:textId="77777777" w:rsidR="007D766D" w:rsidRPr="006771EF" w:rsidRDefault="007D766D" w:rsidP="007D766D">
      <w:pPr>
        <w:spacing w:before="0" w:after="0"/>
        <w:rPr>
          <w:sz w:val="20"/>
          <w:szCs w:val="20"/>
        </w:rPr>
      </w:pPr>
      <w:r w:rsidRPr="006771EF">
        <w:rPr>
          <w:sz w:val="20"/>
          <w:szCs w:val="20"/>
        </w:rPr>
        <w:t>Geoff Warren</w:t>
      </w:r>
    </w:p>
    <w:p w14:paraId="40AAEA4A" w14:textId="4246E2B9" w:rsidR="007D766D" w:rsidRPr="006771EF" w:rsidRDefault="00F54FE3" w:rsidP="007D766D">
      <w:pPr>
        <w:spacing w:before="180" w:after="0"/>
        <w:rPr>
          <w:i/>
          <w:sz w:val="20"/>
          <w:szCs w:val="20"/>
        </w:rPr>
      </w:pPr>
      <w:r>
        <w:rPr>
          <w:i/>
          <w:sz w:val="20"/>
          <w:szCs w:val="20"/>
        </w:rPr>
        <w:t>$1</w:t>
      </w:r>
      <w:r w:rsidR="0084472D">
        <w:rPr>
          <w:i/>
          <w:sz w:val="20"/>
          <w:szCs w:val="20"/>
        </w:rPr>
        <w:t>,</w:t>
      </w:r>
      <w:r w:rsidR="007D766D" w:rsidRPr="006771EF">
        <w:rPr>
          <w:i/>
          <w:sz w:val="20"/>
          <w:szCs w:val="20"/>
        </w:rPr>
        <w:t>00</w:t>
      </w:r>
      <w:r w:rsidR="0084472D">
        <w:rPr>
          <w:i/>
          <w:sz w:val="20"/>
          <w:szCs w:val="20"/>
        </w:rPr>
        <w:t>0</w:t>
      </w:r>
      <w:r>
        <w:rPr>
          <w:i/>
          <w:sz w:val="20"/>
          <w:szCs w:val="20"/>
        </w:rPr>
        <w:t xml:space="preserve"> or less</w:t>
      </w:r>
    </w:p>
    <w:p w14:paraId="77EAF51E" w14:textId="77777777" w:rsidR="007D766D" w:rsidRPr="006771EF" w:rsidRDefault="007D766D" w:rsidP="007D766D">
      <w:pPr>
        <w:spacing w:before="0" w:after="0"/>
        <w:rPr>
          <w:sz w:val="20"/>
          <w:szCs w:val="20"/>
        </w:rPr>
      </w:pPr>
      <w:r w:rsidRPr="006771EF">
        <w:rPr>
          <w:sz w:val="20"/>
          <w:szCs w:val="20"/>
        </w:rPr>
        <w:t>Kerry-Ann Hugo</w:t>
      </w:r>
    </w:p>
    <w:p w14:paraId="2F91253E" w14:textId="00BD4F43" w:rsidR="00136215" w:rsidRDefault="007D766D" w:rsidP="003A4744">
      <w:pPr>
        <w:spacing w:before="180" w:after="0"/>
        <w:rPr>
          <w:rFonts w:eastAsiaTheme="minorEastAsia"/>
          <w:b/>
          <w:color w:val="4472C4" w:themeColor="accent1"/>
          <w:spacing w:val="15"/>
        </w:rPr>
      </w:pPr>
      <w:r w:rsidRPr="006771EF">
        <w:rPr>
          <w:sz w:val="20"/>
          <w:szCs w:val="20"/>
        </w:rPr>
        <w:t>All contributions were kindly matched by the ANU Research School of Finance, A</w:t>
      </w:r>
      <w:r w:rsidR="00F54FE3">
        <w:rPr>
          <w:sz w:val="20"/>
          <w:szCs w:val="20"/>
        </w:rPr>
        <w:t>ctuarial Studies and Statistics.</w:t>
      </w:r>
    </w:p>
    <w:p w14:paraId="7683023E" w14:textId="77777777" w:rsidR="00813981" w:rsidRDefault="006771EF" w:rsidP="00813981">
      <w:pPr>
        <w:pStyle w:val="Heading2"/>
      </w:pPr>
      <w:bookmarkStart w:id="25" w:name="_Toc517159300"/>
      <w:r w:rsidRPr="00136215">
        <w:lastRenderedPageBreak/>
        <w:t>SMF Team</w:t>
      </w:r>
      <w:r w:rsidR="00136215">
        <w:t xml:space="preserve"> Membership</w:t>
      </w:r>
      <w:bookmarkEnd w:id="25"/>
    </w:p>
    <w:p w14:paraId="54E73BBB" w14:textId="4B215160" w:rsidR="00813981" w:rsidRPr="00813981" w:rsidRDefault="00813981" w:rsidP="00136215">
      <w:pPr>
        <w:tabs>
          <w:tab w:val="left" w:pos="2660"/>
        </w:tabs>
        <w:spacing w:before="180" w:after="0"/>
        <w:rPr>
          <w:i/>
          <w:sz w:val="20"/>
          <w:szCs w:val="20"/>
        </w:rPr>
      </w:pPr>
      <w:r w:rsidRPr="00813981">
        <w:rPr>
          <w:b/>
          <w:i/>
          <w:color w:val="4472C4" w:themeColor="accent1"/>
          <w:sz w:val="22"/>
          <w:szCs w:val="22"/>
        </w:rPr>
        <w:t>Members for Semester 1, 2018</w:t>
      </w:r>
    </w:p>
    <w:p w14:paraId="51F79043" w14:textId="3390CBCD" w:rsidR="006771EF" w:rsidRPr="006771EF" w:rsidRDefault="006771EF" w:rsidP="00136215">
      <w:pPr>
        <w:tabs>
          <w:tab w:val="left" w:pos="2660"/>
        </w:tabs>
        <w:spacing w:before="180" w:after="0"/>
        <w:rPr>
          <w:i/>
          <w:sz w:val="20"/>
          <w:szCs w:val="20"/>
        </w:rPr>
      </w:pPr>
      <w:r w:rsidRPr="006771EF">
        <w:rPr>
          <w:i/>
          <w:sz w:val="20"/>
          <w:szCs w:val="20"/>
        </w:rPr>
        <w:t>Chief Investment Officer</w:t>
      </w:r>
    </w:p>
    <w:p w14:paraId="216648B6" w14:textId="77777777" w:rsidR="006771EF" w:rsidRPr="006771EF" w:rsidRDefault="006771EF" w:rsidP="006771EF">
      <w:pPr>
        <w:tabs>
          <w:tab w:val="left" w:pos="2660"/>
        </w:tabs>
        <w:spacing w:before="0" w:after="0"/>
        <w:rPr>
          <w:sz w:val="20"/>
          <w:szCs w:val="20"/>
        </w:rPr>
      </w:pPr>
      <w:r w:rsidRPr="006771EF">
        <w:rPr>
          <w:sz w:val="20"/>
          <w:szCs w:val="20"/>
        </w:rPr>
        <w:t>Olaide Yinka-Kehinde</w:t>
      </w:r>
    </w:p>
    <w:p w14:paraId="5F48D108" w14:textId="77777777" w:rsidR="006771EF" w:rsidRPr="006771EF" w:rsidRDefault="006771EF" w:rsidP="00136215">
      <w:pPr>
        <w:tabs>
          <w:tab w:val="left" w:pos="2660"/>
          <w:tab w:val="left" w:pos="2790"/>
        </w:tabs>
        <w:spacing w:before="180" w:after="0"/>
        <w:rPr>
          <w:i/>
          <w:sz w:val="20"/>
          <w:szCs w:val="20"/>
        </w:rPr>
      </w:pPr>
      <w:r w:rsidRPr="006771EF">
        <w:rPr>
          <w:i/>
          <w:sz w:val="20"/>
          <w:szCs w:val="20"/>
        </w:rPr>
        <w:t>Risk and Compliance Team</w:t>
      </w:r>
    </w:p>
    <w:p w14:paraId="07880823" w14:textId="6610C232" w:rsidR="006771EF" w:rsidRPr="006771EF" w:rsidRDefault="006771EF" w:rsidP="00F54FE3">
      <w:pPr>
        <w:tabs>
          <w:tab w:val="left" w:pos="2790"/>
        </w:tabs>
        <w:spacing w:before="0" w:after="0"/>
        <w:rPr>
          <w:sz w:val="20"/>
          <w:szCs w:val="20"/>
        </w:rPr>
      </w:pPr>
      <w:r w:rsidRPr="006771EF">
        <w:rPr>
          <w:sz w:val="20"/>
          <w:szCs w:val="20"/>
        </w:rPr>
        <w:t>Vipul Nijhawan</w:t>
      </w:r>
      <w:r w:rsidRPr="006771EF">
        <w:rPr>
          <w:sz w:val="20"/>
          <w:szCs w:val="20"/>
        </w:rPr>
        <w:tab/>
        <w:t>Chief Risk Officer</w:t>
      </w:r>
    </w:p>
    <w:p w14:paraId="08ACCD3B" w14:textId="77777777" w:rsidR="006771EF" w:rsidRPr="006771EF" w:rsidRDefault="006771EF" w:rsidP="00F54FE3">
      <w:pPr>
        <w:tabs>
          <w:tab w:val="left" w:pos="2790"/>
        </w:tabs>
        <w:spacing w:before="0" w:after="0"/>
        <w:rPr>
          <w:sz w:val="20"/>
          <w:szCs w:val="20"/>
        </w:rPr>
      </w:pPr>
      <w:r w:rsidRPr="006771EF">
        <w:rPr>
          <w:sz w:val="20"/>
          <w:szCs w:val="20"/>
        </w:rPr>
        <w:t>Ruolin (Alex) Mai</w:t>
      </w:r>
      <w:r w:rsidRPr="006771EF">
        <w:rPr>
          <w:sz w:val="20"/>
          <w:szCs w:val="20"/>
        </w:rPr>
        <w:tab/>
        <w:t>Relationship Manager</w:t>
      </w:r>
    </w:p>
    <w:p w14:paraId="684A11D8" w14:textId="77777777" w:rsidR="006771EF" w:rsidRPr="006771EF" w:rsidRDefault="006771EF" w:rsidP="00F54FE3">
      <w:pPr>
        <w:tabs>
          <w:tab w:val="left" w:pos="2790"/>
        </w:tabs>
        <w:spacing w:before="0" w:after="0"/>
        <w:rPr>
          <w:sz w:val="20"/>
          <w:szCs w:val="20"/>
        </w:rPr>
      </w:pPr>
      <w:r w:rsidRPr="006771EF">
        <w:rPr>
          <w:sz w:val="20"/>
          <w:szCs w:val="20"/>
        </w:rPr>
        <w:t>Lanyu Zhang</w:t>
      </w:r>
      <w:r w:rsidRPr="006771EF">
        <w:rPr>
          <w:sz w:val="20"/>
          <w:szCs w:val="20"/>
        </w:rPr>
        <w:tab/>
        <w:t>Analyst</w:t>
      </w:r>
    </w:p>
    <w:p w14:paraId="7C9B7B42" w14:textId="77777777" w:rsidR="006771EF" w:rsidRPr="006771EF" w:rsidRDefault="006771EF" w:rsidP="00F54FE3">
      <w:pPr>
        <w:tabs>
          <w:tab w:val="left" w:pos="2790"/>
        </w:tabs>
        <w:spacing w:before="0" w:after="0"/>
        <w:rPr>
          <w:sz w:val="20"/>
          <w:szCs w:val="20"/>
        </w:rPr>
      </w:pPr>
      <w:r w:rsidRPr="006771EF">
        <w:rPr>
          <w:sz w:val="20"/>
          <w:szCs w:val="20"/>
        </w:rPr>
        <w:t>Zhongxi Zheng</w:t>
      </w:r>
      <w:r w:rsidRPr="006771EF">
        <w:rPr>
          <w:sz w:val="20"/>
          <w:szCs w:val="20"/>
        </w:rPr>
        <w:tab/>
        <w:t>Analyst</w:t>
      </w:r>
    </w:p>
    <w:p w14:paraId="3D2A9CF1" w14:textId="77777777" w:rsidR="006771EF" w:rsidRPr="006771EF" w:rsidRDefault="006771EF" w:rsidP="00F54FE3">
      <w:pPr>
        <w:tabs>
          <w:tab w:val="left" w:pos="2790"/>
        </w:tabs>
        <w:spacing w:before="180" w:after="0"/>
        <w:rPr>
          <w:i/>
          <w:sz w:val="20"/>
          <w:szCs w:val="20"/>
        </w:rPr>
      </w:pPr>
      <w:r w:rsidRPr="006771EF">
        <w:rPr>
          <w:i/>
          <w:sz w:val="20"/>
          <w:szCs w:val="20"/>
        </w:rPr>
        <w:t>Asset Allocation Team</w:t>
      </w:r>
    </w:p>
    <w:p w14:paraId="26D39980" w14:textId="77777777" w:rsidR="006771EF" w:rsidRPr="006771EF" w:rsidRDefault="006771EF" w:rsidP="00F54FE3">
      <w:pPr>
        <w:tabs>
          <w:tab w:val="left" w:pos="2790"/>
        </w:tabs>
        <w:spacing w:before="0" w:after="0"/>
        <w:rPr>
          <w:sz w:val="20"/>
          <w:szCs w:val="20"/>
        </w:rPr>
      </w:pPr>
      <w:r w:rsidRPr="006771EF">
        <w:rPr>
          <w:sz w:val="20"/>
          <w:szCs w:val="20"/>
        </w:rPr>
        <w:t>Sarah Zhu</w:t>
      </w:r>
      <w:r w:rsidRPr="006771EF">
        <w:rPr>
          <w:sz w:val="20"/>
          <w:szCs w:val="20"/>
        </w:rPr>
        <w:tab/>
        <w:t>Team Leader</w:t>
      </w:r>
    </w:p>
    <w:p w14:paraId="1EB49613" w14:textId="77777777" w:rsidR="006771EF" w:rsidRPr="006771EF" w:rsidRDefault="006771EF" w:rsidP="00F54FE3">
      <w:pPr>
        <w:tabs>
          <w:tab w:val="left" w:pos="2790"/>
        </w:tabs>
        <w:spacing w:before="0" w:after="0"/>
        <w:rPr>
          <w:sz w:val="20"/>
          <w:szCs w:val="20"/>
        </w:rPr>
      </w:pPr>
      <w:r w:rsidRPr="006771EF">
        <w:rPr>
          <w:sz w:val="20"/>
          <w:szCs w:val="20"/>
        </w:rPr>
        <w:t>Victor Munagala</w:t>
      </w:r>
      <w:r w:rsidRPr="006771EF">
        <w:rPr>
          <w:sz w:val="20"/>
          <w:szCs w:val="20"/>
        </w:rPr>
        <w:tab/>
        <w:t>Analyst</w:t>
      </w:r>
    </w:p>
    <w:p w14:paraId="10EE10D3" w14:textId="77777777" w:rsidR="006771EF" w:rsidRPr="006771EF" w:rsidRDefault="006771EF" w:rsidP="00F54FE3">
      <w:pPr>
        <w:tabs>
          <w:tab w:val="left" w:pos="2790"/>
        </w:tabs>
        <w:spacing w:before="0" w:after="0"/>
        <w:rPr>
          <w:sz w:val="20"/>
          <w:szCs w:val="20"/>
        </w:rPr>
      </w:pPr>
      <w:r w:rsidRPr="006771EF">
        <w:rPr>
          <w:sz w:val="20"/>
          <w:szCs w:val="20"/>
        </w:rPr>
        <w:t>Harrison Papworth</w:t>
      </w:r>
      <w:r w:rsidRPr="006771EF">
        <w:rPr>
          <w:sz w:val="20"/>
          <w:szCs w:val="20"/>
        </w:rPr>
        <w:tab/>
        <w:t>Analyst</w:t>
      </w:r>
    </w:p>
    <w:p w14:paraId="0D6AE2A2" w14:textId="77777777" w:rsidR="006771EF" w:rsidRPr="006771EF" w:rsidRDefault="006771EF" w:rsidP="00F54FE3">
      <w:pPr>
        <w:tabs>
          <w:tab w:val="left" w:pos="2790"/>
        </w:tabs>
        <w:spacing w:before="180" w:after="0"/>
        <w:rPr>
          <w:i/>
          <w:sz w:val="20"/>
          <w:szCs w:val="20"/>
        </w:rPr>
      </w:pPr>
      <w:r w:rsidRPr="006771EF">
        <w:rPr>
          <w:i/>
          <w:sz w:val="20"/>
          <w:szCs w:val="20"/>
        </w:rPr>
        <w:t>Active Australian Equities Team</w:t>
      </w:r>
    </w:p>
    <w:p w14:paraId="588528EE" w14:textId="77777777" w:rsidR="006771EF" w:rsidRPr="006771EF" w:rsidRDefault="006771EF" w:rsidP="00F54FE3">
      <w:pPr>
        <w:tabs>
          <w:tab w:val="left" w:pos="2790"/>
        </w:tabs>
        <w:spacing w:before="0" w:after="0"/>
        <w:rPr>
          <w:sz w:val="20"/>
          <w:szCs w:val="20"/>
        </w:rPr>
      </w:pPr>
      <w:r w:rsidRPr="006771EF">
        <w:rPr>
          <w:sz w:val="20"/>
          <w:szCs w:val="20"/>
        </w:rPr>
        <w:t>Ben Rada-Martin</w:t>
      </w:r>
      <w:r w:rsidRPr="006771EF">
        <w:rPr>
          <w:sz w:val="20"/>
          <w:szCs w:val="20"/>
        </w:rPr>
        <w:tab/>
        <w:t>Team Leader</w:t>
      </w:r>
    </w:p>
    <w:p w14:paraId="078028A0" w14:textId="77777777" w:rsidR="006771EF" w:rsidRPr="006771EF" w:rsidRDefault="006771EF" w:rsidP="00F54FE3">
      <w:pPr>
        <w:tabs>
          <w:tab w:val="left" w:pos="2790"/>
        </w:tabs>
        <w:spacing w:before="0" w:after="0"/>
        <w:rPr>
          <w:sz w:val="20"/>
          <w:szCs w:val="20"/>
        </w:rPr>
      </w:pPr>
      <w:r w:rsidRPr="006771EF">
        <w:rPr>
          <w:sz w:val="20"/>
          <w:szCs w:val="20"/>
        </w:rPr>
        <w:t>Isabella Mortimore</w:t>
      </w:r>
      <w:r w:rsidRPr="006771EF">
        <w:rPr>
          <w:sz w:val="20"/>
          <w:szCs w:val="20"/>
        </w:rPr>
        <w:tab/>
        <w:t>Analyst</w:t>
      </w:r>
    </w:p>
    <w:p w14:paraId="5AA346C2" w14:textId="77777777" w:rsidR="006771EF" w:rsidRPr="006771EF" w:rsidRDefault="006771EF" w:rsidP="00F54FE3">
      <w:pPr>
        <w:tabs>
          <w:tab w:val="left" w:pos="2790"/>
        </w:tabs>
        <w:spacing w:before="0" w:after="0"/>
        <w:rPr>
          <w:sz w:val="20"/>
          <w:szCs w:val="20"/>
        </w:rPr>
      </w:pPr>
      <w:r w:rsidRPr="006771EF">
        <w:rPr>
          <w:sz w:val="20"/>
          <w:szCs w:val="20"/>
        </w:rPr>
        <w:t>Wayne Wang</w:t>
      </w:r>
      <w:r w:rsidRPr="006771EF">
        <w:rPr>
          <w:sz w:val="20"/>
          <w:szCs w:val="20"/>
        </w:rPr>
        <w:tab/>
        <w:t>Analyst</w:t>
      </w:r>
    </w:p>
    <w:p w14:paraId="44DE6900" w14:textId="77777777" w:rsidR="006771EF" w:rsidRPr="006771EF" w:rsidRDefault="006771EF" w:rsidP="00F54FE3">
      <w:pPr>
        <w:tabs>
          <w:tab w:val="left" w:pos="2790"/>
        </w:tabs>
        <w:spacing w:before="0" w:after="0"/>
        <w:rPr>
          <w:sz w:val="20"/>
          <w:szCs w:val="20"/>
        </w:rPr>
      </w:pPr>
      <w:r w:rsidRPr="006771EF">
        <w:rPr>
          <w:sz w:val="20"/>
          <w:szCs w:val="20"/>
        </w:rPr>
        <w:t>Zhan Zhang</w:t>
      </w:r>
      <w:r w:rsidRPr="006771EF">
        <w:rPr>
          <w:sz w:val="20"/>
          <w:szCs w:val="20"/>
        </w:rPr>
        <w:tab/>
        <w:t>Analyst</w:t>
      </w:r>
    </w:p>
    <w:p w14:paraId="766F560A" w14:textId="77777777" w:rsidR="006771EF" w:rsidRPr="006771EF" w:rsidRDefault="006771EF" w:rsidP="00F54FE3">
      <w:pPr>
        <w:tabs>
          <w:tab w:val="left" w:pos="2660"/>
          <w:tab w:val="left" w:pos="2790"/>
        </w:tabs>
        <w:spacing w:before="180" w:after="0"/>
        <w:rPr>
          <w:i/>
          <w:sz w:val="20"/>
          <w:szCs w:val="20"/>
        </w:rPr>
      </w:pPr>
      <w:r w:rsidRPr="006771EF">
        <w:rPr>
          <w:i/>
          <w:sz w:val="20"/>
          <w:szCs w:val="20"/>
        </w:rPr>
        <w:t>Convenors</w:t>
      </w:r>
    </w:p>
    <w:p w14:paraId="2844AEED" w14:textId="77777777" w:rsidR="006771EF" w:rsidRPr="006771EF" w:rsidRDefault="006771EF" w:rsidP="00F54FE3">
      <w:pPr>
        <w:tabs>
          <w:tab w:val="left" w:pos="2790"/>
        </w:tabs>
        <w:spacing w:before="0" w:after="0"/>
        <w:rPr>
          <w:sz w:val="20"/>
          <w:szCs w:val="20"/>
        </w:rPr>
      </w:pPr>
      <w:r w:rsidRPr="006771EF">
        <w:rPr>
          <w:sz w:val="20"/>
          <w:szCs w:val="20"/>
        </w:rPr>
        <w:t>Anna von Reibnitz</w:t>
      </w:r>
      <w:r w:rsidRPr="006771EF">
        <w:rPr>
          <w:sz w:val="20"/>
          <w:szCs w:val="20"/>
        </w:rPr>
        <w:tab/>
        <w:t>Course Convenor</w:t>
      </w:r>
    </w:p>
    <w:p w14:paraId="4BE247A8" w14:textId="342F34E5" w:rsidR="006771EF" w:rsidRPr="006771EF" w:rsidRDefault="006771EF" w:rsidP="00F54FE3">
      <w:pPr>
        <w:tabs>
          <w:tab w:val="left" w:pos="2790"/>
        </w:tabs>
        <w:spacing w:before="0" w:after="0"/>
        <w:rPr>
          <w:sz w:val="20"/>
          <w:szCs w:val="20"/>
        </w:rPr>
      </w:pPr>
      <w:r w:rsidRPr="006771EF">
        <w:rPr>
          <w:sz w:val="20"/>
          <w:szCs w:val="20"/>
        </w:rPr>
        <w:t>Geoff Warren</w:t>
      </w:r>
      <w:r w:rsidRPr="006771EF">
        <w:rPr>
          <w:sz w:val="20"/>
          <w:szCs w:val="20"/>
        </w:rPr>
        <w:tab/>
        <w:t>Fund Convenor</w:t>
      </w:r>
    </w:p>
    <w:p w14:paraId="42E3C894" w14:textId="331D7ABA" w:rsidR="006771EF" w:rsidRPr="00813981" w:rsidRDefault="006771EF" w:rsidP="00136215">
      <w:pPr>
        <w:tabs>
          <w:tab w:val="left" w:pos="2410"/>
          <w:tab w:val="left" w:pos="2770"/>
        </w:tabs>
        <w:spacing w:before="240"/>
        <w:rPr>
          <w:b/>
          <w:i/>
          <w:color w:val="4472C4" w:themeColor="accent1"/>
          <w:sz w:val="22"/>
          <w:szCs w:val="22"/>
        </w:rPr>
      </w:pPr>
      <w:r w:rsidRPr="00813981">
        <w:rPr>
          <w:b/>
          <w:i/>
          <w:color w:val="4472C4" w:themeColor="accent1"/>
          <w:sz w:val="22"/>
          <w:szCs w:val="22"/>
        </w:rPr>
        <w:t xml:space="preserve">New </w:t>
      </w:r>
      <w:r w:rsidR="00136215" w:rsidRPr="00813981">
        <w:rPr>
          <w:b/>
          <w:i/>
          <w:color w:val="4472C4" w:themeColor="accent1"/>
          <w:sz w:val="22"/>
          <w:szCs w:val="22"/>
        </w:rPr>
        <w:t xml:space="preserve">Team </w:t>
      </w:r>
      <w:r w:rsidRPr="00813981">
        <w:rPr>
          <w:b/>
          <w:i/>
          <w:color w:val="4472C4" w:themeColor="accent1"/>
          <w:sz w:val="22"/>
          <w:szCs w:val="22"/>
        </w:rPr>
        <w:t>Members for Semester 2, 2018</w:t>
      </w:r>
    </w:p>
    <w:p w14:paraId="3792B9B9" w14:textId="35C0D49E" w:rsidR="006771EF" w:rsidRPr="006771EF" w:rsidRDefault="006771EF" w:rsidP="00F54FE3">
      <w:pPr>
        <w:tabs>
          <w:tab w:val="left" w:pos="2790"/>
        </w:tabs>
        <w:spacing w:before="0" w:after="0"/>
        <w:rPr>
          <w:sz w:val="20"/>
          <w:szCs w:val="20"/>
        </w:rPr>
      </w:pPr>
      <w:r w:rsidRPr="006771EF">
        <w:rPr>
          <w:sz w:val="20"/>
          <w:szCs w:val="20"/>
        </w:rPr>
        <w:t>Ruixin (Chasel) Chi</w:t>
      </w:r>
      <w:r w:rsidR="00F54FE3">
        <w:rPr>
          <w:sz w:val="20"/>
          <w:szCs w:val="20"/>
        </w:rPr>
        <w:tab/>
        <w:t>AAE Team</w:t>
      </w:r>
    </w:p>
    <w:p w14:paraId="12EBAD86" w14:textId="36F18C23" w:rsidR="006771EF" w:rsidRPr="006771EF" w:rsidRDefault="006771EF" w:rsidP="00F54FE3">
      <w:pPr>
        <w:tabs>
          <w:tab w:val="left" w:pos="2790"/>
        </w:tabs>
        <w:spacing w:before="0" w:after="0"/>
        <w:rPr>
          <w:sz w:val="20"/>
          <w:szCs w:val="20"/>
        </w:rPr>
      </w:pPr>
      <w:r w:rsidRPr="006771EF">
        <w:rPr>
          <w:sz w:val="20"/>
          <w:szCs w:val="20"/>
        </w:rPr>
        <w:t>Jak Carty</w:t>
      </w:r>
      <w:r w:rsidR="00F54FE3">
        <w:rPr>
          <w:sz w:val="20"/>
          <w:szCs w:val="20"/>
        </w:rPr>
        <w:tab/>
        <w:t>AA Team</w:t>
      </w:r>
    </w:p>
    <w:p w14:paraId="766CB3CF" w14:textId="5F93384D" w:rsidR="006771EF" w:rsidRPr="006771EF" w:rsidRDefault="006771EF" w:rsidP="00F54FE3">
      <w:pPr>
        <w:tabs>
          <w:tab w:val="left" w:pos="2790"/>
        </w:tabs>
        <w:spacing w:before="0" w:after="0"/>
        <w:rPr>
          <w:sz w:val="20"/>
          <w:szCs w:val="20"/>
        </w:rPr>
      </w:pPr>
      <w:r w:rsidRPr="006771EF">
        <w:rPr>
          <w:sz w:val="20"/>
          <w:szCs w:val="20"/>
        </w:rPr>
        <w:t>Azmina Hossain</w:t>
      </w:r>
      <w:r w:rsidR="00F54FE3">
        <w:rPr>
          <w:sz w:val="20"/>
          <w:szCs w:val="20"/>
        </w:rPr>
        <w:tab/>
        <w:t>R&amp;C Team</w:t>
      </w:r>
    </w:p>
    <w:p w14:paraId="433B0D00" w14:textId="5037AD2C" w:rsidR="006771EF" w:rsidRPr="006771EF" w:rsidRDefault="006771EF" w:rsidP="00F54FE3">
      <w:pPr>
        <w:tabs>
          <w:tab w:val="left" w:pos="2790"/>
        </w:tabs>
        <w:spacing w:before="0" w:after="0"/>
        <w:rPr>
          <w:sz w:val="20"/>
          <w:szCs w:val="20"/>
          <w:lang w:val="fi-FI"/>
        </w:rPr>
      </w:pPr>
      <w:r w:rsidRPr="006771EF">
        <w:rPr>
          <w:sz w:val="20"/>
          <w:szCs w:val="20"/>
          <w:lang w:val="fi-FI"/>
        </w:rPr>
        <w:t>Chuxuan (Jessie) Jiang</w:t>
      </w:r>
      <w:r w:rsidR="00F54FE3">
        <w:rPr>
          <w:sz w:val="20"/>
          <w:szCs w:val="20"/>
          <w:lang w:val="fi-FI"/>
        </w:rPr>
        <w:tab/>
        <w:t>AAE Team</w:t>
      </w:r>
    </w:p>
    <w:p w14:paraId="4B6E9C21" w14:textId="6831179C" w:rsidR="006771EF" w:rsidRPr="006771EF" w:rsidRDefault="006771EF" w:rsidP="00F54FE3">
      <w:pPr>
        <w:tabs>
          <w:tab w:val="left" w:pos="2790"/>
        </w:tabs>
        <w:spacing w:before="0" w:after="0"/>
        <w:rPr>
          <w:sz w:val="20"/>
          <w:szCs w:val="20"/>
          <w:lang w:val="fi-FI"/>
        </w:rPr>
      </w:pPr>
      <w:r w:rsidRPr="006771EF">
        <w:rPr>
          <w:sz w:val="20"/>
          <w:szCs w:val="20"/>
          <w:lang w:val="fi-FI"/>
        </w:rPr>
        <w:t>Aiyun Li</w:t>
      </w:r>
      <w:r w:rsidR="00F54FE3">
        <w:rPr>
          <w:sz w:val="20"/>
          <w:szCs w:val="20"/>
          <w:lang w:val="fi-FI"/>
        </w:rPr>
        <w:tab/>
        <w:t>AAE Team</w:t>
      </w:r>
    </w:p>
    <w:p w14:paraId="6D6883BD" w14:textId="17333798" w:rsidR="006771EF" w:rsidRPr="006771EF" w:rsidRDefault="006771EF" w:rsidP="00F54FE3">
      <w:pPr>
        <w:tabs>
          <w:tab w:val="left" w:pos="2790"/>
        </w:tabs>
        <w:spacing w:before="0" w:after="0"/>
        <w:rPr>
          <w:sz w:val="20"/>
          <w:szCs w:val="20"/>
          <w:lang w:val="fi-FI"/>
        </w:rPr>
      </w:pPr>
      <w:r w:rsidRPr="006771EF">
        <w:rPr>
          <w:sz w:val="20"/>
          <w:szCs w:val="20"/>
          <w:lang w:val="fi-FI"/>
        </w:rPr>
        <w:t>Jiaqi Liu</w:t>
      </w:r>
      <w:r w:rsidR="00F54FE3">
        <w:rPr>
          <w:sz w:val="20"/>
          <w:szCs w:val="20"/>
          <w:lang w:val="fi-FI"/>
        </w:rPr>
        <w:tab/>
        <w:t>AAE Team</w:t>
      </w:r>
    </w:p>
    <w:p w14:paraId="5D92DD20" w14:textId="4E0E83CD" w:rsidR="006771EF" w:rsidRPr="006771EF" w:rsidRDefault="006771EF" w:rsidP="00F54FE3">
      <w:pPr>
        <w:tabs>
          <w:tab w:val="left" w:pos="2790"/>
        </w:tabs>
        <w:spacing w:before="0" w:after="0"/>
        <w:rPr>
          <w:sz w:val="20"/>
          <w:szCs w:val="20"/>
        </w:rPr>
      </w:pPr>
      <w:r w:rsidRPr="006771EF">
        <w:rPr>
          <w:sz w:val="20"/>
          <w:szCs w:val="20"/>
        </w:rPr>
        <w:t>Saurav Patel</w:t>
      </w:r>
      <w:r w:rsidR="00F54FE3">
        <w:rPr>
          <w:sz w:val="20"/>
          <w:szCs w:val="20"/>
        </w:rPr>
        <w:tab/>
        <w:t>Relationship and R&amp;C Teams</w:t>
      </w:r>
    </w:p>
    <w:p w14:paraId="6639EB04" w14:textId="69EB8D28" w:rsidR="006771EF" w:rsidRPr="006771EF" w:rsidRDefault="006771EF" w:rsidP="00F54FE3">
      <w:pPr>
        <w:tabs>
          <w:tab w:val="left" w:pos="2790"/>
        </w:tabs>
        <w:spacing w:before="0" w:after="0"/>
        <w:rPr>
          <w:sz w:val="20"/>
          <w:szCs w:val="20"/>
        </w:rPr>
      </w:pPr>
      <w:r w:rsidRPr="006771EF">
        <w:rPr>
          <w:sz w:val="20"/>
          <w:szCs w:val="20"/>
        </w:rPr>
        <w:t>Rory Roche</w:t>
      </w:r>
      <w:r w:rsidR="00F54FE3">
        <w:rPr>
          <w:sz w:val="20"/>
          <w:szCs w:val="20"/>
        </w:rPr>
        <w:tab/>
        <w:t>Relationship Team</w:t>
      </w:r>
    </w:p>
    <w:p w14:paraId="56F9E2DA" w14:textId="33B879D7" w:rsidR="006771EF" w:rsidRPr="006771EF" w:rsidRDefault="006771EF" w:rsidP="00F54FE3">
      <w:pPr>
        <w:tabs>
          <w:tab w:val="left" w:pos="2790"/>
        </w:tabs>
        <w:spacing w:before="0" w:after="0"/>
        <w:rPr>
          <w:sz w:val="20"/>
          <w:szCs w:val="20"/>
        </w:rPr>
      </w:pPr>
      <w:r w:rsidRPr="006771EF">
        <w:rPr>
          <w:sz w:val="20"/>
          <w:szCs w:val="20"/>
        </w:rPr>
        <w:t>Hongyi (Leo) Xu</w:t>
      </w:r>
      <w:r w:rsidR="00F54FE3">
        <w:rPr>
          <w:sz w:val="20"/>
          <w:szCs w:val="20"/>
        </w:rPr>
        <w:tab/>
        <w:t>AA Team</w:t>
      </w:r>
    </w:p>
    <w:p w14:paraId="1FFA7299" w14:textId="2DD85F71" w:rsidR="006771EF" w:rsidRPr="006771EF" w:rsidRDefault="006771EF" w:rsidP="00F54FE3">
      <w:pPr>
        <w:tabs>
          <w:tab w:val="left" w:pos="2790"/>
        </w:tabs>
        <w:spacing w:before="0" w:after="0"/>
        <w:rPr>
          <w:sz w:val="20"/>
          <w:szCs w:val="20"/>
        </w:rPr>
      </w:pPr>
      <w:r w:rsidRPr="006771EF">
        <w:rPr>
          <w:sz w:val="20"/>
          <w:szCs w:val="20"/>
        </w:rPr>
        <w:t>Chengxuan (Charles) Zhang</w:t>
      </w:r>
      <w:r w:rsidR="00F54FE3">
        <w:rPr>
          <w:sz w:val="20"/>
          <w:szCs w:val="20"/>
        </w:rPr>
        <w:tab/>
        <w:t>AAE Team</w:t>
      </w:r>
    </w:p>
    <w:p w14:paraId="6E96CFA8" w14:textId="77777777" w:rsidR="006771EF" w:rsidRPr="006771EF" w:rsidRDefault="006771EF" w:rsidP="00F54FE3">
      <w:pPr>
        <w:tabs>
          <w:tab w:val="left" w:pos="2790"/>
        </w:tabs>
        <w:spacing w:before="240"/>
        <w:rPr>
          <w:b/>
          <w:sz w:val="20"/>
          <w:szCs w:val="20"/>
        </w:rPr>
      </w:pPr>
    </w:p>
    <w:p w14:paraId="6AF19C94" w14:textId="7CA55471" w:rsidR="00106FB4" w:rsidRPr="006771EF" w:rsidRDefault="007D766D" w:rsidP="007D766D">
      <w:pPr>
        <w:rPr>
          <w:sz w:val="20"/>
          <w:szCs w:val="20"/>
        </w:rPr>
      </w:pPr>
      <w:r w:rsidRPr="006771EF">
        <w:rPr>
          <w:noProof/>
          <w:sz w:val="20"/>
          <w:szCs w:val="20"/>
          <w:lang w:eastAsia="en-AU"/>
        </w:rPr>
        <mc:AlternateContent>
          <mc:Choice Requires="wps">
            <w:drawing>
              <wp:anchor distT="45720" distB="45720" distL="114300" distR="114300" simplePos="0" relativeHeight="251679744" behindDoc="0" locked="0" layoutInCell="1" allowOverlap="1" wp14:anchorId="44C2D69B" wp14:editId="4B13A57E">
                <wp:simplePos x="0" y="0"/>
                <wp:positionH relativeFrom="margin">
                  <wp:posOffset>-170634</wp:posOffset>
                </wp:positionH>
                <wp:positionV relativeFrom="margin">
                  <wp:align>bottom</wp:align>
                </wp:positionV>
                <wp:extent cx="6105525" cy="173799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37995"/>
                        </a:xfrm>
                        <a:prstGeom prst="rect">
                          <a:avLst/>
                        </a:prstGeom>
                        <a:solidFill>
                          <a:srgbClr val="FFFFFF"/>
                        </a:solidFill>
                        <a:ln w="9525">
                          <a:noFill/>
                          <a:miter lim="800000"/>
                          <a:headEnd/>
                          <a:tailEnd/>
                        </a:ln>
                      </wps:spPr>
                      <wps:txbx>
                        <w:txbxContent>
                          <w:p w14:paraId="786DA7CA" w14:textId="77777777" w:rsidR="00DB6913" w:rsidRPr="00BF3830" w:rsidRDefault="00DB6913" w:rsidP="00DB286A">
                            <w:pPr>
                              <w:spacing w:before="0" w:after="0"/>
                              <w:rPr>
                                <w:sz w:val="22"/>
                                <w:szCs w:val="22"/>
                              </w:rPr>
                            </w:pPr>
                            <w:r w:rsidRPr="00BF3830">
                              <w:rPr>
                                <w:sz w:val="22"/>
                                <w:szCs w:val="22"/>
                              </w:rPr>
                              <w:t>ANU SMF / RSFAS / College of Business and Economics</w:t>
                            </w:r>
                          </w:p>
                          <w:p w14:paraId="21CAD59D" w14:textId="44AF490A" w:rsidR="00DB6913" w:rsidRPr="00BF3830" w:rsidRDefault="00DB6913" w:rsidP="00DB286A">
                            <w:pPr>
                              <w:spacing w:before="0" w:after="0"/>
                              <w:rPr>
                                <w:sz w:val="22"/>
                                <w:szCs w:val="22"/>
                              </w:rPr>
                            </w:pPr>
                            <w:r w:rsidRPr="00BF3830">
                              <w:rPr>
                                <w:sz w:val="22"/>
                                <w:szCs w:val="22"/>
                              </w:rPr>
                              <w:t>+61 2 6125 4626</w:t>
                            </w:r>
                          </w:p>
                          <w:p w14:paraId="7D71AACB" w14:textId="7C958B5E" w:rsidR="00DB6913" w:rsidRPr="00BF3830" w:rsidRDefault="00DB6913" w:rsidP="00DB286A">
                            <w:pPr>
                              <w:spacing w:before="240" w:after="240"/>
                              <w:rPr>
                                <w:sz w:val="22"/>
                                <w:szCs w:val="22"/>
                              </w:rPr>
                            </w:pPr>
                            <w:r w:rsidRPr="00BF3830">
                              <w:rPr>
                                <w:sz w:val="22"/>
                                <w:szCs w:val="22"/>
                              </w:rPr>
                              <w:t>SMF email: smf.rsfas@anu.edu.au</w:t>
                            </w:r>
                          </w:p>
                          <w:p w14:paraId="29B0BF93" w14:textId="77777777" w:rsidR="00DB6913" w:rsidRPr="00BF3830" w:rsidRDefault="00DB6913" w:rsidP="00DB286A">
                            <w:pPr>
                              <w:spacing w:before="0" w:after="0"/>
                              <w:rPr>
                                <w:sz w:val="22"/>
                                <w:szCs w:val="22"/>
                              </w:rPr>
                            </w:pPr>
                            <w:r w:rsidRPr="00BF3830">
                              <w:rPr>
                                <w:sz w:val="22"/>
                                <w:szCs w:val="22"/>
                              </w:rPr>
                              <w:t>The Australian National University</w:t>
                            </w:r>
                          </w:p>
                          <w:p w14:paraId="7CB24643" w14:textId="77777777" w:rsidR="00DB6913" w:rsidRPr="00BF3830" w:rsidRDefault="00DB6913" w:rsidP="00DB286A">
                            <w:pPr>
                              <w:spacing w:before="0" w:after="0"/>
                              <w:rPr>
                                <w:sz w:val="22"/>
                                <w:szCs w:val="22"/>
                              </w:rPr>
                            </w:pPr>
                            <w:r w:rsidRPr="00BF3830">
                              <w:rPr>
                                <w:sz w:val="22"/>
                                <w:szCs w:val="22"/>
                              </w:rPr>
                              <w:t>Canberra ACT 2601 Australia</w:t>
                            </w:r>
                          </w:p>
                          <w:p w14:paraId="5E3E6CB4" w14:textId="77777777" w:rsidR="00DB6913" w:rsidRPr="00BF3830" w:rsidRDefault="005220C5" w:rsidP="00DB286A">
                            <w:pPr>
                              <w:spacing w:before="0" w:after="0"/>
                              <w:rPr>
                                <w:b/>
                                <w:bCs/>
                                <w:sz w:val="22"/>
                                <w:szCs w:val="22"/>
                              </w:rPr>
                            </w:pPr>
                            <w:hyperlink r:id="rId13" w:history="1">
                              <w:r w:rsidR="00DB6913" w:rsidRPr="00BF3830">
                                <w:rPr>
                                  <w:rStyle w:val="Hyperlink"/>
                                  <w:b/>
                                  <w:bCs/>
                                  <w:sz w:val="22"/>
                                  <w:szCs w:val="22"/>
                                  <w:u w:val="none"/>
                                </w:rPr>
                                <w:t>www.anu.edu.au</w:t>
                              </w:r>
                            </w:hyperlink>
                          </w:p>
                          <w:p w14:paraId="0B225629" w14:textId="77777777" w:rsidR="00DB6913" w:rsidRPr="00BF3830" w:rsidRDefault="00DB6913" w:rsidP="00E354A7">
                            <w:pPr>
                              <w:rPr>
                                <w:sz w:val="22"/>
                                <w:szCs w:val="22"/>
                              </w:rPr>
                            </w:pPr>
                            <w:r w:rsidRPr="00BF3830">
                              <w:rPr>
                                <w:sz w:val="22"/>
                                <w:szCs w:val="22"/>
                              </w:rPr>
                              <w:t>CRICOS Provider No. 00120C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4C2D69B" id="_x0000_t202" coordsize="21600,21600" o:spt="202" path="m,l,21600r21600,l21600,xe">
                <v:stroke joinstyle="miter"/>
                <v:path gradientshapeok="t" o:connecttype="rect"/>
              </v:shapetype>
              <v:shape id="Text Box 2" o:spid="_x0000_s1026" type="#_x0000_t202" style="position:absolute;left:0;text-align:left;margin-left:-13.45pt;margin-top:0;width:480.75pt;height:136.85pt;z-index:25167974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" stroked="f">
                <v:textbox style="mso-fit-shape-to-text:t">
                  <w:txbxContent>
                    <w:p w14:paraId="786DA7CA" w14:textId="77777777" w:rsidR="00DB6913" w:rsidRPr="00BF3830" w:rsidRDefault="00DB6913" w:rsidP="00DB286A">
                      <w:pPr>
                        <w:spacing w:before="0" w:after="0"/>
                        <w:rPr>
                          <w:sz w:val="22"/>
                          <w:szCs w:val="22"/>
                        </w:rPr>
                      </w:pPr>
                      <w:r w:rsidRPr="00BF3830">
                        <w:rPr>
                          <w:sz w:val="22"/>
                          <w:szCs w:val="22"/>
                        </w:rPr>
                        <w:t>ANU SMF / RSFAS / College of Business and Economics</w:t>
                      </w:r>
                    </w:p>
                    <w:p w14:paraId="21CAD59D" w14:textId="44AF490A" w:rsidR="00DB6913" w:rsidRPr="00BF3830" w:rsidRDefault="00DB6913" w:rsidP="00DB286A">
                      <w:pPr>
                        <w:spacing w:before="0" w:after="0"/>
                        <w:rPr>
                          <w:sz w:val="22"/>
                          <w:szCs w:val="22"/>
                        </w:rPr>
                      </w:pPr>
                      <w:r w:rsidRPr="00BF3830">
                        <w:rPr>
                          <w:sz w:val="22"/>
                          <w:szCs w:val="22"/>
                        </w:rPr>
                        <w:t>+61 2 6125 4626</w:t>
                      </w:r>
                    </w:p>
                    <w:p w14:paraId="7D71AACB" w14:textId="7C958B5E" w:rsidR="00DB6913" w:rsidRPr="00BF3830" w:rsidRDefault="00DB6913" w:rsidP="00DB286A">
                      <w:pPr>
                        <w:spacing w:before="240" w:after="240"/>
                        <w:rPr>
                          <w:sz w:val="22"/>
                          <w:szCs w:val="22"/>
                        </w:rPr>
                      </w:pPr>
                      <w:r w:rsidRPr="00BF3830">
                        <w:rPr>
                          <w:sz w:val="22"/>
                          <w:szCs w:val="22"/>
                        </w:rPr>
                        <w:t>SMF email: smf.rsfas@anu.edu.au</w:t>
                      </w:r>
                    </w:p>
                    <w:p w14:paraId="29B0BF93" w14:textId="77777777" w:rsidR="00DB6913" w:rsidRPr="00BF3830" w:rsidRDefault="00DB6913" w:rsidP="00DB286A">
                      <w:pPr>
                        <w:spacing w:before="0" w:after="0"/>
                        <w:rPr>
                          <w:sz w:val="22"/>
                          <w:szCs w:val="22"/>
                        </w:rPr>
                      </w:pPr>
                      <w:r w:rsidRPr="00BF3830">
                        <w:rPr>
                          <w:sz w:val="22"/>
                          <w:szCs w:val="22"/>
                        </w:rPr>
                        <w:t>The Australian National University</w:t>
                      </w:r>
                    </w:p>
                    <w:p w14:paraId="7CB24643" w14:textId="77777777" w:rsidR="00DB6913" w:rsidRPr="00BF3830" w:rsidRDefault="00DB6913" w:rsidP="00DB286A">
                      <w:pPr>
                        <w:spacing w:before="0" w:after="0"/>
                        <w:rPr>
                          <w:sz w:val="22"/>
                          <w:szCs w:val="22"/>
                        </w:rPr>
                      </w:pPr>
                      <w:r w:rsidRPr="00BF3830">
                        <w:rPr>
                          <w:sz w:val="22"/>
                          <w:szCs w:val="22"/>
                        </w:rPr>
                        <w:t>Canberra ACT 2601 Australia</w:t>
                      </w:r>
                    </w:p>
                    <w:p w14:paraId="5E3E6CB4" w14:textId="77777777" w:rsidR="00DB6913" w:rsidRPr="00BF3830" w:rsidRDefault="00DB6913" w:rsidP="00DB286A">
                      <w:pPr>
                        <w:spacing w:before="0" w:after="0"/>
                        <w:rPr>
                          <w:b/>
                          <w:bCs/>
                          <w:sz w:val="22"/>
                          <w:szCs w:val="22"/>
                        </w:rPr>
                      </w:pPr>
                      <w:hyperlink r:id="rId14" w:history="1">
                        <w:r w:rsidRPr="00BF3830">
                          <w:rPr>
                            <w:rStyle w:val="Hyperlink"/>
                            <w:b/>
                            <w:bCs/>
                            <w:sz w:val="22"/>
                            <w:szCs w:val="22"/>
                            <w:u w:val="none"/>
                          </w:rPr>
                          <w:t>www.anu.edu.au</w:t>
                        </w:r>
                      </w:hyperlink>
                    </w:p>
                    <w:p w14:paraId="0B225629" w14:textId="77777777" w:rsidR="00DB6913" w:rsidRPr="00BF3830" w:rsidRDefault="00DB6913" w:rsidP="00E354A7">
                      <w:pPr>
                        <w:rPr>
                          <w:sz w:val="22"/>
                          <w:szCs w:val="22"/>
                        </w:rPr>
                      </w:pPr>
                      <w:r w:rsidRPr="00BF3830">
                        <w:rPr>
                          <w:sz w:val="22"/>
                          <w:szCs w:val="22"/>
                        </w:rPr>
                        <w:t>CRICOS Provider No. 00120C</w:t>
                      </w:r>
                    </w:p>
                  </w:txbxContent>
                </v:textbox>
                <w10:wrap type="square" anchorx="margin" anchory="margin"/>
              </v:shape>
            </w:pict>
          </mc:Fallback>
        </mc:AlternateContent>
      </w:r>
    </w:p>
    <w:sectPr w:rsidR="00106FB4" w:rsidRPr="006771EF" w:rsidSect="007D766D">
      <w:headerReference w:type="default" r:id="rId15"/>
      <w:footerReference w:type="default" r:id="rId16"/>
      <w:pgSz w:w="11906" w:h="16838" w:code="9"/>
      <w:pgMar w:top="1152" w:right="1152" w:bottom="1152" w:left="1152" w:header="432"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BEB08" w14:textId="77777777" w:rsidR="00A931E9" w:rsidRDefault="00A931E9" w:rsidP="003C2B26">
      <w:r>
        <w:separator/>
      </w:r>
    </w:p>
  </w:endnote>
  <w:endnote w:type="continuationSeparator" w:id="0">
    <w:p w14:paraId="4FD365C9" w14:textId="77777777" w:rsidR="00A931E9" w:rsidRDefault="00A931E9" w:rsidP="003C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9EF4" w14:textId="5E030B64" w:rsidR="00DB6913" w:rsidRDefault="00DB6913" w:rsidP="00BF3830">
    <w:pPr>
      <w:pStyle w:val="Footer"/>
      <w:tabs>
        <w:tab w:val="left" w:pos="8910"/>
      </w:tabs>
      <w:jc w:val="left"/>
    </w:pPr>
    <w:r>
      <w:t xml:space="preserve">ANU SMF: Report for End of Semester 1, 2018  </w:t>
    </w:r>
    <w:r>
      <w:tab/>
      <w:t xml:space="preserve">Page </w:t>
    </w:r>
    <w:sdt>
      <w:sdtPr>
        <w:id w:val="-774936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220C5">
          <w:rPr>
            <w:noProof/>
          </w:rPr>
          <w:t>1</w:t>
        </w:r>
        <w:r>
          <w:rPr>
            <w:noProof/>
          </w:rPr>
          <w:fldChar w:fldCharType="end"/>
        </w:r>
      </w:sdtContent>
    </w:sdt>
  </w:p>
  <w:p w14:paraId="0018FCD9" w14:textId="240A81BB" w:rsidR="00DB6913" w:rsidRPr="00063CBE" w:rsidRDefault="00DB6913" w:rsidP="00BF3830">
    <w:pPr>
      <w:pStyle w:val="Footer"/>
      <w:tabs>
        <w:tab w:val="left" w:pos="8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13D75" w14:textId="77777777" w:rsidR="00A931E9" w:rsidRDefault="00A931E9" w:rsidP="003C2B26">
      <w:r>
        <w:separator/>
      </w:r>
    </w:p>
  </w:footnote>
  <w:footnote w:type="continuationSeparator" w:id="0">
    <w:p w14:paraId="773CB381" w14:textId="77777777" w:rsidR="00A931E9" w:rsidRDefault="00A931E9" w:rsidP="003C2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12D7" w14:textId="6C74804C" w:rsidR="00DB6913" w:rsidRDefault="00DB6913" w:rsidP="00380F71">
    <w:pPr>
      <w:pStyle w:val="Header"/>
      <w:tabs>
        <w:tab w:val="left" w:pos="360"/>
      </w:tabs>
      <w:spacing w:after="360"/>
      <w:jc w:val="left"/>
    </w:pPr>
    <w:r>
      <w:rPr>
        <w:noProof/>
        <w:lang w:eastAsia="en-AU"/>
      </w:rPr>
      <w:drawing>
        <wp:inline distT="0" distB="0" distL="0" distR="0" wp14:anchorId="2C0BE26B" wp14:editId="103E4310">
          <wp:extent cx="1658883" cy="576943"/>
          <wp:effectExtent l="0" t="0" r="0" b="0"/>
          <wp:docPr id="17" name="Picture 17" title="The Australian 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3829" cy="578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8CE1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D2607"/>
    <w:multiLevelType w:val="multilevel"/>
    <w:tmpl w:val="1FBCE51A"/>
    <w:numStyleLink w:val="BulletPoints"/>
  </w:abstractNum>
  <w:abstractNum w:abstractNumId="2" w15:restartNumberingAfterBreak="0">
    <w:nsid w:val="06FA62CD"/>
    <w:multiLevelType w:val="hybridMultilevel"/>
    <w:tmpl w:val="F2B6EAFC"/>
    <w:lvl w:ilvl="0" w:tplc="0C090001">
      <w:start w:val="1"/>
      <w:numFmt w:val="bullet"/>
      <w:lvlText w:val=""/>
      <w:lvlJc w:val="left"/>
      <w:pPr>
        <w:ind w:left="720" w:hanging="360"/>
      </w:pPr>
      <w:rPr>
        <w:rFonts w:ascii="Symbol" w:hAnsi="Symbol" w:hint="default"/>
      </w:rPr>
    </w:lvl>
    <w:lvl w:ilvl="1" w:tplc="F188B042">
      <w:start w:val="1"/>
      <w:numFmt w:val="bullet"/>
      <w:lvlText w:val="­"/>
      <w:lvlJc w:val="left"/>
      <w:pPr>
        <w:ind w:left="9810" w:hanging="360"/>
      </w:pPr>
      <w:rPr>
        <w:rFonts w:ascii="Times New Roman" w:hAnsi="Times New Roman" w:cs="Times New Roman" w:hint="default"/>
        <w:color w:val="000000" w:themeColor="text1"/>
      </w:rPr>
    </w:lvl>
    <w:lvl w:ilvl="2" w:tplc="0C090005">
      <w:start w:val="1"/>
      <w:numFmt w:val="bullet"/>
      <w:lvlText w:val=""/>
      <w:lvlJc w:val="left"/>
      <w:pPr>
        <w:ind w:left="2160" w:hanging="360"/>
      </w:pPr>
      <w:rPr>
        <w:rFonts w:ascii="Wingdings" w:hAnsi="Wingdings" w:hint="default"/>
      </w:rPr>
    </w:lvl>
    <w:lvl w:ilvl="3" w:tplc="F188B042">
      <w:start w:val="1"/>
      <w:numFmt w:val="bullet"/>
      <w:lvlText w:val="­"/>
      <w:lvlJc w:val="left"/>
      <w:pPr>
        <w:ind w:left="2880" w:hanging="360"/>
      </w:pPr>
      <w:rPr>
        <w:rFonts w:ascii="Times New Roman" w:hAnsi="Times New Roman" w:cs="Times New Roman" w:hint="default"/>
        <w:color w:val="000000" w:themeColor="text1"/>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A51C4"/>
    <w:multiLevelType w:val="multilevel"/>
    <w:tmpl w:val="0C09001D"/>
    <w:numStyleLink w:val="Style1"/>
  </w:abstractNum>
  <w:abstractNum w:abstractNumId="4" w15:restartNumberingAfterBreak="0">
    <w:nsid w:val="08624FB3"/>
    <w:multiLevelType w:val="hybridMultilevel"/>
    <w:tmpl w:val="9EFA44AE"/>
    <w:lvl w:ilvl="0" w:tplc="8062C9D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531E5"/>
    <w:multiLevelType w:val="hybridMultilevel"/>
    <w:tmpl w:val="B70A7D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3D5F1B"/>
    <w:multiLevelType w:val="multilevel"/>
    <w:tmpl w:val="1FBCE51A"/>
    <w:numStyleLink w:val="BulletPoints"/>
  </w:abstractNum>
  <w:abstractNum w:abstractNumId="7" w15:restartNumberingAfterBreak="0">
    <w:nsid w:val="1E491ECB"/>
    <w:multiLevelType w:val="multilevel"/>
    <w:tmpl w:val="1FBCE51A"/>
    <w:numStyleLink w:val="BulletPoints"/>
  </w:abstractNum>
  <w:abstractNum w:abstractNumId="8" w15:restartNumberingAfterBreak="0">
    <w:nsid w:val="1F9B2E52"/>
    <w:multiLevelType w:val="hybridMultilevel"/>
    <w:tmpl w:val="5BC402B2"/>
    <w:lvl w:ilvl="0" w:tplc="CF28BE3A">
      <w:start w:val="1"/>
      <w:numFmt w:val="bullet"/>
      <w:pStyle w:val="2ndIndentation"/>
      <w:lvlText w:val="­"/>
      <w:lvlJc w:val="left"/>
      <w:pPr>
        <w:ind w:left="1440" w:hanging="360"/>
      </w:pPr>
      <w:rPr>
        <w:rFonts w:ascii="Times New Roman" w:hAnsi="Times New Roman" w:cs="Times New Roman"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5625ED1"/>
    <w:multiLevelType w:val="multilevel"/>
    <w:tmpl w:val="1FBCE51A"/>
    <w:numStyleLink w:val="BulletPoints"/>
  </w:abstractNum>
  <w:abstractNum w:abstractNumId="10" w15:restartNumberingAfterBreak="0">
    <w:nsid w:val="2A361607"/>
    <w:multiLevelType w:val="hybridMultilevel"/>
    <w:tmpl w:val="8910BE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781E85"/>
    <w:multiLevelType w:val="hybridMultilevel"/>
    <w:tmpl w:val="C30E998E"/>
    <w:lvl w:ilvl="0" w:tplc="AF746DC0">
      <w:start w:val="1"/>
      <w:numFmt w:val="bullet"/>
      <w:lvlText w:val=""/>
      <w:lvlJc w:val="left"/>
      <w:pPr>
        <w:ind w:left="720" w:hanging="360"/>
      </w:pPr>
      <w:rPr>
        <w:rFonts w:ascii="Symbol" w:hAnsi="Symbol" w:hint="default"/>
        <w:color w:val="4472C4" w:themeColor="accent1"/>
      </w:rPr>
    </w:lvl>
    <w:lvl w:ilvl="1" w:tplc="67EADF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C73F6F"/>
    <w:multiLevelType w:val="hybridMultilevel"/>
    <w:tmpl w:val="839C78AE"/>
    <w:lvl w:ilvl="0" w:tplc="08090003">
      <w:start w:val="1"/>
      <w:numFmt w:val="bullet"/>
      <w:lvlText w:val="o"/>
      <w:lvlJc w:val="left"/>
      <w:pPr>
        <w:ind w:left="778" w:hanging="360"/>
      </w:pPr>
      <w:rPr>
        <w:rFonts w:ascii="Courier New" w:hAnsi="Courier New" w:cs="Courier New"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3" w15:restartNumberingAfterBreak="0">
    <w:nsid w:val="30380990"/>
    <w:multiLevelType w:val="hybridMultilevel"/>
    <w:tmpl w:val="07A49F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F14782"/>
    <w:multiLevelType w:val="hybridMultilevel"/>
    <w:tmpl w:val="2CA66A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931C95"/>
    <w:multiLevelType w:val="multilevel"/>
    <w:tmpl w:val="15ACAC36"/>
    <w:lvl w:ilvl="0">
      <w:start w:val="1"/>
      <w:numFmt w:val="decimal"/>
      <w:lvlText w:val="%1."/>
      <w:lvlJc w:val="left"/>
      <w:pPr>
        <w:ind w:left="480" w:hanging="480"/>
      </w:pPr>
      <w:rPr>
        <w:rFonts w:hint="default"/>
        <w:color w:val="4472C4" w:themeColor="accent1"/>
      </w:rPr>
    </w:lvl>
    <w:lvl w:ilvl="1">
      <w:start w:val="1"/>
      <w:numFmt w:val="lowerLetter"/>
      <w:lvlText w:val="%2."/>
      <w:lvlJc w:val="left"/>
      <w:pPr>
        <w:ind w:left="480" w:hanging="480"/>
      </w:pPr>
      <w:rPr>
        <w:rFonts w:hint="default"/>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EB182A"/>
    <w:multiLevelType w:val="hybridMultilevel"/>
    <w:tmpl w:val="7264FB9E"/>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F0F5162"/>
    <w:multiLevelType w:val="multilevel"/>
    <w:tmpl w:val="1EF273D0"/>
    <w:lvl w:ilvl="0">
      <w:start w:val="1"/>
      <w:numFmt w:val="upperLetter"/>
      <w:lvlText w:val="%1."/>
      <w:lvlJc w:val="left"/>
      <w:pPr>
        <w:ind w:left="720" w:hanging="360"/>
      </w:pPr>
      <w:rPr>
        <w:strike w:val="0"/>
        <w:dstrike w:val="0"/>
        <w:u w:val="none"/>
        <w:effect w:val="none"/>
      </w:rPr>
    </w:lvl>
    <w:lvl w:ilvl="1">
      <w:start w:val="1"/>
      <w:numFmt w:val="bullet"/>
      <w:lvlText w:val="-"/>
      <w:lvlJc w:val="left"/>
      <w:pPr>
        <w:ind w:left="1440" w:hanging="360"/>
      </w:pPr>
      <w:rPr>
        <w:rFonts w:ascii="Calibri" w:eastAsiaTheme="minorHAnsi" w:hAnsi="Calibri" w:cstheme="minorBidi"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41650EC7"/>
    <w:multiLevelType w:val="hybridMultilevel"/>
    <w:tmpl w:val="2606F7A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A573A"/>
    <w:multiLevelType w:val="hybridMultilevel"/>
    <w:tmpl w:val="D28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62422"/>
    <w:multiLevelType w:val="multilevel"/>
    <w:tmpl w:val="BDEE01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440363"/>
    <w:multiLevelType w:val="hybridMultilevel"/>
    <w:tmpl w:val="1FBCE51A"/>
    <w:lvl w:ilvl="0" w:tplc="CC207BDC">
      <w:start w:val="1"/>
      <w:numFmt w:val="bullet"/>
      <w:pStyle w:val="ListParagraph"/>
      <w:lvlText w:val=""/>
      <w:lvlJc w:val="left"/>
      <w:pPr>
        <w:ind w:left="644" w:hanging="360"/>
      </w:pPr>
      <w:rPr>
        <w:rFonts w:ascii="Symbol" w:hAnsi="Symbol" w:hint="default"/>
      </w:rPr>
    </w:lvl>
    <w:lvl w:ilvl="1" w:tplc="443289AE">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B6E7B5B"/>
    <w:multiLevelType w:val="multilevel"/>
    <w:tmpl w:val="0C09001D"/>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4C3EF9"/>
    <w:multiLevelType w:val="hybridMultilevel"/>
    <w:tmpl w:val="903A8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FF36AA"/>
    <w:multiLevelType w:val="hybridMultilevel"/>
    <w:tmpl w:val="D2B622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8BB5624"/>
    <w:multiLevelType w:val="multilevel"/>
    <w:tmpl w:val="1FBCE51A"/>
    <w:numStyleLink w:val="BulletPoints"/>
  </w:abstractNum>
  <w:abstractNum w:abstractNumId="27" w15:restartNumberingAfterBreak="0">
    <w:nsid w:val="60E32581"/>
    <w:multiLevelType w:val="hybridMultilevel"/>
    <w:tmpl w:val="E5C0BB22"/>
    <w:lvl w:ilvl="0" w:tplc="058AEAB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8021C"/>
    <w:multiLevelType w:val="multilevel"/>
    <w:tmpl w:val="1FBCE51A"/>
    <w:numStyleLink w:val="BulletPoints"/>
  </w:abstractNum>
  <w:abstractNum w:abstractNumId="29" w15:restartNumberingAfterBreak="0">
    <w:nsid w:val="663F3F1A"/>
    <w:multiLevelType w:val="hybridMultilevel"/>
    <w:tmpl w:val="1C8C9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A4504D"/>
    <w:multiLevelType w:val="multilevel"/>
    <w:tmpl w:val="1FBCE51A"/>
    <w:numStyleLink w:val="BulletPoints"/>
  </w:abstractNum>
  <w:abstractNum w:abstractNumId="31" w15:restartNumberingAfterBreak="0">
    <w:nsid w:val="68683197"/>
    <w:multiLevelType w:val="multilevel"/>
    <w:tmpl w:val="1FBCE51A"/>
    <w:numStyleLink w:val="BulletPoints"/>
  </w:abstractNum>
  <w:abstractNum w:abstractNumId="32" w15:restartNumberingAfterBreak="0">
    <w:nsid w:val="6BF614DE"/>
    <w:multiLevelType w:val="hybridMultilevel"/>
    <w:tmpl w:val="BA56FC54"/>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C601B0"/>
    <w:multiLevelType w:val="hybridMultilevel"/>
    <w:tmpl w:val="CC9E3F6C"/>
    <w:lvl w:ilvl="0" w:tplc="EDE05434">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750807FC"/>
    <w:multiLevelType w:val="multilevel"/>
    <w:tmpl w:val="1FBCE51A"/>
    <w:styleLink w:val="BulletPoints"/>
    <w:lvl w:ilvl="0">
      <w:start w:val="1"/>
      <w:numFmt w:val="bullet"/>
      <w:lvlText w:val=""/>
      <w:lvlJc w:val="left"/>
      <w:pPr>
        <w:ind w:left="644" w:hanging="360"/>
      </w:pPr>
      <w:rPr>
        <w:rFonts w:ascii="Symbol" w:hAnsi="Symbol" w:hint="default"/>
      </w:rPr>
    </w:lvl>
    <w:lvl w:ilvl="1">
      <w:start w:val="1"/>
      <w:numFmt w:val="bullet"/>
      <w:lvlText w:val=""/>
      <w:lvlJc w:val="left"/>
      <w:pPr>
        <w:ind w:left="1080" w:hanging="360"/>
      </w:pPr>
      <w:rPr>
        <w:rFonts w:ascii="Symbol" w:hAnsi="Symbol" w:hint="default"/>
        <w:b w:val="0"/>
        <w:i w:val="0"/>
        <w:spacing w:val="0"/>
        <w:sz w:val="2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CEC4C05"/>
    <w:multiLevelType w:val="hybridMultilevel"/>
    <w:tmpl w:val="56CC52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2"/>
  </w:num>
  <w:num w:numId="4">
    <w:abstractNumId w:val="35"/>
  </w:num>
  <w:num w:numId="5">
    <w:abstractNumId w:val="10"/>
  </w:num>
  <w:num w:numId="6">
    <w:abstractNumId w:val="13"/>
  </w:num>
  <w:num w:numId="7">
    <w:abstractNumId w:val="14"/>
  </w:num>
  <w:num w:numId="8">
    <w:abstractNumId w:val="25"/>
  </w:num>
  <w:num w:numId="9">
    <w:abstractNumId w:val="16"/>
  </w:num>
  <w:num w:numId="10">
    <w:abstractNumId w:val="32"/>
  </w:num>
  <w:num w:numId="11">
    <w:abstractNumId w:val="8"/>
  </w:num>
  <w:num w:numId="12">
    <w:abstractNumId w:val="34"/>
  </w:num>
  <w:num w:numId="13">
    <w:abstractNumId w:val="7"/>
  </w:num>
  <w:num w:numId="14">
    <w:abstractNumId w:val="6"/>
  </w:num>
  <w:num w:numId="15">
    <w:abstractNumId w:val="22"/>
  </w:num>
  <w:num w:numId="16">
    <w:abstractNumId w:val="3"/>
  </w:num>
  <w:num w:numId="17">
    <w:abstractNumId w:val="30"/>
  </w:num>
  <w:num w:numId="18">
    <w:abstractNumId w:val="1"/>
  </w:num>
  <w:num w:numId="19">
    <w:abstractNumId w:val="26"/>
  </w:num>
  <w:num w:numId="20">
    <w:abstractNumId w:val="21"/>
  </w:num>
  <w:num w:numId="21">
    <w:abstractNumId w:val="31"/>
  </w:num>
  <w:num w:numId="22">
    <w:abstractNumId w:val="9"/>
  </w:num>
  <w:num w:numId="23">
    <w:abstractNumId w:val="29"/>
  </w:num>
  <w:num w:numId="24">
    <w:abstractNumId w:val="4"/>
  </w:num>
  <w:num w:numId="25">
    <w:abstractNumId w:val="19"/>
  </w:num>
  <w:num w:numId="26">
    <w:abstractNumId w:val="5"/>
  </w:num>
  <w:num w:numId="27">
    <w:abstractNumId w:val="18"/>
  </w:num>
  <w:num w:numId="2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0"/>
  </w:num>
  <w:num w:numId="31">
    <w:abstractNumId w:val="11"/>
  </w:num>
  <w:num w:numId="32">
    <w:abstractNumId w:val="15"/>
  </w:num>
  <w:num w:numId="33">
    <w:abstractNumId w:val="2"/>
  </w:num>
  <w:num w:numId="34">
    <w:abstractNumId w:val="24"/>
  </w:num>
  <w:num w:numId="35">
    <w:abstractNumId w:val="0"/>
  </w:num>
  <w:num w:numId="36">
    <w:abstractNumId w:val="3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4C7DE7"/>
    <w:rsid w:val="000048DC"/>
    <w:rsid w:val="00013223"/>
    <w:rsid w:val="000150BD"/>
    <w:rsid w:val="000243E0"/>
    <w:rsid w:val="000305AA"/>
    <w:rsid w:val="00032FD1"/>
    <w:rsid w:val="00044DD5"/>
    <w:rsid w:val="00045263"/>
    <w:rsid w:val="000464A2"/>
    <w:rsid w:val="0006259C"/>
    <w:rsid w:val="00063CBE"/>
    <w:rsid w:val="00073060"/>
    <w:rsid w:val="0008746E"/>
    <w:rsid w:val="00091CA7"/>
    <w:rsid w:val="000A270B"/>
    <w:rsid w:val="000B15D1"/>
    <w:rsid w:val="000B46C2"/>
    <w:rsid w:val="000C0735"/>
    <w:rsid w:val="000C4E45"/>
    <w:rsid w:val="000C534C"/>
    <w:rsid w:val="000D4CCE"/>
    <w:rsid w:val="000E3A98"/>
    <w:rsid w:val="000F2315"/>
    <w:rsid w:val="000F38AF"/>
    <w:rsid w:val="00106FB4"/>
    <w:rsid w:val="00110B04"/>
    <w:rsid w:val="00111B39"/>
    <w:rsid w:val="0013572D"/>
    <w:rsid w:val="00136215"/>
    <w:rsid w:val="00141975"/>
    <w:rsid w:val="00142ADC"/>
    <w:rsid w:val="001524E5"/>
    <w:rsid w:val="001619C5"/>
    <w:rsid w:val="0016207A"/>
    <w:rsid w:val="00166D01"/>
    <w:rsid w:val="0017536B"/>
    <w:rsid w:val="001820E1"/>
    <w:rsid w:val="001827D2"/>
    <w:rsid w:val="00190210"/>
    <w:rsid w:val="00190967"/>
    <w:rsid w:val="001942A3"/>
    <w:rsid w:val="00195F3E"/>
    <w:rsid w:val="001A4BC7"/>
    <w:rsid w:val="001A5ADF"/>
    <w:rsid w:val="001A64FF"/>
    <w:rsid w:val="001B2C22"/>
    <w:rsid w:val="001C0B1C"/>
    <w:rsid w:val="001C16C0"/>
    <w:rsid w:val="001C22F4"/>
    <w:rsid w:val="001C7CD7"/>
    <w:rsid w:val="001E0DBA"/>
    <w:rsid w:val="00207A31"/>
    <w:rsid w:val="00207E27"/>
    <w:rsid w:val="00230EAD"/>
    <w:rsid w:val="002312F9"/>
    <w:rsid w:val="002334C6"/>
    <w:rsid w:val="002446FF"/>
    <w:rsid w:val="00245787"/>
    <w:rsid w:val="00246E78"/>
    <w:rsid w:val="00250DAF"/>
    <w:rsid w:val="0026207C"/>
    <w:rsid w:val="00262118"/>
    <w:rsid w:val="00271152"/>
    <w:rsid w:val="00277953"/>
    <w:rsid w:val="00282969"/>
    <w:rsid w:val="00294A3F"/>
    <w:rsid w:val="002A1F7D"/>
    <w:rsid w:val="002D0099"/>
    <w:rsid w:val="002E3DA2"/>
    <w:rsid w:val="002E6CA5"/>
    <w:rsid w:val="002F0426"/>
    <w:rsid w:val="002F1E7D"/>
    <w:rsid w:val="0031627A"/>
    <w:rsid w:val="003439A1"/>
    <w:rsid w:val="00343BE1"/>
    <w:rsid w:val="00343EF0"/>
    <w:rsid w:val="003600A7"/>
    <w:rsid w:val="00362564"/>
    <w:rsid w:val="00362AF8"/>
    <w:rsid w:val="00375262"/>
    <w:rsid w:val="00380F71"/>
    <w:rsid w:val="003810FD"/>
    <w:rsid w:val="003837EC"/>
    <w:rsid w:val="00396F19"/>
    <w:rsid w:val="003A4744"/>
    <w:rsid w:val="003A793C"/>
    <w:rsid w:val="003B5862"/>
    <w:rsid w:val="003C2B26"/>
    <w:rsid w:val="003C4636"/>
    <w:rsid w:val="003C53D3"/>
    <w:rsid w:val="003D43F9"/>
    <w:rsid w:val="003D4B4A"/>
    <w:rsid w:val="003E4DFD"/>
    <w:rsid w:val="003E6CDB"/>
    <w:rsid w:val="003F4F26"/>
    <w:rsid w:val="00403808"/>
    <w:rsid w:val="00406DC8"/>
    <w:rsid w:val="004256AA"/>
    <w:rsid w:val="004405F4"/>
    <w:rsid w:val="00444B57"/>
    <w:rsid w:val="00446C28"/>
    <w:rsid w:val="00447910"/>
    <w:rsid w:val="00461C51"/>
    <w:rsid w:val="00476B72"/>
    <w:rsid w:val="0048492A"/>
    <w:rsid w:val="00486335"/>
    <w:rsid w:val="00487F4A"/>
    <w:rsid w:val="004B3FDD"/>
    <w:rsid w:val="004C7DE7"/>
    <w:rsid w:val="004E6241"/>
    <w:rsid w:val="004E67DA"/>
    <w:rsid w:val="004F5205"/>
    <w:rsid w:val="005046A5"/>
    <w:rsid w:val="00506F52"/>
    <w:rsid w:val="00515130"/>
    <w:rsid w:val="00517A26"/>
    <w:rsid w:val="005220C5"/>
    <w:rsid w:val="0054287E"/>
    <w:rsid w:val="005462FB"/>
    <w:rsid w:val="00552DDA"/>
    <w:rsid w:val="0056236C"/>
    <w:rsid w:val="00581C04"/>
    <w:rsid w:val="005D7952"/>
    <w:rsid w:val="005E54E3"/>
    <w:rsid w:val="0060323A"/>
    <w:rsid w:val="0062203B"/>
    <w:rsid w:val="00627737"/>
    <w:rsid w:val="00631A09"/>
    <w:rsid w:val="006365E1"/>
    <w:rsid w:val="00637545"/>
    <w:rsid w:val="00654B31"/>
    <w:rsid w:val="0066393E"/>
    <w:rsid w:val="006675A0"/>
    <w:rsid w:val="006771EF"/>
    <w:rsid w:val="00693ECF"/>
    <w:rsid w:val="006955D2"/>
    <w:rsid w:val="006C4354"/>
    <w:rsid w:val="006E14F1"/>
    <w:rsid w:val="006E20CD"/>
    <w:rsid w:val="006E40EA"/>
    <w:rsid w:val="006F555E"/>
    <w:rsid w:val="00701264"/>
    <w:rsid w:val="007038E8"/>
    <w:rsid w:val="0073784E"/>
    <w:rsid w:val="00743C04"/>
    <w:rsid w:val="007445EE"/>
    <w:rsid w:val="00744F4F"/>
    <w:rsid w:val="007638BA"/>
    <w:rsid w:val="00770BE9"/>
    <w:rsid w:val="007728C6"/>
    <w:rsid w:val="0077433F"/>
    <w:rsid w:val="00782F22"/>
    <w:rsid w:val="0078560F"/>
    <w:rsid w:val="00786116"/>
    <w:rsid w:val="0078790E"/>
    <w:rsid w:val="007B6083"/>
    <w:rsid w:val="007C7E60"/>
    <w:rsid w:val="007D1000"/>
    <w:rsid w:val="007D766D"/>
    <w:rsid w:val="007E64A2"/>
    <w:rsid w:val="007F06F5"/>
    <w:rsid w:val="007F6270"/>
    <w:rsid w:val="00804DA2"/>
    <w:rsid w:val="0080761D"/>
    <w:rsid w:val="00813981"/>
    <w:rsid w:val="00813D5E"/>
    <w:rsid w:val="00814C66"/>
    <w:rsid w:val="00825F71"/>
    <w:rsid w:val="008403C0"/>
    <w:rsid w:val="0084472D"/>
    <w:rsid w:val="00860B43"/>
    <w:rsid w:val="00882D6F"/>
    <w:rsid w:val="0089543F"/>
    <w:rsid w:val="008A47BC"/>
    <w:rsid w:val="008B24A4"/>
    <w:rsid w:val="008F6B05"/>
    <w:rsid w:val="009142CC"/>
    <w:rsid w:val="00930A38"/>
    <w:rsid w:val="009720B3"/>
    <w:rsid w:val="00973FCE"/>
    <w:rsid w:val="00986ED0"/>
    <w:rsid w:val="009914C2"/>
    <w:rsid w:val="009A2BF2"/>
    <w:rsid w:val="009A37EB"/>
    <w:rsid w:val="009A3BDB"/>
    <w:rsid w:val="009C40C1"/>
    <w:rsid w:val="009D2BB3"/>
    <w:rsid w:val="009D3DC0"/>
    <w:rsid w:val="009E2493"/>
    <w:rsid w:val="009E3FC3"/>
    <w:rsid w:val="009E4370"/>
    <w:rsid w:val="009F00DF"/>
    <w:rsid w:val="009F285C"/>
    <w:rsid w:val="00A12F13"/>
    <w:rsid w:val="00A227E4"/>
    <w:rsid w:val="00A2330C"/>
    <w:rsid w:val="00A318F8"/>
    <w:rsid w:val="00A41D7D"/>
    <w:rsid w:val="00A504B6"/>
    <w:rsid w:val="00A647DD"/>
    <w:rsid w:val="00A650ED"/>
    <w:rsid w:val="00A654AE"/>
    <w:rsid w:val="00A703D8"/>
    <w:rsid w:val="00A74669"/>
    <w:rsid w:val="00A931E9"/>
    <w:rsid w:val="00AA6C20"/>
    <w:rsid w:val="00AB3604"/>
    <w:rsid w:val="00AB58A2"/>
    <w:rsid w:val="00AD3A6F"/>
    <w:rsid w:val="00AE74E4"/>
    <w:rsid w:val="00B019FF"/>
    <w:rsid w:val="00B01B02"/>
    <w:rsid w:val="00B15DE4"/>
    <w:rsid w:val="00B23B4A"/>
    <w:rsid w:val="00B26FDB"/>
    <w:rsid w:val="00B346AB"/>
    <w:rsid w:val="00B37E41"/>
    <w:rsid w:val="00B403F3"/>
    <w:rsid w:val="00B43743"/>
    <w:rsid w:val="00B51B89"/>
    <w:rsid w:val="00B51CE2"/>
    <w:rsid w:val="00B66D5B"/>
    <w:rsid w:val="00B76460"/>
    <w:rsid w:val="00B779E2"/>
    <w:rsid w:val="00B91CDD"/>
    <w:rsid w:val="00B94761"/>
    <w:rsid w:val="00BA1264"/>
    <w:rsid w:val="00BB0AF0"/>
    <w:rsid w:val="00BB46E2"/>
    <w:rsid w:val="00BD1224"/>
    <w:rsid w:val="00BD202E"/>
    <w:rsid w:val="00BD7A47"/>
    <w:rsid w:val="00BE3F9B"/>
    <w:rsid w:val="00BE5F69"/>
    <w:rsid w:val="00BF3830"/>
    <w:rsid w:val="00BF5BC0"/>
    <w:rsid w:val="00C17C05"/>
    <w:rsid w:val="00C25D62"/>
    <w:rsid w:val="00C43657"/>
    <w:rsid w:val="00C43F53"/>
    <w:rsid w:val="00C535E5"/>
    <w:rsid w:val="00C661E0"/>
    <w:rsid w:val="00C66578"/>
    <w:rsid w:val="00C74611"/>
    <w:rsid w:val="00C92CA9"/>
    <w:rsid w:val="00CA1115"/>
    <w:rsid w:val="00CA3591"/>
    <w:rsid w:val="00CA6807"/>
    <w:rsid w:val="00CB56D2"/>
    <w:rsid w:val="00CC22A9"/>
    <w:rsid w:val="00CD04E3"/>
    <w:rsid w:val="00CD513E"/>
    <w:rsid w:val="00CE2E1E"/>
    <w:rsid w:val="00CE7A67"/>
    <w:rsid w:val="00D00196"/>
    <w:rsid w:val="00D1292D"/>
    <w:rsid w:val="00D22FCC"/>
    <w:rsid w:val="00D24EF8"/>
    <w:rsid w:val="00D34922"/>
    <w:rsid w:val="00D35F58"/>
    <w:rsid w:val="00D601DC"/>
    <w:rsid w:val="00D719BE"/>
    <w:rsid w:val="00D939AC"/>
    <w:rsid w:val="00D95427"/>
    <w:rsid w:val="00D955D9"/>
    <w:rsid w:val="00DA0F9D"/>
    <w:rsid w:val="00DA4CC1"/>
    <w:rsid w:val="00DB286A"/>
    <w:rsid w:val="00DB3178"/>
    <w:rsid w:val="00DB6913"/>
    <w:rsid w:val="00DC1AA9"/>
    <w:rsid w:val="00DC2C08"/>
    <w:rsid w:val="00DC49D6"/>
    <w:rsid w:val="00DD448F"/>
    <w:rsid w:val="00DD6DC7"/>
    <w:rsid w:val="00DD7337"/>
    <w:rsid w:val="00DE03C7"/>
    <w:rsid w:val="00DF402A"/>
    <w:rsid w:val="00DF6E90"/>
    <w:rsid w:val="00E02AC4"/>
    <w:rsid w:val="00E212A4"/>
    <w:rsid w:val="00E340DF"/>
    <w:rsid w:val="00E354A7"/>
    <w:rsid w:val="00E419DD"/>
    <w:rsid w:val="00E41E08"/>
    <w:rsid w:val="00E700A2"/>
    <w:rsid w:val="00E74876"/>
    <w:rsid w:val="00E75E0D"/>
    <w:rsid w:val="00E76AAD"/>
    <w:rsid w:val="00E82EAA"/>
    <w:rsid w:val="00EB07F5"/>
    <w:rsid w:val="00EB48C8"/>
    <w:rsid w:val="00EC07D0"/>
    <w:rsid w:val="00EC5617"/>
    <w:rsid w:val="00ED6FCC"/>
    <w:rsid w:val="00F123D4"/>
    <w:rsid w:val="00F1370E"/>
    <w:rsid w:val="00F25224"/>
    <w:rsid w:val="00F34698"/>
    <w:rsid w:val="00F47D1F"/>
    <w:rsid w:val="00F54FE3"/>
    <w:rsid w:val="00F56E4C"/>
    <w:rsid w:val="00F6193C"/>
    <w:rsid w:val="00F62983"/>
    <w:rsid w:val="00F649E2"/>
    <w:rsid w:val="00F74F97"/>
    <w:rsid w:val="00F93672"/>
    <w:rsid w:val="00FA079A"/>
    <w:rsid w:val="00FE13EC"/>
    <w:rsid w:val="00FF31DC"/>
    <w:rsid w:val="00FF5D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E1B874"/>
  <w15:docId w15:val="{EF0B3F8D-AD3B-A040-977E-05FF5D6A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AU" w:eastAsia="en-US" w:bidi="ar-SA"/>
      </w:rPr>
    </w:rPrDefault>
    <w:pPrDefault>
      <w:pPr>
        <w:spacing w:before="120"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6D2"/>
    <w:pPr>
      <w:widowControl w:val="0"/>
      <w:spacing w:line="252" w:lineRule="auto"/>
      <w:jc w:val="both"/>
    </w:pPr>
    <w:rPr>
      <w:rFonts w:ascii="Times New Roman" w:hAnsi="Times New Roman" w:cs="Times New Roman"/>
    </w:rPr>
  </w:style>
  <w:style w:type="paragraph" w:styleId="Heading1">
    <w:name w:val="heading 1"/>
    <w:basedOn w:val="Normal"/>
    <w:next w:val="Normal"/>
    <w:link w:val="Heading1Char"/>
    <w:uiPriority w:val="9"/>
    <w:qFormat/>
    <w:rsid w:val="00C43F53"/>
    <w:pPr>
      <w:keepNext/>
      <w:keepLines/>
      <w:tabs>
        <w:tab w:val="left" w:pos="220"/>
        <w:tab w:val="left" w:pos="720"/>
      </w:tabs>
      <w:spacing w:before="240" w:after="0"/>
      <w:outlineLvl w:val="0"/>
    </w:pPr>
    <w:rPr>
      <w:rFonts w:eastAsiaTheme="minorEastAsia"/>
      <w:b/>
      <w:color w:val="4472C4" w:themeColor="accent1"/>
      <w:spacing w:val="15"/>
      <w:sz w:val="32"/>
      <w:szCs w:val="32"/>
    </w:rPr>
  </w:style>
  <w:style w:type="paragraph" w:styleId="Heading2">
    <w:name w:val="heading 2"/>
    <w:basedOn w:val="Normal"/>
    <w:next w:val="Normal"/>
    <w:link w:val="Heading2Char"/>
    <w:autoRedefine/>
    <w:uiPriority w:val="9"/>
    <w:qFormat/>
    <w:rsid w:val="00813981"/>
    <w:pPr>
      <w:keepNext/>
      <w:keepLines/>
      <w:tabs>
        <w:tab w:val="left" w:pos="220"/>
        <w:tab w:val="left" w:pos="720"/>
      </w:tabs>
      <w:spacing w:before="240" w:after="0"/>
      <w:outlineLvl w:val="1"/>
    </w:pPr>
    <w:rPr>
      <w:rFonts w:eastAsiaTheme="minorEastAsia"/>
      <w:b/>
      <w:color w:val="4472C4" w:themeColor="accent1"/>
      <w:spacing w:val="15"/>
      <w:sz w:val="22"/>
      <w:szCs w:val="22"/>
    </w:rPr>
  </w:style>
  <w:style w:type="paragraph" w:styleId="Heading3">
    <w:name w:val="heading 3"/>
    <w:basedOn w:val="Heading2"/>
    <w:next w:val="Normal"/>
    <w:link w:val="Heading3Char"/>
    <w:uiPriority w:val="9"/>
    <w:qFormat/>
    <w:rsid w:val="00C43F53"/>
    <w:pPr>
      <w:outlineLvl w:val="2"/>
    </w:pPr>
  </w:style>
  <w:style w:type="paragraph" w:styleId="Heading4">
    <w:name w:val="heading 4"/>
    <w:basedOn w:val="Normal"/>
    <w:next w:val="Normal"/>
    <w:link w:val="Heading4Char"/>
    <w:uiPriority w:val="9"/>
    <w:qFormat/>
    <w:rsid w:val="000048DC"/>
    <w:pPr>
      <w:keepNext/>
      <w:keepLines/>
      <w:tabs>
        <w:tab w:val="left" w:pos="220"/>
        <w:tab w:val="left" w:pos="720"/>
      </w:tabs>
      <w:spacing w:before="240" w:after="0"/>
      <w:outlineLvl w:val="3"/>
    </w:pPr>
    <w:rPr>
      <w:rFonts w:eastAsia="Calibri"/>
      <w:b/>
      <w:i/>
      <w:lang w:val="en-US" w:eastAsia="en-GB"/>
    </w:rPr>
  </w:style>
  <w:style w:type="paragraph" w:styleId="Heading5">
    <w:name w:val="heading 5"/>
    <w:basedOn w:val="Normal"/>
    <w:next w:val="Normal"/>
    <w:link w:val="Heading5Char"/>
    <w:autoRedefine/>
    <w:uiPriority w:val="9"/>
    <w:unhideWhenUsed/>
    <w:qFormat/>
    <w:rsid w:val="003C2B26"/>
    <w:p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FD1"/>
    <w:pPr>
      <w:numPr>
        <w:numId w:val="1"/>
      </w:numPr>
      <w:contextualSpacing/>
    </w:pPr>
  </w:style>
  <w:style w:type="character" w:customStyle="1" w:styleId="Heading1Char">
    <w:name w:val="Heading 1 Char"/>
    <w:basedOn w:val="DefaultParagraphFont"/>
    <w:link w:val="Heading1"/>
    <w:uiPriority w:val="9"/>
    <w:rsid w:val="00C43F53"/>
    <w:rPr>
      <w:rFonts w:ascii="Times New Roman" w:eastAsiaTheme="minorEastAsia" w:hAnsi="Times New Roman" w:cs="Times New Roman"/>
      <w:b/>
      <w:color w:val="4472C4" w:themeColor="accent1"/>
      <w:spacing w:val="15"/>
      <w:sz w:val="32"/>
      <w:szCs w:val="32"/>
    </w:rPr>
  </w:style>
  <w:style w:type="character" w:customStyle="1" w:styleId="Heading2Char">
    <w:name w:val="Heading 2 Char"/>
    <w:basedOn w:val="DefaultParagraphFont"/>
    <w:link w:val="Heading2"/>
    <w:uiPriority w:val="9"/>
    <w:rsid w:val="00813981"/>
    <w:rPr>
      <w:rFonts w:ascii="Times New Roman" w:eastAsiaTheme="minorEastAsia" w:hAnsi="Times New Roman" w:cs="Times New Roman"/>
      <w:b/>
      <w:color w:val="4472C4" w:themeColor="accent1"/>
      <w:spacing w:val="15"/>
      <w:sz w:val="22"/>
      <w:szCs w:val="22"/>
    </w:rPr>
  </w:style>
  <w:style w:type="character" w:customStyle="1" w:styleId="Heading3Char">
    <w:name w:val="Heading 3 Char"/>
    <w:basedOn w:val="DefaultParagraphFont"/>
    <w:link w:val="Heading3"/>
    <w:uiPriority w:val="9"/>
    <w:rsid w:val="00C43F53"/>
    <w:rPr>
      <w:rFonts w:ascii="Times New Roman" w:eastAsiaTheme="minorEastAsia" w:hAnsi="Times New Roman" w:cs="Times New Roman"/>
      <w:b/>
      <w:color w:val="4472C4" w:themeColor="accent1"/>
      <w:spacing w:val="15"/>
    </w:rPr>
  </w:style>
  <w:style w:type="character" w:customStyle="1" w:styleId="Heading4Char">
    <w:name w:val="Heading 4 Char"/>
    <w:basedOn w:val="DefaultParagraphFont"/>
    <w:link w:val="Heading4"/>
    <w:uiPriority w:val="9"/>
    <w:rsid w:val="00406DC8"/>
    <w:rPr>
      <w:rFonts w:ascii="Times New Roman" w:eastAsia="Calibri" w:hAnsi="Times New Roman" w:cs="Times New Roman"/>
      <w:b/>
      <w:i/>
      <w:lang w:val="en-US" w:eastAsia="en-GB"/>
    </w:rPr>
  </w:style>
  <w:style w:type="paragraph" w:styleId="Title">
    <w:name w:val="Title"/>
    <w:basedOn w:val="Normal"/>
    <w:next w:val="Normal"/>
    <w:link w:val="TitleChar"/>
    <w:uiPriority w:val="10"/>
    <w:qFormat/>
    <w:rsid w:val="003C53D3"/>
    <w:pPr>
      <w:spacing w:before="0"/>
      <w:jc w:val="center"/>
    </w:pPr>
    <w:rPr>
      <w:rFonts w:eastAsiaTheme="majorEastAsia" w:cstheme="majorBidi"/>
      <w:b/>
      <w:spacing w:val="-10"/>
      <w:kern w:val="28"/>
      <w:sz w:val="48"/>
      <w:szCs w:val="48"/>
    </w:rPr>
  </w:style>
  <w:style w:type="character" w:customStyle="1" w:styleId="TitleChar">
    <w:name w:val="Title Char"/>
    <w:basedOn w:val="DefaultParagraphFont"/>
    <w:link w:val="Title"/>
    <w:uiPriority w:val="10"/>
    <w:rsid w:val="003C53D3"/>
    <w:rPr>
      <w:rFonts w:ascii="Times New Roman" w:eastAsiaTheme="majorEastAsia" w:hAnsi="Times New Roman" w:cstheme="majorBidi"/>
      <w:b/>
      <w:spacing w:val="-10"/>
      <w:kern w:val="28"/>
      <w:sz w:val="48"/>
      <w:szCs w:val="48"/>
    </w:rPr>
  </w:style>
  <w:style w:type="paragraph" w:styleId="Subtitle">
    <w:name w:val="Subtitle"/>
    <w:basedOn w:val="Normal"/>
    <w:next w:val="Normal"/>
    <w:link w:val="SubtitleChar"/>
    <w:uiPriority w:val="11"/>
    <w:qFormat/>
    <w:rsid w:val="003C53D3"/>
    <w:pPr>
      <w:spacing w:before="0"/>
      <w:jc w:val="center"/>
    </w:pPr>
    <w:rPr>
      <w:rFonts w:eastAsiaTheme="minorEastAsia" w:cstheme="minorBidi"/>
      <w:b/>
      <w:color w:val="4472C4" w:themeColor="accent1"/>
      <w:spacing w:val="15"/>
      <w:sz w:val="48"/>
      <w:szCs w:val="22"/>
    </w:rPr>
  </w:style>
  <w:style w:type="character" w:customStyle="1" w:styleId="SubtitleChar">
    <w:name w:val="Subtitle Char"/>
    <w:basedOn w:val="DefaultParagraphFont"/>
    <w:link w:val="Subtitle"/>
    <w:uiPriority w:val="11"/>
    <w:rsid w:val="003C53D3"/>
    <w:rPr>
      <w:rFonts w:ascii="Times New Roman" w:eastAsiaTheme="minorEastAsia" w:hAnsi="Times New Roman"/>
      <w:b/>
      <w:color w:val="4472C4" w:themeColor="accent1"/>
      <w:spacing w:val="15"/>
      <w:sz w:val="48"/>
      <w:szCs w:val="22"/>
    </w:rPr>
  </w:style>
  <w:style w:type="paragraph" w:styleId="Header">
    <w:name w:val="header"/>
    <w:basedOn w:val="Normal"/>
    <w:link w:val="HeaderChar"/>
    <w:uiPriority w:val="99"/>
    <w:qFormat/>
    <w:rsid w:val="00CE2E1E"/>
    <w:pPr>
      <w:tabs>
        <w:tab w:val="center" w:pos="4513"/>
        <w:tab w:val="right" w:pos="9026"/>
      </w:tabs>
      <w:spacing w:before="0" w:after="0" w:line="240" w:lineRule="auto"/>
      <w:jc w:val="right"/>
    </w:pPr>
    <w:rPr>
      <w:sz w:val="20"/>
    </w:rPr>
  </w:style>
  <w:style w:type="character" w:customStyle="1" w:styleId="HeaderChar">
    <w:name w:val="Header Char"/>
    <w:basedOn w:val="DefaultParagraphFont"/>
    <w:link w:val="Header"/>
    <w:uiPriority w:val="99"/>
    <w:rsid w:val="00CE2E1E"/>
    <w:rPr>
      <w:sz w:val="20"/>
    </w:rPr>
  </w:style>
  <w:style w:type="paragraph" w:styleId="Footer">
    <w:name w:val="footer"/>
    <w:basedOn w:val="FootnoteText"/>
    <w:link w:val="FooterChar"/>
    <w:uiPriority w:val="99"/>
    <w:qFormat/>
    <w:rsid w:val="00C43F53"/>
  </w:style>
  <w:style w:type="character" w:customStyle="1" w:styleId="FooterChar">
    <w:name w:val="Footer Char"/>
    <w:basedOn w:val="DefaultParagraphFont"/>
    <w:link w:val="Footer"/>
    <w:uiPriority w:val="99"/>
    <w:rsid w:val="00C43F53"/>
    <w:rPr>
      <w:rFonts w:ascii="Times New Roman" w:eastAsia="Times New Roman" w:hAnsi="Times New Roman" w:cs="Times New Roman"/>
      <w:color w:val="000000"/>
      <w:sz w:val="20"/>
      <w:szCs w:val="20"/>
      <w:lang w:val="en-US" w:eastAsia="en-GB"/>
    </w:rPr>
  </w:style>
  <w:style w:type="paragraph" w:styleId="TOCHeading">
    <w:name w:val="TOC Heading"/>
    <w:basedOn w:val="Heading1"/>
    <w:next w:val="Normal"/>
    <w:uiPriority w:val="39"/>
    <w:unhideWhenUsed/>
    <w:qFormat/>
    <w:rsid w:val="00782F22"/>
    <w:pPr>
      <w:outlineLvl w:val="9"/>
    </w:pPr>
  </w:style>
  <w:style w:type="character" w:styleId="Strong">
    <w:name w:val="Strong"/>
    <w:basedOn w:val="DefaultParagraphFont"/>
    <w:uiPriority w:val="22"/>
    <w:unhideWhenUsed/>
    <w:rsid w:val="00032FD1"/>
    <w:rPr>
      <w:rFonts w:asciiTheme="minorHAnsi" w:hAnsiTheme="minorHAnsi"/>
      <w:b/>
      <w:bCs/>
      <w:sz w:val="20"/>
    </w:rPr>
  </w:style>
  <w:style w:type="character" w:styleId="Emphasis">
    <w:name w:val="Emphasis"/>
    <w:uiPriority w:val="20"/>
    <w:unhideWhenUsed/>
    <w:rsid w:val="003C2B26"/>
    <w:rPr>
      <w:rFonts w:ascii="Times New Roman" w:hAnsi="Times New Roman"/>
      <w:b/>
      <w:sz w:val="24"/>
    </w:rPr>
  </w:style>
  <w:style w:type="character" w:styleId="Hyperlink">
    <w:name w:val="Hyperlink"/>
    <w:basedOn w:val="DefaultParagraphFont"/>
    <w:uiPriority w:val="99"/>
    <w:unhideWhenUsed/>
    <w:rsid w:val="003D4B4A"/>
    <w:rPr>
      <w:color w:val="0563C1" w:themeColor="hyperlink"/>
      <w:u w:val="single"/>
    </w:rPr>
  </w:style>
  <w:style w:type="paragraph" w:styleId="BalloonText">
    <w:name w:val="Balloon Text"/>
    <w:basedOn w:val="Normal"/>
    <w:link w:val="BalloonTextChar"/>
    <w:uiPriority w:val="99"/>
    <w:semiHidden/>
    <w:unhideWhenUsed/>
    <w:rsid w:val="00476B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B72"/>
    <w:rPr>
      <w:rFonts w:ascii="Segoe UI" w:hAnsi="Segoe UI" w:cs="Segoe UI"/>
      <w:sz w:val="18"/>
      <w:szCs w:val="18"/>
    </w:rPr>
  </w:style>
  <w:style w:type="paragraph" w:styleId="TOC1">
    <w:name w:val="toc 1"/>
    <w:basedOn w:val="Normal"/>
    <w:next w:val="Normal"/>
    <w:autoRedefine/>
    <w:uiPriority w:val="39"/>
    <w:unhideWhenUsed/>
    <w:rsid w:val="004E67DA"/>
    <w:pPr>
      <w:spacing w:after="100"/>
    </w:pPr>
  </w:style>
  <w:style w:type="paragraph" w:styleId="TOC2">
    <w:name w:val="toc 2"/>
    <w:basedOn w:val="Normal"/>
    <w:next w:val="Normal"/>
    <w:autoRedefine/>
    <w:uiPriority w:val="39"/>
    <w:unhideWhenUsed/>
    <w:rsid w:val="004E67DA"/>
    <w:pPr>
      <w:spacing w:after="100"/>
      <w:ind w:left="200"/>
    </w:pPr>
  </w:style>
  <w:style w:type="paragraph" w:styleId="TOC3">
    <w:name w:val="toc 3"/>
    <w:basedOn w:val="Normal"/>
    <w:next w:val="Normal"/>
    <w:autoRedefine/>
    <w:uiPriority w:val="39"/>
    <w:unhideWhenUsed/>
    <w:rsid w:val="004E67DA"/>
    <w:pPr>
      <w:spacing w:after="100"/>
      <w:ind w:left="400"/>
    </w:pPr>
  </w:style>
  <w:style w:type="paragraph" w:styleId="Caption">
    <w:name w:val="caption"/>
    <w:basedOn w:val="Normal"/>
    <w:next w:val="Normal"/>
    <w:uiPriority w:val="35"/>
    <w:unhideWhenUsed/>
    <w:qFormat/>
    <w:rsid w:val="00581C04"/>
    <w:pPr>
      <w:spacing w:line="240" w:lineRule="auto"/>
    </w:pPr>
    <w:rPr>
      <w:iCs/>
      <w:color w:val="595959" w:themeColor="text1" w:themeTint="A6"/>
      <w:sz w:val="20"/>
      <w:szCs w:val="18"/>
    </w:rPr>
  </w:style>
  <w:style w:type="table" w:styleId="TableGrid">
    <w:name w:val="Table Grid"/>
    <w:basedOn w:val="TableNormal"/>
    <w:uiPriority w:val="39"/>
    <w:rsid w:val="00581C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standard">
    <w:name w:val="ANU standard"/>
    <w:basedOn w:val="TableNormal"/>
    <w:uiPriority w:val="99"/>
    <w:rsid w:val="002829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2E3DA2"/>
    <w:rPr>
      <w:rFonts w:ascii="Times New Roman" w:hAnsi="Times New Roman"/>
    </w:rPr>
    <w:tblPr/>
    <w:tcPr>
      <w:shd w:val="clear" w:color="auto" w:fill="auto"/>
    </w:tcPr>
    <w:tblStylePr w:type="firstRow">
      <w:rPr>
        <w:b/>
      </w:rPr>
      <w:tblPr/>
      <w:tcPr>
        <w:shd w:val="clear" w:color="auto" w:fill="B4C6E7" w:themeFill="accent1" w:themeFillTint="66"/>
      </w:tcPr>
    </w:tblStylePr>
    <w:tblStylePr w:type="firstCol">
      <w:rPr>
        <w:b w:val="0"/>
      </w:rPr>
    </w:tblStylePr>
  </w:style>
  <w:style w:type="table" w:customStyle="1" w:styleId="ANUcolumnheader">
    <w:name w:val="ANU column header"/>
    <w:basedOn w:val="ANUstandard"/>
    <w:uiPriority w:val="99"/>
    <w:rsid w:val="00282969"/>
    <w:tblPr/>
    <w:tcPr>
      <w:shd w:val="clear" w:color="auto" w:fill="auto"/>
    </w:tcPr>
    <w:tblStylePr w:type="firstRow">
      <w:rPr>
        <w:b w:val="0"/>
      </w:rPr>
    </w:tblStylePr>
    <w:tblStylePr w:type="firstCol">
      <w:rPr>
        <w:b/>
      </w:rPr>
      <w:tblPr/>
      <w:tcPr>
        <w:shd w:val="clear" w:color="auto" w:fill="B4C6E7" w:themeFill="accent1" w:themeFillTint="66"/>
      </w:tcPr>
    </w:tblStylePr>
  </w:style>
  <w:style w:type="table" w:customStyle="1" w:styleId="ANUrowcolumnheader">
    <w:name w:val="ANU row/column header"/>
    <w:basedOn w:val="ANUstandard"/>
    <w:uiPriority w:val="99"/>
    <w:rsid w:val="00282969"/>
    <w:tblPr/>
    <w:tblStylePr w:type="firstRow">
      <w:rPr>
        <w:b/>
      </w:rPr>
      <w:tblPr/>
      <w:tcPr>
        <w:shd w:val="clear" w:color="auto" w:fill="B4C6E7" w:themeFill="accent1" w:themeFillTint="66"/>
      </w:tcPr>
    </w:tblStylePr>
    <w:tblStylePr w:type="firstCol">
      <w:rPr>
        <w:b/>
      </w:rPr>
      <w:tblPr/>
      <w:tcPr>
        <w:shd w:val="clear" w:color="auto" w:fill="B4C6E7" w:themeFill="accent1" w:themeFillTint="66"/>
      </w:tcPr>
    </w:tblStylePr>
  </w:style>
  <w:style w:type="paragraph" w:styleId="FootnoteText">
    <w:name w:val="footnote text"/>
    <w:basedOn w:val="Caption"/>
    <w:link w:val="FootnoteTextChar"/>
    <w:uiPriority w:val="99"/>
    <w:unhideWhenUsed/>
    <w:rsid w:val="00B01B02"/>
  </w:style>
  <w:style w:type="character" w:customStyle="1" w:styleId="FootnoteTextChar">
    <w:name w:val="Footnote Text Char"/>
    <w:basedOn w:val="DefaultParagraphFont"/>
    <w:link w:val="FootnoteText"/>
    <w:uiPriority w:val="99"/>
    <w:rsid w:val="00B01B02"/>
    <w:rPr>
      <w:rFonts w:ascii="Times New Roman" w:hAnsi="Times New Roman" w:cs="Times New Roman"/>
      <w:iCs/>
      <w:color w:val="595959" w:themeColor="text1" w:themeTint="A6"/>
      <w:sz w:val="20"/>
      <w:szCs w:val="18"/>
    </w:rPr>
  </w:style>
  <w:style w:type="character" w:customStyle="1" w:styleId="UnresolvedMention1">
    <w:name w:val="Unresolved Mention1"/>
    <w:basedOn w:val="DefaultParagraphFont"/>
    <w:uiPriority w:val="99"/>
    <w:rsid w:val="00E354A7"/>
    <w:rPr>
      <w:color w:val="808080"/>
      <w:shd w:val="clear" w:color="auto" w:fill="E6E6E6"/>
    </w:rPr>
  </w:style>
  <w:style w:type="character" w:styleId="FootnoteReference">
    <w:name w:val="footnote reference"/>
    <w:basedOn w:val="DefaultParagraphFont"/>
    <w:uiPriority w:val="99"/>
    <w:semiHidden/>
    <w:unhideWhenUsed/>
    <w:rsid w:val="009E2493"/>
    <w:rPr>
      <w:vertAlign w:val="superscript"/>
    </w:rPr>
  </w:style>
  <w:style w:type="paragraph" w:styleId="Quote">
    <w:name w:val="Quote"/>
    <w:basedOn w:val="Normal"/>
    <w:next w:val="Normal"/>
    <w:link w:val="QuoteChar"/>
    <w:uiPriority w:val="29"/>
    <w:qFormat/>
    <w:rsid w:val="00230EAD"/>
    <w:pPr>
      <w:ind w:left="220"/>
    </w:pPr>
    <w:rPr>
      <w:i/>
    </w:rPr>
  </w:style>
  <w:style w:type="character" w:customStyle="1" w:styleId="QuoteChar">
    <w:name w:val="Quote Char"/>
    <w:basedOn w:val="DefaultParagraphFont"/>
    <w:link w:val="Quote"/>
    <w:uiPriority w:val="29"/>
    <w:rsid w:val="00230EAD"/>
    <w:rPr>
      <w:rFonts w:ascii="Times New Roman" w:hAnsi="Times New Roman" w:cs="Times New Roman"/>
      <w:i/>
    </w:rPr>
  </w:style>
  <w:style w:type="paragraph" w:customStyle="1" w:styleId="TableFigure">
    <w:name w:val="Table/Figure"/>
    <w:basedOn w:val="Normal"/>
    <w:link w:val="TableFigureChar"/>
    <w:qFormat/>
    <w:rsid w:val="00013223"/>
    <w:rPr>
      <w:b/>
      <w:sz w:val="28"/>
      <w:szCs w:val="28"/>
    </w:rPr>
  </w:style>
  <w:style w:type="table" w:styleId="GridTable4-Accent5">
    <w:name w:val="Grid Table 4 Accent 5"/>
    <w:basedOn w:val="TableNormal"/>
    <w:uiPriority w:val="49"/>
    <w:rsid w:val="00882D6F"/>
    <w:pPr>
      <w:spacing w:before="0" w:after="0" w:line="240" w:lineRule="auto"/>
    </w:pPr>
    <w:rPr>
      <w:rFonts w:eastAsiaTheme="minorEastAsia"/>
      <w:sz w:val="22"/>
      <w:szCs w:val="22"/>
      <w:lang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ableFigureChar">
    <w:name w:val="Table/Figure Char"/>
    <w:basedOn w:val="DefaultParagraphFont"/>
    <w:link w:val="TableFigure"/>
    <w:rsid w:val="00013223"/>
    <w:rPr>
      <w:rFonts w:ascii="Times New Roman" w:hAnsi="Times New Roman" w:cs="Times New Roman"/>
      <w:b/>
      <w:sz w:val="28"/>
      <w:szCs w:val="28"/>
    </w:rPr>
  </w:style>
  <w:style w:type="paragraph" w:customStyle="1" w:styleId="2ndIndentation">
    <w:name w:val="2nd Indentation"/>
    <w:basedOn w:val="ListParagraph"/>
    <w:link w:val="2ndIndentationChar"/>
    <w:uiPriority w:val="99"/>
    <w:rsid w:val="00406DC8"/>
    <w:pPr>
      <w:numPr>
        <w:numId w:val="11"/>
      </w:numPr>
      <w:tabs>
        <w:tab w:val="left" w:pos="720"/>
      </w:tabs>
      <w:spacing w:before="0" w:after="160"/>
      <w:ind w:left="1170" w:hanging="180"/>
    </w:pPr>
  </w:style>
  <w:style w:type="numbering" w:customStyle="1" w:styleId="BulletPoints">
    <w:name w:val="Bullet Points"/>
    <w:basedOn w:val="NoList"/>
    <w:uiPriority w:val="99"/>
    <w:rsid w:val="00406DC8"/>
    <w:pPr>
      <w:numPr>
        <w:numId w:val="12"/>
      </w:numPr>
    </w:pPr>
  </w:style>
  <w:style w:type="character" w:customStyle="1" w:styleId="ListParagraphChar">
    <w:name w:val="List Paragraph Char"/>
    <w:basedOn w:val="DefaultParagraphFont"/>
    <w:link w:val="ListParagraph"/>
    <w:uiPriority w:val="34"/>
    <w:rsid w:val="00406DC8"/>
    <w:rPr>
      <w:rFonts w:ascii="Times New Roman" w:hAnsi="Times New Roman" w:cs="Times New Roman"/>
    </w:rPr>
  </w:style>
  <w:style w:type="character" w:customStyle="1" w:styleId="2ndIndentationChar">
    <w:name w:val="2nd Indentation Char"/>
    <w:basedOn w:val="ListParagraphChar"/>
    <w:link w:val="2ndIndentation"/>
    <w:uiPriority w:val="99"/>
    <w:rsid w:val="002F0426"/>
    <w:rPr>
      <w:rFonts w:ascii="Times New Roman" w:hAnsi="Times New Roman" w:cs="Times New Roman"/>
    </w:rPr>
  </w:style>
  <w:style w:type="numbering" w:customStyle="1" w:styleId="Style1">
    <w:name w:val="Style1"/>
    <w:basedOn w:val="BulletPoints"/>
    <w:uiPriority w:val="99"/>
    <w:rsid w:val="002F0426"/>
    <w:pPr>
      <w:numPr>
        <w:numId w:val="15"/>
      </w:numPr>
    </w:pPr>
  </w:style>
  <w:style w:type="character" w:customStyle="1" w:styleId="Heading5Char">
    <w:name w:val="Heading 5 Char"/>
    <w:basedOn w:val="DefaultParagraphFont"/>
    <w:link w:val="Heading5"/>
    <w:uiPriority w:val="9"/>
    <w:rsid w:val="003C2B26"/>
    <w:rPr>
      <w:rFonts w:ascii="Times New Roman" w:hAnsi="Times New Roman" w:cs="Times New Roman"/>
    </w:rPr>
  </w:style>
  <w:style w:type="character" w:styleId="SubtleEmphasis">
    <w:name w:val="Subtle Emphasis"/>
    <w:uiPriority w:val="19"/>
    <w:qFormat/>
    <w:rsid w:val="003C2B26"/>
    <w:rPr>
      <w:rFonts w:ascii="Times New Roman" w:hAnsi="Times New Roman"/>
      <w:caps/>
      <w:smallCaps w:val="0"/>
      <w:vanish w:val="0"/>
      <w:sz w:val="24"/>
    </w:rPr>
  </w:style>
  <w:style w:type="character" w:styleId="IntenseEmphasis">
    <w:name w:val="Intense Emphasis"/>
    <w:basedOn w:val="DefaultParagraphFont"/>
    <w:uiPriority w:val="21"/>
    <w:qFormat/>
    <w:rsid w:val="003C2B26"/>
    <w:rPr>
      <w:rFonts w:ascii="Times New Roman" w:hAnsi="Times New Roman"/>
      <w:b/>
      <w:i w:val="0"/>
      <w:iCs/>
      <w:caps/>
      <w:smallCaps w:val="0"/>
      <w:vanish w:val="0"/>
      <w:sz w:val="24"/>
    </w:rPr>
  </w:style>
  <w:style w:type="character" w:styleId="BookTitle">
    <w:name w:val="Book Title"/>
    <w:uiPriority w:val="33"/>
    <w:qFormat/>
    <w:rsid w:val="003C2B26"/>
    <w:rPr>
      <w:i/>
      <w:noProof/>
    </w:rPr>
  </w:style>
  <w:style w:type="character" w:styleId="PlaceholderText">
    <w:name w:val="Placeholder Text"/>
    <w:basedOn w:val="DefaultParagraphFont"/>
    <w:uiPriority w:val="99"/>
    <w:semiHidden/>
    <w:rsid w:val="0008746E"/>
    <w:rPr>
      <w:color w:val="808080"/>
    </w:rPr>
  </w:style>
  <w:style w:type="paragraph" w:customStyle="1" w:styleId="paragraph">
    <w:name w:val="paragraph"/>
    <w:basedOn w:val="Normal"/>
    <w:rsid w:val="00C66578"/>
    <w:pPr>
      <w:widowControl/>
      <w:spacing w:before="100" w:beforeAutospacing="1" w:after="100" w:afterAutospacing="1" w:line="240" w:lineRule="auto"/>
      <w:jc w:val="left"/>
    </w:pPr>
    <w:rPr>
      <w:rFonts w:eastAsia="Times New Roman"/>
      <w:lang w:eastAsia="zh-CN"/>
    </w:rPr>
  </w:style>
  <w:style w:type="character" w:customStyle="1" w:styleId="normaltextrun">
    <w:name w:val="normaltextrun"/>
    <w:basedOn w:val="DefaultParagraphFont"/>
    <w:rsid w:val="00C66578"/>
  </w:style>
  <w:style w:type="character" w:customStyle="1" w:styleId="eop">
    <w:name w:val="eop"/>
    <w:basedOn w:val="DefaultParagraphFont"/>
    <w:rsid w:val="00C66578"/>
  </w:style>
  <w:style w:type="character" w:customStyle="1" w:styleId="apple-converted-space">
    <w:name w:val="apple-converted-space"/>
    <w:basedOn w:val="DefaultParagraphFont"/>
    <w:rsid w:val="00C66578"/>
  </w:style>
  <w:style w:type="character" w:customStyle="1" w:styleId="contextualspellingandgrammarerror">
    <w:name w:val="contextualspellingandgrammarerror"/>
    <w:basedOn w:val="DefaultParagraphFont"/>
    <w:rsid w:val="00C66578"/>
  </w:style>
  <w:style w:type="paragraph" w:styleId="NormalWeb">
    <w:name w:val="Normal (Web)"/>
    <w:basedOn w:val="Normal"/>
    <w:uiPriority w:val="99"/>
    <w:unhideWhenUsed/>
    <w:rsid w:val="006C4354"/>
    <w:pPr>
      <w:widowControl/>
      <w:spacing w:before="100" w:beforeAutospacing="1" w:after="100" w:afterAutospacing="1" w:line="240" w:lineRule="auto"/>
      <w:jc w:val="left"/>
    </w:pPr>
    <w:rPr>
      <w:rFonts w:eastAsia="Times New Roman"/>
      <w:lang w:val="en-GB" w:eastAsia="en-GB"/>
    </w:rPr>
  </w:style>
  <w:style w:type="character" w:styleId="CommentReference">
    <w:name w:val="annotation reference"/>
    <w:basedOn w:val="DefaultParagraphFont"/>
    <w:uiPriority w:val="99"/>
    <w:semiHidden/>
    <w:unhideWhenUsed/>
    <w:rsid w:val="009914C2"/>
    <w:rPr>
      <w:sz w:val="18"/>
      <w:szCs w:val="18"/>
    </w:rPr>
  </w:style>
  <w:style w:type="paragraph" w:styleId="CommentText">
    <w:name w:val="annotation text"/>
    <w:basedOn w:val="Normal"/>
    <w:link w:val="CommentTextChar"/>
    <w:uiPriority w:val="99"/>
    <w:semiHidden/>
    <w:unhideWhenUsed/>
    <w:rsid w:val="009914C2"/>
    <w:pPr>
      <w:spacing w:line="240" w:lineRule="auto"/>
    </w:pPr>
  </w:style>
  <w:style w:type="character" w:customStyle="1" w:styleId="CommentTextChar">
    <w:name w:val="Comment Text Char"/>
    <w:basedOn w:val="DefaultParagraphFont"/>
    <w:link w:val="CommentText"/>
    <w:uiPriority w:val="99"/>
    <w:semiHidden/>
    <w:rsid w:val="009914C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14C2"/>
    <w:rPr>
      <w:b/>
      <w:bCs/>
      <w:sz w:val="20"/>
      <w:szCs w:val="20"/>
    </w:rPr>
  </w:style>
  <w:style w:type="character" w:customStyle="1" w:styleId="CommentSubjectChar">
    <w:name w:val="Comment Subject Char"/>
    <w:basedOn w:val="CommentTextChar"/>
    <w:link w:val="CommentSubject"/>
    <w:uiPriority w:val="99"/>
    <w:semiHidden/>
    <w:rsid w:val="009914C2"/>
    <w:rPr>
      <w:rFonts w:ascii="Times New Roman" w:hAnsi="Times New Roman" w:cs="Times New Roman"/>
      <w:b/>
      <w:bCs/>
      <w:sz w:val="20"/>
      <w:szCs w:val="20"/>
    </w:rPr>
  </w:style>
  <w:style w:type="paragraph" w:styleId="Revision">
    <w:name w:val="Revision"/>
    <w:hidden/>
    <w:uiPriority w:val="99"/>
    <w:semiHidden/>
    <w:rsid w:val="00813981"/>
    <w:pPr>
      <w:spacing w:before="0"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u.edu.a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5900218@anu.edu.a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smf.rsfas@anu.edu.au" TargetMode="External"/><Relationship Id="rId14" Type="http://schemas.openxmlformats.org/officeDocument/2006/relationships/hyperlink" Target="http://www.an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91A-4DCD-8938-06CA0543CAD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91A-4DCD-8938-06CA0543CAD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91A-4DCD-8938-06CA0543CAD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91A-4DCD-8938-06CA0543CADC}"/>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91A-4DCD-8938-06CA0543CADC}"/>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91A-4DCD-8938-06CA0543CADC}"/>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91A-4DCD-8938-06CA0543CADC}"/>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91A-4DCD-8938-06CA0543CADC}"/>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91A-4DCD-8938-06CA0543CADC}"/>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91A-4DCD-8938-06CA0543CADC}"/>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91A-4DCD-8938-06CA0543CADC}"/>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491A-4DCD-8938-06CA0543CADC}"/>
              </c:ext>
            </c:extLst>
          </c:dPt>
          <c:dLbls>
            <c:dLbl>
              <c:idx val="0"/>
              <c:layout/>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91A-4DCD-8938-06CA0543CADC}"/>
                </c:ext>
              </c:extLst>
            </c:dLbl>
            <c:dLbl>
              <c:idx val="1"/>
              <c:layout/>
              <c:spPr>
                <a:noFill/>
                <a:ln>
                  <a:noFill/>
                </a:ln>
                <a:effectLst/>
              </c:spPr>
              <c:txPr>
                <a:bodyPr rot="0" spcFirstLastPara="1" vertOverflow="ellipsis" vert="horz" wrap="square" anchor="ctr" anchorCtr="1"/>
                <a:lstStyle/>
                <a:p>
                  <a:pPr>
                    <a:defRPr sz="9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91A-4DCD-8938-06CA0543CADC}"/>
                </c:ext>
              </c:extLst>
            </c:dLbl>
            <c:dLbl>
              <c:idx val="2"/>
              <c:layout/>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91A-4DCD-8938-06CA0543CADC}"/>
                </c:ext>
              </c:extLst>
            </c:dLbl>
            <c:dLbl>
              <c:idx val="3"/>
              <c:layout/>
              <c:spPr>
                <a:noFill/>
                <a:ln>
                  <a:noFill/>
                </a:ln>
                <a:effectLst/>
              </c:spPr>
              <c:txPr>
                <a:bodyPr rot="0" spcFirstLastPara="1" vertOverflow="ellipsis" vert="horz" wrap="square" anchor="ctr" anchorCtr="1"/>
                <a:lstStyle/>
                <a:p>
                  <a:pPr>
                    <a:defRPr sz="9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491A-4DCD-8938-06CA0543CADC}"/>
                </c:ext>
              </c:extLst>
            </c:dLbl>
            <c:dLbl>
              <c:idx val="4"/>
              <c:layout/>
              <c:spPr>
                <a:noFill/>
                <a:ln>
                  <a:noFill/>
                </a:ln>
                <a:effectLst/>
              </c:spPr>
              <c:txPr>
                <a:bodyPr rot="0" spcFirstLastPara="1" vertOverflow="ellipsis" vert="horz" wrap="square" anchor="ctr" anchorCtr="1"/>
                <a:lstStyle/>
                <a:p>
                  <a:pPr>
                    <a:defRPr sz="9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491A-4DCD-8938-06CA0543CADC}"/>
                </c:ext>
              </c:extLst>
            </c:dLbl>
            <c:dLbl>
              <c:idx val="5"/>
              <c:layout/>
              <c:spPr>
                <a:noFill/>
                <a:ln>
                  <a:noFill/>
                </a:ln>
                <a:effectLst/>
              </c:spPr>
              <c:txPr>
                <a:bodyPr rot="0" spcFirstLastPara="1" vertOverflow="ellipsis" vert="horz" wrap="square" anchor="ctr" anchorCtr="1"/>
                <a:lstStyle/>
                <a:p>
                  <a:pPr>
                    <a:defRPr sz="9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491A-4DCD-8938-06CA0543CADC}"/>
                </c:ext>
              </c:extLst>
            </c:dLbl>
            <c:dLbl>
              <c:idx val="6"/>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491A-4DCD-8938-06CA0543CADC}"/>
                </c:ext>
              </c:extLst>
            </c:dLbl>
            <c:dLbl>
              <c:idx val="7"/>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491A-4DCD-8938-06CA0543CADC}"/>
                </c:ext>
              </c:extLst>
            </c:dLbl>
            <c:dLbl>
              <c:idx val="8"/>
              <c:layout>
                <c:manualLayout>
                  <c:x val="-0.14444444444444399"/>
                  <c:y val="5.0473202836037602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1-491A-4DCD-8938-06CA0543CADC}"/>
                </c:ext>
              </c:extLst>
            </c:dLbl>
            <c:dLbl>
              <c:idx val="9"/>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491A-4DCD-8938-06CA0543CADC}"/>
                </c:ext>
              </c:extLst>
            </c:dLbl>
            <c:dLbl>
              <c:idx val="10"/>
              <c:layout/>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491A-4DCD-8938-06CA0543CADC}"/>
                </c:ext>
              </c:extLst>
            </c:dLbl>
            <c:dLbl>
              <c:idx val="11"/>
              <c:layout/>
              <c:spPr>
                <a:noFill/>
                <a:ln>
                  <a:noFill/>
                </a:ln>
                <a:effectLst/>
              </c:spPr>
              <c:txPr>
                <a:bodyPr rot="0" spcFirstLastPara="1" vertOverflow="ellipsis" vert="horz" wrap="square" anchor="ctr" anchorCtr="1"/>
                <a:lstStyle/>
                <a:p>
                  <a:pPr>
                    <a:defRPr sz="9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491A-4DCD-8938-06CA0543CADC}"/>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Sheet3!$A$22:$A$33</c:f>
              <c:strCache>
                <c:ptCount val="11"/>
                <c:pt idx="0">
                  <c:v>Australian Fixed Income</c:v>
                </c:pt>
                <c:pt idx="2">
                  <c:v>International Equities, Hedged</c:v>
                </c:pt>
                <c:pt idx="4">
                  <c:v>International Equities, Unhedged</c:v>
                </c:pt>
                <c:pt idx="6">
                  <c:v>Australian Equities </c:v>
                </c:pt>
                <c:pt idx="8">
                  <c:v>Australian Cash</c:v>
                </c:pt>
                <c:pt idx="10">
                  <c:v>Cash Account</c:v>
                </c:pt>
              </c:strCache>
            </c:strRef>
          </c:cat>
          <c:val>
            <c:numRef>
              <c:f>Sheet3!$B$22:$B$33</c:f>
              <c:numCache>
                <c:formatCode>General</c:formatCode>
                <c:ptCount val="12"/>
                <c:pt idx="0" formatCode="0.00%">
                  <c:v>0.147535132022763</c:v>
                </c:pt>
                <c:pt idx="2" formatCode="0.00%">
                  <c:v>0.10199833122308399</c:v>
                </c:pt>
                <c:pt idx="4" formatCode="0.00%">
                  <c:v>0.10087379487461599</c:v>
                </c:pt>
                <c:pt idx="6" formatCode="0.00%">
                  <c:v>0.60168984990053698</c:v>
                </c:pt>
                <c:pt idx="8" formatCode="0.00%">
                  <c:v>2.6869648718242E-2</c:v>
                </c:pt>
                <c:pt idx="10" formatCode="0.00%">
                  <c:v>2.1033243260757499E-2</c:v>
                </c:pt>
              </c:numCache>
            </c:numRef>
          </c:val>
          <c:extLst>
            <c:ext xmlns:c16="http://schemas.microsoft.com/office/drawing/2014/chart" uri="{C3380CC4-5D6E-409C-BE32-E72D297353CC}">
              <c16:uniqueId val="{00000018-491A-4DCD-8938-06CA0543CADC}"/>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spcBef>
          <a:spcPts val="200"/>
        </a:spcBef>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2C5-4DFF-A4F0-F85AECF31D9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2C5-4DFF-A4F0-F85AECF31D9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2C5-4DFF-A4F0-F85AECF31D9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2C5-4DFF-A4F0-F85AECF31D9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2C5-4DFF-A4F0-F85AECF31D9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2C5-4DFF-A4F0-F85AECF31D9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2C5-4DFF-A4F0-F85AECF31D9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2C5-4DFF-A4F0-F85AECF31D94}"/>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12C5-4DFF-A4F0-F85AECF31D94}"/>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12C5-4DFF-A4F0-F85AECF31D94}"/>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12C5-4DFF-A4F0-F85AECF31D94}"/>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12C5-4DFF-A4F0-F85AECF31D94}"/>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12C5-4DFF-A4F0-F85AECF31D94}"/>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12C5-4DFF-A4F0-F85AECF31D94}"/>
              </c:ext>
            </c:extLst>
          </c:dPt>
          <c:dLbls>
            <c:dLbl>
              <c:idx val="0"/>
              <c:layout/>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2C5-4DFF-A4F0-F85AECF31D94}"/>
                </c:ext>
              </c:extLst>
            </c:dLbl>
            <c:dLbl>
              <c:idx val="1"/>
              <c:layout/>
              <c:spPr>
                <a:noFill/>
                <a:ln>
                  <a:noFill/>
                </a:ln>
                <a:effectLst/>
              </c:spPr>
              <c:txPr>
                <a:bodyPr rot="0" spcFirstLastPara="1" vertOverflow="ellipsis" vert="horz" wrap="square" anchor="ctr" anchorCtr="1"/>
                <a:lstStyle/>
                <a:p>
                  <a:pPr>
                    <a:defRPr sz="9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2C5-4DFF-A4F0-F85AECF31D94}"/>
                </c:ext>
              </c:extLst>
            </c:dLbl>
            <c:dLbl>
              <c:idx val="2"/>
              <c:layout/>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2C5-4DFF-A4F0-F85AECF31D94}"/>
                </c:ext>
              </c:extLst>
            </c:dLbl>
            <c:dLbl>
              <c:idx val="3"/>
              <c:layout/>
              <c:spPr>
                <a:noFill/>
                <a:ln>
                  <a:noFill/>
                </a:ln>
                <a:effectLst/>
              </c:spPr>
              <c:txPr>
                <a:bodyPr rot="0" spcFirstLastPara="1" vertOverflow="ellipsis" vert="horz" wrap="square" anchor="ctr" anchorCtr="1"/>
                <a:lstStyle/>
                <a:p>
                  <a:pPr>
                    <a:defRPr sz="9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2C5-4DFF-A4F0-F85AECF31D94}"/>
                </c:ext>
              </c:extLst>
            </c:dLbl>
            <c:dLbl>
              <c:idx val="4"/>
              <c:layout/>
              <c:spPr>
                <a:noFill/>
                <a:ln>
                  <a:noFill/>
                </a:ln>
                <a:effectLst/>
              </c:spPr>
              <c:txPr>
                <a:bodyPr rot="0" spcFirstLastPara="1" vertOverflow="ellipsis" vert="horz" wrap="square" anchor="ctr" anchorCtr="1"/>
                <a:lstStyle/>
                <a:p>
                  <a:pPr>
                    <a:defRPr sz="9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2C5-4DFF-A4F0-F85AECF31D94}"/>
                </c:ext>
              </c:extLst>
            </c:dLbl>
            <c:dLbl>
              <c:idx val="5"/>
              <c:layout/>
              <c:spPr>
                <a:noFill/>
                <a:ln>
                  <a:noFill/>
                </a:ln>
                <a:effectLst/>
              </c:spPr>
              <c:txPr>
                <a:bodyPr rot="0" spcFirstLastPara="1" vertOverflow="ellipsis" vert="horz" wrap="square" anchor="ctr" anchorCtr="1"/>
                <a:lstStyle/>
                <a:p>
                  <a:pPr>
                    <a:defRPr sz="9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12C5-4DFF-A4F0-F85AECF31D94}"/>
                </c:ext>
              </c:extLst>
            </c:dLbl>
            <c:dLbl>
              <c:idx val="6"/>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12C5-4DFF-A4F0-F85AECF31D94}"/>
                </c:ext>
              </c:extLst>
            </c:dLbl>
            <c:dLbl>
              <c:idx val="7"/>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12C5-4DFF-A4F0-F85AECF31D94}"/>
                </c:ext>
              </c:extLst>
            </c:dLbl>
            <c:dLbl>
              <c:idx val="8"/>
              <c:layout>
                <c:manualLayout>
                  <c:x val="-0.1"/>
                  <c:y val="0.13888888888888901"/>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1-12C5-4DFF-A4F0-F85AECF31D94}"/>
                </c:ext>
              </c:extLst>
            </c:dLbl>
            <c:dLbl>
              <c:idx val="9"/>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12C5-4DFF-A4F0-F85AECF31D94}"/>
                </c:ext>
              </c:extLst>
            </c:dLbl>
            <c:dLbl>
              <c:idx val="10"/>
              <c:layout>
                <c:manualLayout>
                  <c:x val="-0.113888888888889"/>
                  <c:y val="0"/>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5-12C5-4DFF-A4F0-F85AECF31D94}"/>
                </c:ext>
              </c:extLst>
            </c:dLbl>
            <c:dLbl>
              <c:idx val="11"/>
              <c:layout/>
              <c:spPr>
                <a:noFill/>
                <a:ln>
                  <a:noFill/>
                </a:ln>
                <a:effectLst/>
              </c:spPr>
              <c:txPr>
                <a:bodyPr rot="0" spcFirstLastPara="1" vertOverflow="ellipsis" vert="horz" wrap="square" anchor="ctr" anchorCtr="1"/>
                <a:lstStyle/>
                <a:p>
                  <a:pPr>
                    <a:defRPr sz="9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12C5-4DFF-A4F0-F85AECF31D94}"/>
                </c:ext>
              </c:extLst>
            </c:dLbl>
            <c:dLbl>
              <c:idx val="12"/>
              <c:layout>
                <c:manualLayout>
                  <c:x val="0"/>
                  <c:y val="-2.3148148148148098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9-12C5-4DFF-A4F0-F85AECF31D94}"/>
                </c:ext>
              </c:extLst>
            </c:dLbl>
            <c:dLbl>
              <c:idx val="13"/>
              <c:layout>
                <c:manualLayout>
                  <c:x val="8.0555555555555602E-2"/>
                  <c:y val="0"/>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1B-12C5-4DFF-A4F0-F85AECF31D94}"/>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Sheet3!$F$22:$F$35</c:f>
              <c:strCache>
                <c:ptCount val="14"/>
                <c:pt idx="0">
                  <c:v>Australian Fixed Income</c:v>
                </c:pt>
                <c:pt idx="2">
                  <c:v>International Equities, Hedged</c:v>
                </c:pt>
                <c:pt idx="4">
                  <c:v>International Equities, Unhedged</c:v>
                </c:pt>
                <c:pt idx="6">
                  <c:v>Australian Equities </c:v>
                </c:pt>
                <c:pt idx="8">
                  <c:v>Australian Cash</c:v>
                </c:pt>
                <c:pt idx="10">
                  <c:v>Cash Account</c:v>
                </c:pt>
                <c:pt idx="12">
                  <c:v>Telstra</c:v>
                </c:pt>
                <c:pt idx="13">
                  <c:v>Rio Tinto</c:v>
                </c:pt>
              </c:strCache>
            </c:strRef>
          </c:cat>
          <c:val>
            <c:numRef>
              <c:f>Sheet3!$G$22:$G$35</c:f>
              <c:numCache>
                <c:formatCode>General</c:formatCode>
                <c:ptCount val="14"/>
                <c:pt idx="0" formatCode="0.00%">
                  <c:v>0.14430000000000001</c:v>
                </c:pt>
                <c:pt idx="2" formatCode="0.00%">
                  <c:v>0.1016</c:v>
                </c:pt>
                <c:pt idx="4" formatCode="0.00%">
                  <c:v>0.1013</c:v>
                </c:pt>
                <c:pt idx="6" formatCode="0.00%">
                  <c:v>0.56010000000000004</c:v>
                </c:pt>
                <c:pt idx="8" formatCode="0.00%">
                  <c:v>2.6100000000000002E-2</c:v>
                </c:pt>
                <c:pt idx="10" formatCode="0.00%">
                  <c:v>2.06E-2</c:v>
                </c:pt>
                <c:pt idx="12" formatCode="0.00%">
                  <c:v>3.0300000000000001E-2</c:v>
                </c:pt>
                <c:pt idx="13" formatCode="0.00%">
                  <c:v>1.55E-2</c:v>
                </c:pt>
              </c:numCache>
            </c:numRef>
          </c:val>
          <c:extLst>
            <c:ext xmlns:c16="http://schemas.microsoft.com/office/drawing/2014/chart" uri="{C3380CC4-5D6E-409C-BE32-E72D297353CC}">
              <c16:uniqueId val="{0000001C-12C5-4DFF-A4F0-F85AECF31D94}"/>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EE1D543FB9164198D765219CBDAB4C" ma:contentTypeVersion="4" ma:contentTypeDescription="Create a new document." ma:contentTypeScope="" ma:versionID="a8d73fd40ba5449a099ed99cf088e12d">
  <xsd:schema xmlns:xsd="http://www.w3.org/2001/XMLSchema" xmlns:xs="http://www.w3.org/2001/XMLSchema" xmlns:p="http://schemas.microsoft.com/office/2006/metadata/properties" xmlns:ns2="45a56532-63ca-4d20-ab2d-f09fd61190d2" xmlns:ns3="759089d7-f8e0-4699-b9aa-0338cd91c886" targetNamespace="http://schemas.microsoft.com/office/2006/metadata/properties" ma:root="true" ma:fieldsID="eb51e8ae9fc20ce95244ee7c2e3656bd" ns2:_="" ns3:_="">
    <xsd:import namespace="45a56532-63ca-4d20-ab2d-f09fd61190d2"/>
    <xsd:import namespace="759089d7-f8e0-4699-b9aa-0338cd91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56532-63ca-4d20-ab2d-f09fd6119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089d7-f8e0-4699-b9aa-0338cd91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7B1F2-2D54-4D73-9C90-2FFBBF4536E0}">
  <ds:schemaRefs>
    <ds:schemaRef ds:uri="http://schemas.openxmlformats.org/officeDocument/2006/bibliography"/>
  </ds:schemaRefs>
</ds:datastoreItem>
</file>

<file path=customXml/itemProps2.xml><?xml version="1.0" encoding="utf-8"?>
<ds:datastoreItem xmlns:ds="http://schemas.openxmlformats.org/officeDocument/2006/customXml" ds:itemID="{624485F2-AE4D-4435-9EF3-4910534176D6}"/>
</file>

<file path=customXml/itemProps3.xml><?xml version="1.0" encoding="utf-8"?>
<ds:datastoreItem xmlns:ds="http://schemas.openxmlformats.org/officeDocument/2006/customXml" ds:itemID="{E6B9DDC2-1D51-4045-AB3D-915C4E677F7E}"/>
</file>

<file path=customXml/itemProps4.xml><?xml version="1.0" encoding="utf-8"?>
<ds:datastoreItem xmlns:ds="http://schemas.openxmlformats.org/officeDocument/2006/customXml" ds:itemID="{3F14EA3C-F428-4FCD-A69C-DE3C7C448047}"/>
</file>

<file path=docProps/app.xml><?xml version="1.0" encoding="utf-8"?>
<Properties xmlns="http://schemas.openxmlformats.org/officeDocument/2006/extended-properties" xmlns:vt="http://schemas.openxmlformats.org/officeDocument/2006/docPropsVTypes">
  <Template>Normal</Template>
  <TotalTime>0</TotalTime>
  <Pages>11</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Report</vt:lpstr>
    </vt:vector>
  </TitlesOfParts>
  <Company>The Australian National University</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Microsoft Office User</dc:creator>
  <cp:keywords/>
  <dc:description/>
  <cp:lastModifiedBy>Geoff Warren</cp:lastModifiedBy>
  <cp:revision>2</cp:revision>
  <cp:lastPrinted>2014-02-03T05:43:00Z</cp:lastPrinted>
  <dcterms:created xsi:type="dcterms:W3CDTF">2018-07-03T06:06:00Z</dcterms:created>
  <dcterms:modified xsi:type="dcterms:W3CDTF">2018-07-03T06:06:00Z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0x01010041EE1D543FB9164198D765219CBDAB4C</vt:lpwstr>
  </property>
</Properties>
</file>