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charts/colors2.xml" ContentType="application/vnd.ms-office.chartcolorstyle+xml"/>
  <Override PartName="/word/theme/theme1.xml" ContentType="application/vnd.openxmlformats-officedocument.theme+xml"/>
  <Override PartName="/word/theme/themeOverride2.xml" ContentType="application/vnd.openxmlformats-officedocument.themeOverride+xml"/>
  <Override PartName="/word/charts/style2.xml" ContentType="application/vnd.ms-office.chartstyle+xml"/>
  <Override PartName="/word/charts/chart2.xml" ContentType="application/vnd.openxmlformats-officedocument.drawingml.chart+xml"/>
  <Override PartName="/word/charts/chart1.xml" ContentType="application/vnd.openxmlformats-officedocument.drawingml.chart+xml"/>
  <Override PartName="/word/charts/colors1.xml" ContentType="application/vnd.ms-office.chartcolorstyle+xml"/>
  <Override PartName="/word/theme/themeOverride1.xml" ContentType="application/vnd.openxmlformats-officedocument.themeOverride+xml"/>
  <Override PartName="/word/charts/style1.xml" ContentType="application/vnd.ms-office.chartstyl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12D93" w14:textId="77777777" w:rsidR="00277953" w:rsidRPr="00D61662" w:rsidRDefault="00277953" w:rsidP="00E01631">
      <w:pPr>
        <w:pStyle w:val="Title"/>
        <w:rPr>
          <w:rFonts w:cs="Times New Roman"/>
          <w:sz w:val="20"/>
          <w:szCs w:val="20"/>
        </w:rPr>
      </w:pPr>
      <w:bookmarkStart w:id="0" w:name="_GoBack"/>
      <w:bookmarkEnd w:id="0"/>
    </w:p>
    <w:p w14:paraId="24FB7037" w14:textId="77777777" w:rsidR="00380F71" w:rsidRPr="00D61662" w:rsidRDefault="00380F71" w:rsidP="00E01631">
      <w:pPr>
        <w:pStyle w:val="Title"/>
        <w:rPr>
          <w:rFonts w:cs="Times New Roman"/>
          <w:sz w:val="40"/>
          <w:szCs w:val="40"/>
        </w:rPr>
      </w:pPr>
    </w:p>
    <w:p w14:paraId="3E8E470E" w14:textId="30238BDC" w:rsidR="00DD448F" w:rsidRPr="00D61662" w:rsidRDefault="004C7DE7" w:rsidP="00E01631">
      <w:pPr>
        <w:pStyle w:val="Title"/>
        <w:rPr>
          <w:rFonts w:cs="Times New Roman"/>
          <w:sz w:val="40"/>
          <w:szCs w:val="40"/>
        </w:rPr>
      </w:pPr>
      <w:r w:rsidRPr="00D61662">
        <w:rPr>
          <w:rFonts w:cs="Times New Roman"/>
          <w:sz w:val="40"/>
          <w:szCs w:val="40"/>
        </w:rPr>
        <w:t>Report</w:t>
      </w:r>
      <w:r w:rsidR="00380F71" w:rsidRPr="00D61662">
        <w:rPr>
          <w:rFonts w:cs="Times New Roman"/>
          <w:sz w:val="40"/>
          <w:szCs w:val="40"/>
        </w:rPr>
        <w:t xml:space="preserve"> for End of Semester </w:t>
      </w:r>
      <w:r w:rsidR="00821A77" w:rsidRPr="00D61662">
        <w:rPr>
          <w:rFonts w:cs="Times New Roman"/>
          <w:sz w:val="40"/>
          <w:szCs w:val="40"/>
        </w:rPr>
        <w:t>2</w:t>
      </w:r>
      <w:r w:rsidR="00380F71" w:rsidRPr="00D61662">
        <w:rPr>
          <w:rFonts w:cs="Times New Roman"/>
          <w:sz w:val="40"/>
          <w:szCs w:val="40"/>
        </w:rPr>
        <w:t>, 2018</w:t>
      </w:r>
    </w:p>
    <w:p w14:paraId="7348B814" w14:textId="77777777" w:rsidR="00A703D8" w:rsidRPr="00D61662" w:rsidRDefault="00A703D8" w:rsidP="00E01631">
      <w:pPr>
        <w:rPr>
          <w:sz w:val="40"/>
          <w:szCs w:val="40"/>
        </w:rPr>
      </w:pPr>
    </w:p>
    <w:p w14:paraId="47CAC8DB" w14:textId="77777777" w:rsidR="00DD448F" w:rsidRPr="00D61662" w:rsidRDefault="00DD448F" w:rsidP="00E01631">
      <w:pPr>
        <w:pStyle w:val="Subtitle"/>
        <w:rPr>
          <w:rFonts w:cs="Times New Roman"/>
          <w:sz w:val="40"/>
          <w:szCs w:val="40"/>
        </w:rPr>
      </w:pPr>
      <w:r w:rsidRPr="00D61662">
        <w:rPr>
          <w:rFonts w:cs="Times New Roman"/>
          <w:sz w:val="40"/>
          <w:szCs w:val="40"/>
        </w:rPr>
        <w:t>ANU Student Managed Fund</w:t>
      </w:r>
    </w:p>
    <w:p w14:paraId="4988617C" w14:textId="77777777" w:rsidR="00DD448F" w:rsidRPr="00D61662" w:rsidRDefault="00DD448F" w:rsidP="00E01631">
      <w:pPr>
        <w:rPr>
          <w:sz w:val="20"/>
          <w:szCs w:val="20"/>
        </w:rPr>
      </w:pPr>
    </w:p>
    <w:p w14:paraId="1010A96B" w14:textId="376BF2E3" w:rsidR="00DD448F" w:rsidRPr="00D61662" w:rsidRDefault="00DD448F" w:rsidP="00E01631">
      <w:pPr>
        <w:spacing w:before="480"/>
        <w:jc w:val="center"/>
        <w:rPr>
          <w:sz w:val="22"/>
          <w:szCs w:val="22"/>
        </w:rPr>
      </w:pPr>
    </w:p>
    <w:p w14:paraId="6A401967" w14:textId="77777777" w:rsidR="00DD448F" w:rsidRPr="00D61662" w:rsidRDefault="00DD448F" w:rsidP="00E01631">
      <w:pPr>
        <w:jc w:val="center"/>
        <w:rPr>
          <w:sz w:val="22"/>
          <w:szCs w:val="22"/>
        </w:rPr>
      </w:pPr>
    </w:p>
    <w:p w14:paraId="381B72B7" w14:textId="07E627E7" w:rsidR="00DD448F" w:rsidRPr="00D61662" w:rsidRDefault="00DD448F" w:rsidP="00E01631">
      <w:pPr>
        <w:jc w:val="center"/>
        <w:rPr>
          <w:sz w:val="22"/>
          <w:szCs w:val="22"/>
        </w:rPr>
      </w:pPr>
      <w:r w:rsidRPr="00D61662">
        <w:rPr>
          <w:rFonts w:eastAsia="Times New Roman"/>
          <w:b/>
          <w:noProof/>
          <w:sz w:val="22"/>
          <w:szCs w:val="22"/>
          <w:lang w:eastAsia="en-AU"/>
        </w:rPr>
        <w:drawing>
          <wp:anchor distT="114300" distB="114300" distL="114300" distR="114300" simplePos="0" relativeHeight="251664384" behindDoc="0" locked="0" layoutInCell="1" allowOverlap="1" wp14:anchorId="5210CF54" wp14:editId="69EEA334">
            <wp:simplePos x="0" y="0"/>
            <wp:positionH relativeFrom="page">
              <wp:align>left</wp:align>
            </wp:positionH>
            <wp:positionV relativeFrom="paragraph">
              <wp:posOffset>334010</wp:posOffset>
            </wp:positionV>
            <wp:extent cx="7555230" cy="3752850"/>
            <wp:effectExtent l="0" t="0" r="7620" b="0"/>
            <wp:wrapTopAndBottom/>
            <wp:docPr id="165" name="Picture 165" descr="Screen Shot 2017-09-01 at 3.37.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descr="Screen Shot 2017-09-01 at 3.37.44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5230" cy="3752850"/>
                    </a:xfrm>
                    <a:prstGeom prst="rect">
                      <a:avLst/>
                    </a:prstGeom>
                    <a:noFill/>
                  </pic:spPr>
                </pic:pic>
              </a:graphicData>
            </a:graphic>
            <wp14:sizeRelH relativeFrom="page">
              <wp14:pctWidth>0</wp14:pctWidth>
            </wp14:sizeRelH>
            <wp14:sizeRelV relativeFrom="page">
              <wp14:pctHeight>0</wp14:pctHeight>
            </wp14:sizeRelV>
          </wp:anchor>
        </w:drawing>
      </w:r>
      <w:r w:rsidR="004C7DE7" w:rsidRPr="00D61662">
        <w:rPr>
          <w:sz w:val="22"/>
          <w:szCs w:val="22"/>
        </w:rPr>
        <w:t>Creation Date:</w:t>
      </w:r>
      <w:r w:rsidR="00282C8D">
        <w:rPr>
          <w:sz w:val="22"/>
          <w:szCs w:val="22"/>
        </w:rPr>
        <w:t xml:space="preserve"> </w:t>
      </w:r>
      <w:r w:rsidR="001F0125">
        <w:rPr>
          <w:sz w:val="22"/>
          <w:szCs w:val="22"/>
        </w:rPr>
        <w:t>13</w:t>
      </w:r>
      <w:r w:rsidR="00282C8D">
        <w:rPr>
          <w:sz w:val="22"/>
          <w:szCs w:val="22"/>
        </w:rPr>
        <w:t>/11/2018</w:t>
      </w:r>
      <w:r w:rsidR="004C7DE7" w:rsidRPr="00D61662">
        <w:rPr>
          <w:sz w:val="22"/>
          <w:szCs w:val="22"/>
        </w:rPr>
        <w:t xml:space="preserve"> </w:t>
      </w:r>
      <w:r w:rsidR="00C661E0" w:rsidRPr="00D61662">
        <w:rPr>
          <w:sz w:val="22"/>
          <w:szCs w:val="22"/>
        </w:rPr>
        <w:t xml:space="preserve">| </w:t>
      </w:r>
      <w:r w:rsidR="001727C6">
        <w:rPr>
          <w:sz w:val="22"/>
          <w:szCs w:val="22"/>
        </w:rPr>
        <w:t>Version</w:t>
      </w:r>
      <w:r w:rsidRPr="00D61662">
        <w:rPr>
          <w:sz w:val="22"/>
          <w:szCs w:val="22"/>
        </w:rPr>
        <w:t xml:space="preserve"> Date:</w:t>
      </w:r>
      <w:r w:rsidR="00282C8D">
        <w:rPr>
          <w:sz w:val="22"/>
          <w:szCs w:val="22"/>
        </w:rPr>
        <w:t xml:space="preserve"> 2</w:t>
      </w:r>
      <w:r w:rsidR="001727C6">
        <w:rPr>
          <w:sz w:val="22"/>
          <w:szCs w:val="22"/>
        </w:rPr>
        <w:t>3</w:t>
      </w:r>
      <w:r w:rsidR="00282C8D">
        <w:rPr>
          <w:sz w:val="22"/>
          <w:szCs w:val="22"/>
        </w:rPr>
        <w:t>/11</w:t>
      </w:r>
      <w:r w:rsidR="00D430B4">
        <w:rPr>
          <w:sz w:val="22"/>
          <w:szCs w:val="22"/>
        </w:rPr>
        <w:t>/</w:t>
      </w:r>
      <w:r w:rsidR="00282C8D">
        <w:rPr>
          <w:sz w:val="22"/>
          <w:szCs w:val="22"/>
        </w:rPr>
        <w:t>2018</w:t>
      </w:r>
      <w:r w:rsidR="00A668E8">
        <w:rPr>
          <w:sz w:val="22"/>
          <w:szCs w:val="22"/>
        </w:rPr>
        <w:t xml:space="preserve"> </w:t>
      </w:r>
      <w:r w:rsidR="001727C6">
        <w:rPr>
          <w:sz w:val="22"/>
          <w:szCs w:val="22"/>
        </w:rPr>
        <w:t xml:space="preserve">(Final) </w:t>
      </w:r>
    </w:p>
    <w:sdt>
      <w:sdtPr>
        <w:rPr>
          <w:rFonts w:eastAsiaTheme="minorHAnsi"/>
          <w:b w:val="0"/>
          <w:noProof/>
          <w:color w:val="auto"/>
          <w:spacing w:val="0"/>
          <w:sz w:val="22"/>
          <w:szCs w:val="22"/>
        </w:rPr>
        <w:id w:val="-1095473894"/>
        <w:docPartObj>
          <w:docPartGallery w:val="Table of Contents"/>
          <w:docPartUnique/>
        </w:docPartObj>
      </w:sdtPr>
      <w:sdtEndPr>
        <w:rPr>
          <w:rFonts w:eastAsia="SimSun"/>
          <w:sz w:val="24"/>
          <w:szCs w:val="24"/>
        </w:rPr>
      </w:sdtEndPr>
      <w:sdtContent>
        <w:p w14:paraId="100C9858" w14:textId="77777777" w:rsidR="001C7CD7" w:rsidRPr="00D61662" w:rsidRDefault="001C7CD7" w:rsidP="00E01631">
          <w:pPr>
            <w:pStyle w:val="TOCHeading"/>
            <w:rPr>
              <w:rFonts w:eastAsiaTheme="minorHAnsi"/>
              <w:b w:val="0"/>
              <w:color w:val="auto"/>
              <w:spacing w:val="0"/>
              <w:sz w:val="20"/>
              <w:szCs w:val="20"/>
            </w:rPr>
          </w:pPr>
        </w:p>
        <w:p w14:paraId="4E3D34D8" w14:textId="77777777" w:rsidR="001C7CD7" w:rsidRPr="00D61662" w:rsidRDefault="001C7CD7" w:rsidP="00E01631">
          <w:pPr>
            <w:widowControl/>
            <w:jc w:val="left"/>
            <w:rPr>
              <w:sz w:val="20"/>
              <w:szCs w:val="20"/>
            </w:rPr>
          </w:pPr>
          <w:r w:rsidRPr="00D61662">
            <w:rPr>
              <w:b/>
              <w:sz w:val="20"/>
              <w:szCs w:val="20"/>
            </w:rPr>
            <w:br w:type="page"/>
          </w:r>
        </w:p>
        <w:p w14:paraId="14A880EA" w14:textId="77777777" w:rsidR="007D766D" w:rsidRPr="00D61662" w:rsidRDefault="00973FCE" w:rsidP="00A668E8">
          <w:pPr>
            <w:pStyle w:val="TOCHeading"/>
            <w:spacing w:before="0" w:after="240"/>
            <w:ind w:right="62"/>
            <w:rPr>
              <w:sz w:val="20"/>
              <w:szCs w:val="20"/>
            </w:rPr>
          </w:pPr>
          <w:r w:rsidRPr="00D61662">
            <w:rPr>
              <w:sz w:val="24"/>
              <w:szCs w:val="24"/>
            </w:rPr>
            <w:lastRenderedPageBreak/>
            <w:t>Contents</w:t>
          </w:r>
        </w:p>
        <w:p w14:paraId="31395D44" w14:textId="15FB1D99" w:rsidR="00A668E8" w:rsidRPr="00A668E8" w:rsidRDefault="00973FCE" w:rsidP="00BE086A">
          <w:pPr>
            <w:pStyle w:val="TOC1"/>
            <w:tabs>
              <w:tab w:val="right" w:pos="9592"/>
            </w:tabs>
            <w:spacing w:before="0"/>
            <w:rPr>
              <w:rFonts w:asciiTheme="minorHAnsi" w:eastAsiaTheme="minorEastAsia" w:hAnsiTheme="minorHAnsi" w:cstheme="minorBidi"/>
              <w:noProof/>
              <w:sz w:val="20"/>
              <w:szCs w:val="22"/>
              <w:lang w:eastAsia="en-AU"/>
            </w:rPr>
          </w:pPr>
          <w:r w:rsidRPr="00D61662">
            <w:rPr>
              <w:sz w:val="20"/>
              <w:szCs w:val="20"/>
            </w:rPr>
            <w:fldChar w:fldCharType="begin"/>
          </w:r>
          <w:r w:rsidRPr="00D61662">
            <w:rPr>
              <w:sz w:val="20"/>
              <w:szCs w:val="20"/>
            </w:rPr>
            <w:instrText xml:space="preserve"> TOC \o "1-3" \h \z \u </w:instrText>
          </w:r>
          <w:r w:rsidRPr="00D61662">
            <w:rPr>
              <w:sz w:val="20"/>
              <w:szCs w:val="20"/>
            </w:rPr>
            <w:fldChar w:fldCharType="separate"/>
          </w:r>
          <w:hyperlink w:anchor="_Toc530654468" w:history="1">
            <w:r w:rsidR="00A668E8" w:rsidRPr="00A668E8">
              <w:rPr>
                <w:rStyle w:val="Hyperlink"/>
                <w:noProof/>
                <w:color w:val="auto"/>
                <w:sz w:val="22"/>
                <w:u w:val="none"/>
                <w:lang w:eastAsia="zh-CN"/>
              </w:rPr>
              <w:t>Glossary</w:t>
            </w:r>
            <w:r w:rsidR="00A668E8" w:rsidRPr="00A668E8">
              <w:rPr>
                <w:noProof/>
                <w:webHidden/>
                <w:sz w:val="22"/>
              </w:rPr>
              <w:tab/>
            </w:r>
            <w:r w:rsidR="00A668E8" w:rsidRPr="00A668E8">
              <w:rPr>
                <w:noProof/>
                <w:webHidden/>
                <w:sz w:val="22"/>
              </w:rPr>
              <w:fldChar w:fldCharType="begin"/>
            </w:r>
            <w:r w:rsidR="00A668E8" w:rsidRPr="00A668E8">
              <w:rPr>
                <w:noProof/>
                <w:webHidden/>
                <w:sz w:val="22"/>
              </w:rPr>
              <w:instrText xml:space="preserve"> PAGEREF _Toc530654468 \h </w:instrText>
            </w:r>
            <w:r w:rsidR="00A668E8" w:rsidRPr="00A668E8">
              <w:rPr>
                <w:noProof/>
                <w:webHidden/>
                <w:sz w:val="22"/>
              </w:rPr>
            </w:r>
            <w:r w:rsidR="00A668E8" w:rsidRPr="00A668E8">
              <w:rPr>
                <w:noProof/>
                <w:webHidden/>
                <w:sz w:val="22"/>
              </w:rPr>
              <w:fldChar w:fldCharType="separate"/>
            </w:r>
            <w:r w:rsidR="00112D66">
              <w:rPr>
                <w:noProof/>
                <w:webHidden/>
                <w:sz w:val="22"/>
              </w:rPr>
              <w:t>2</w:t>
            </w:r>
            <w:r w:rsidR="00A668E8" w:rsidRPr="00A668E8">
              <w:rPr>
                <w:noProof/>
                <w:webHidden/>
                <w:sz w:val="22"/>
              </w:rPr>
              <w:fldChar w:fldCharType="end"/>
            </w:r>
          </w:hyperlink>
        </w:p>
        <w:p w14:paraId="00BBBDD1" w14:textId="0B6228A6" w:rsidR="00A668E8" w:rsidRPr="00A668E8" w:rsidRDefault="003919D8">
          <w:pPr>
            <w:pStyle w:val="TOC1"/>
            <w:tabs>
              <w:tab w:val="right" w:pos="9592"/>
            </w:tabs>
            <w:rPr>
              <w:rFonts w:asciiTheme="minorHAnsi" w:eastAsiaTheme="minorEastAsia" w:hAnsiTheme="minorHAnsi" w:cstheme="minorBidi"/>
              <w:noProof/>
              <w:sz w:val="20"/>
              <w:szCs w:val="22"/>
              <w:lang w:eastAsia="en-AU"/>
            </w:rPr>
          </w:pPr>
          <w:hyperlink w:anchor="_Toc530654469" w:history="1">
            <w:r w:rsidR="00A668E8" w:rsidRPr="00A668E8">
              <w:rPr>
                <w:rStyle w:val="Hyperlink"/>
                <w:noProof/>
                <w:color w:val="auto"/>
                <w:sz w:val="22"/>
                <w:u w:val="none"/>
                <w:lang w:eastAsia="zh-CN"/>
              </w:rPr>
              <w:t>About this Report</w:t>
            </w:r>
            <w:r w:rsidR="00A668E8" w:rsidRPr="00A668E8">
              <w:rPr>
                <w:noProof/>
                <w:webHidden/>
                <w:sz w:val="22"/>
              </w:rPr>
              <w:tab/>
            </w:r>
            <w:r w:rsidR="00A668E8" w:rsidRPr="00A668E8">
              <w:rPr>
                <w:noProof/>
                <w:webHidden/>
                <w:sz w:val="22"/>
              </w:rPr>
              <w:fldChar w:fldCharType="begin"/>
            </w:r>
            <w:r w:rsidR="00A668E8" w:rsidRPr="00A668E8">
              <w:rPr>
                <w:noProof/>
                <w:webHidden/>
                <w:sz w:val="22"/>
              </w:rPr>
              <w:instrText xml:space="preserve"> PAGEREF _Toc530654469 \h </w:instrText>
            </w:r>
            <w:r w:rsidR="00A668E8" w:rsidRPr="00A668E8">
              <w:rPr>
                <w:noProof/>
                <w:webHidden/>
                <w:sz w:val="22"/>
              </w:rPr>
            </w:r>
            <w:r w:rsidR="00A668E8" w:rsidRPr="00A668E8">
              <w:rPr>
                <w:noProof/>
                <w:webHidden/>
                <w:sz w:val="22"/>
              </w:rPr>
              <w:fldChar w:fldCharType="separate"/>
            </w:r>
            <w:r w:rsidR="00112D66">
              <w:rPr>
                <w:noProof/>
                <w:webHidden/>
                <w:sz w:val="22"/>
              </w:rPr>
              <w:t>3</w:t>
            </w:r>
            <w:r w:rsidR="00A668E8" w:rsidRPr="00A668E8">
              <w:rPr>
                <w:noProof/>
                <w:webHidden/>
                <w:sz w:val="22"/>
              </w:rPr>
              <w:fldChar w:fldCharType="end"/>
            </w:r>
          </w:hyperlink>
        </w:p>
        <w:p w14:paraId="3D6DB2AC" w14:textId="4CE32651" w:rsidR="00A668E8" w:rsidRPr="00A668E8" w:rsidRDefault="003919D8">
          <w:pPr>
            <w:pStyle w:val="TOC1"/>
            <w:tabs>
              <w:tab w:val="right" w:pos="9592"/>
            </w:tabs>
            <w:rPr>
              <w:rFonts w:asciiTheme="minorHAnsi" w:eastAsiaTheme="minorEastAsia" w:hAnsiTheme="minorHAnsi" w:cstheme="minorBidi"/>
              <w:noProof/>
              <w:sz w:val="20"/>
              <w:szCs w:val="22"/>
              <w:lang w:eastAsia="en-AU"/>
            </w:rPr>
          </w:pPr>
          <w:hyperlink w:anchor="_Toc530654470" w:history="1">
            <w:r w:rsidR="00A668E8" w:rsidRPr="00A668E8">
              <w:rPr>
                <w:rStyle w:val="Hyperlink"/>
                <w:noProof/>
                <w:color w:val="auto"/>
                <w:sz w:val="22"/>
                <w:u w:val="none"/>
                <w:lang w:eastAsia="zh-CN"/>
              </w:rPr>
              <w:t>Convenor Report</w:t>
            </w:r>
            <w:r w:rsidR="00A668E8" w:rsidRPr="00A668E8">
              <w:rPr>
                <w:noProof/>
                <w:webHidden/>
                <w:sz w:val="22"/>
              </w:rPr>
              <w:tab/>
            </w:r>
            <w:r w:rsidR="00A668E8" w:rsidRPr="00A668E8">
              <w:rPr>
                <w:noProof/>
                <w:webHidden/>
                <w:sz w:val="22"/>
              </w:rPr>
              <w:fldChar w:fldCharType="begin"/>
            </w:r>
            <w:r w:rsidR="00A668E8" w:rsidRPr="00A668E8">
              <w:rPr>
                <w:noProof/>
                <w:webHidden/>
                <w:sz w:val="22"/>
              </w:rPr>
              <w:instrText xml:space="preserve"> PAGEREF _Toc530654470 \h </w:instrText>
            </w:r>
            <w:r w:rsidR="00A668E8" w:rsidRPr="00A668E8">
              <w:rPr>
                <w:noProof/>
                <w:webHidden/>
                <w:sz w:val="22"/>
              </w:rPr>
            </w:r>
            <w:r w:rsidR="00A668E8" w:rsidRPr="00A668E8">
              <w:rPr>
                <w:noProof/>
                <w:webHidden/>
                <w:sz w:val="22"/>
              </w:rPr>
              <w:fldChar w:fldCharType="separate"/>
            </w:r>
            <w:r w:rsidR="00112D66">
              <w:rPr>
                <w:noProof/>
                <w:webHidden/>
                <w:sz w:val="22"/>
              </w:rPr>
              <w:t>3</w:t>
            </w:r>
            <w:r w:rsidR="00A668E8" w:rsidRPr="00A668E8">
              <w:rPr>
                <w:noProof/>
                <w:webHidden/>
                <w:sz w:val="22"/>
              </w:rPr>
              <w:fldChar w:fldCharType="end"/>
            </w:r>
          </w:hyperlink>
        </w:p>
        <w:p w14:paraId="346C4FB8" w14:textId="15421451" w:rsidR="00A668E8" w:rsidRPr="00A668E8" w:rsidRDefault="003919D8">
          <w:pPr>
            <w:pStyle w:val="TOC1"/>
            <w:tabs>
              <w:tab w:val="right" w:pos="9592"/>
            </w:tabs>
            <w:rPr>
              <w:rFonts w:asciiTheme="minorHAnsi" w:eastAsiaTheme="minorEastAsia" w:hAnsiTheme="minorHAnsi" w:cstheme="minorBidi"/>
              <w:noProof/>
              <w:sz w:val="20"/>
              <w:szCs w:val="22"/>
              <w:lang w:eastAsia="en-AU"/>
            </w:rPr>
          </w:pPr>
          <w:hyperlink w:anchor="_Toc530654471" w:history="1">
            <w:r w:rsidR="00A668E8" w:rsidRPr="00A668E8">
              <w:rPr>
                <w:rStyle w:val="Hyperlink"/>
                <w:noProof/>
                <w:color w:val="auto"/>
                <w:sz w:val="22"/>
                <w:u w:val="none"/>
                <w:lang w:eastAsia="zh-CN"/>
              </w:rPr>
              <w:t>Chief Investment Officer (CIO) Report</w:t>
            </w:r>
            <w:r w:rsidR="00A668E8" w:rsidRPr="00A668E8">
              <w:rPr>
                <w:noProof/>
                <w:webHidden/>
                <w:sz w:val="22"/>
              </w:rPr>
              <w:tab/>
            </w:r>
            <w:r w:rsidR="00A668E8" w:rsidRPr="00A668E8">
              <w:rPr>
                <w:noProof/>
                <w:webHidden/>
                <w:sz w:val="22"/>
              </w:rPr>
              <w:fldChar w:fldCharType="begin"/>
            </w:r>
            <w:r w:rsidR="00A668E8" w:rsidRPr="00A668E8">
              <w:rPr>
                <w:noProof/>
                <w:webHidden/>
                <w:sz w:val="22"/>
              </w:rPr>
              <w:instrText xml:space="preserve"> PAGEREF _Toc530654471 \h </w:instrText>
            </w:r>
            <w:r w:rsidR="00A668E8" w:rsidRPr="00A668E8">
              <w:rPr>
                <w:noProof/>
                <w:webHidden/>
                <w:sz w:val="22"/>
              </w:rPr>
            </w:r>
            <w:r w:rsidR="00A668E8" w:rsidRPr="00A668E8">
              <w:rPr>
                <w:noProof/>
                <w:webHidden/>
                <w:sz w:val="22"/>
              </w:rPr>
              <w:fldChar w:fldCharType="separate"/>
            </w:r>
            <w:r w:rsidR="00112D66">
              <w:rPr>
                <w:noProof/>
                <w:webHidden/>
                <w:sz w:val="22"/>
              </w:rPr>
              <w:t>4</w:t>
            </w:r>
            <w:r w:rsidR="00A668E8" w:rsidRPr="00A668E8">
              <w:rPr>
                <w:noProof/>
                <w:webHidden/>
                <w:sz w:val="22"/>
              </w:rPr>
              <w:fldChar w:fldCharType="end"/>
            </w:r>
          </w:hyperlink>
        </w:p>
        <w:p w14:paraId="3A3B25FA" w14:textId="096AF869" w:rsidR="00A668E8" w:rsidRPr="00A668E8" w:rsidRDefault="003919D8">
          <w:pPr>
            <w:pStyle w:val="TOC1"/>
            <w:tabs>
              <w:tab w:val="right" w:pos="9592"/>
            </w:tabs>
            <w:rPr>
              <w:rStyle w:val="Hyperlink"/>
              <w:noProof/>
              <w:color w:val="auto"/>
              <w:sz w:val="22"/>
              <w:u w:val="none"/>
            </w:rPr>
          </w:pPr>
          <w:hyperlink w:anchor="_Toc530654472" w:history="1">
            <w:r w:rsidR="00A668E8" w:rsidRPr="00A668E8">
              <w:rPr>
                <w:rStyle w:val="Hyperlink"/>
                <w:noProof/>
                <w:color w:val="auto"/>
                <w:sz w:val="22"/>
                <w:u w:val="none"/>
                <w:lang w:eastAsia="zh-CN"/>
              </w:rPr>
              <w:t>Team Updates</w:t>
            </w:r>
            <w:r w:rsidR="00A668E8" w:rsidRPr="00A668E8">
              <w:rPr>
                <w:noProof/>
                <w:webHidden/>
                <w:sz w:val="22"/>
              </w:rPr>
              <w:tab/>
            </w:r>
            <w:r w:rsidR="00A668E8" w:rsidRPr="00A668E8">
              <w:rPr>
                <w:noProof/>
                <w:webHidden/>
                <w:sz w:val="22"/>
              </w:rPr>
              <w:fldChar w:fldCharType="begin"/>
            </w:r>
            <w:r w:rsidR="00A668E8" w:rsidRPr="00A668E8">
              <w:rPr>
                <w:noProof/>
                <w:webHidden/>
                <w:sz w:val="22"/>
              </w:rPr>
              <w:instrText xml:space="preserve"> PAGEREF _Toc530654472 \h </w:instrText>
            </w:r>
            <w:r w:rsidR="00A668E8" w:rsidRPr="00A668E8">
              <w:rPr>
                <w:noProof/>
                <w:webHidden/>
                <w:sz w:val="22"/>
              </w:rPr>
            </w:r>
            <w:r w:rsidR="00A668E8" w:rsidRPr="00A668E8">
              <w:rPr>
                <w:noProof/>
                <w:webHidden/>
                <w:sz w:val="22"/>
              </w:rPr>
              <w:fldChar w:fldCharType="separate"/>
            </w:r>
            <w:r w:rsidR="00112D66">
              <w:rPr>
                <w:noProof/>
                <w:webHidden/>
                <w:sz w:val="22"/>
              </w:rPr>
              <w:t>5</w:t>
            </w:r>
            <w:r w:rsidR="00A668E8" w:rsidRPr="00A668E8">
              <w:rPr>
                <w:noProof/>
                <w:webHidden/>
                <w:sz w:val="22"/>
              </w:rPr>
              <w:fldChar w:fldCharType="end"/>
            </w:r>
          </w:hyperlink>
        </w:p>
        <w:p w14:paraId="5CF8BAD6" w14:textId="1EB70173" w:rsidR="00A668E8" w:rsidRPr="00A668E8" w:rsidRDefault="003919D8" w:rsidP="00A668E8">
          <w:pPr>
            <w:pStyle w:val="TOC3"/>
            <w:rPr>
              <w:rFonts w:asciiTheme="minorHAnsi" w:eastAsiaTheme="minorEastAsia" w:hAnsiTheme="minorHAnsi" w:cstheme="minorBidi"/>
              <w:sz w:val="20"/>
              <w:szCs w:val="22"/>
              <w:lang w:eastAsia="en-AU"/>
            </w:rPr>
          </w:pPr>
          <w:hyperlink w:anchor="_Toc530654473" w:history="1">
            <w:r w:rsidR="00A668E8" w:rsidRPr="00A668E8">
              <w:rPr>
                <w:rStyle w:val="Hyperlink"/>
                <w:color w:val="auto"/>
                <w:sz w:val="22"/>
                <w:u w:val="none"/>
                <w:lang w:val="en-US"/>
              </w:rPr>
              <w:t>Active Australian Equities (AAE) Team</w:t>
            </w:r>
            <w:r w:rsidR="00A668E8" w:rsidRPr="00A668E8">
              <w:rPr>
                <w:webHidden/>
                <w:sz w:val="22"/>
              </w:rPr>
              <w:tab/>
            </w:r>
            <w:r w:rsidR="00112D66">
              <w:rPr>
                <w:webHidden/>
                <w:sz w:val="22"/>
              </w:rPr>
              <w:t>5</w:t>
            </w:r>
          </w:hyperlink>
        </w:p>
        <w:p w14:paraId="4D248599" w14:textId="61ABCAF4" w:rsidR="00A668E8" w:rsidRPr="00A668E8" w:rsidRDefault="00A668E8" w:rsidP="00A668E8">
          <w:pPr>
            <w:pStyle w:val="TOC3"/>
            <w:rPr>
              <w:rFonts w:asciiTheme="minorHAnsi" w:eastAsiaTheme="minorEastAsia" w:hAnsiTheme="minorHAnsi" w:cstheme="minorBidi"/>
              <w:sz w:val="20"/>
              <w:szCs w:val="22"/>
              <w:lang w:eastAsia="en-AU"/>
            </w:rPr>
          </w:pPr>
          <w:r w:rsidRPr="00A668E8">
            <w:rPr>
              <w:rStyle w:val="Hyperlink"/>
              <w:color w:val="auto"/>
              <w:sz w:val="22"/>
              <w:u w:val="none"/>
            </w:rPr>
            <w:t>Asset Allocation (AA)</w:t>
          </w:r>
          <w:hyperlink w:anchor="_Toc530654473" w:history="1">
            <w:r w:rsidRPr="00A668E8">
              <w:rPr>
                <w:rStyle w:val="Hyperlink"/>
                <w:color w:val="auto"/>
                <w:sz w:val="22"/>
                <w:u w:val="none"/>
                <w:lang w:val="en-US"/>
              </w:rPr>
              <w:t xml:space="preserve"> Team</w:t>
            </w:r>
            <w:r w:rsidRPr="00A668E8">
              <w:rPr>
                <w:webHidden/>
                <w:sz w:val="22"/>
              </w:rPr>
              <w:tab/>
            </w:r>
            <w:r w:rsidR="00112D66">
              <w:rPr>
                <w:webHidden/>
                <w:sz w:val="22"/>
              </w:rPr>
              <w:t>5</w:t>
            </w:r>
          </w:hyperlink>
        </w:p>
        <w:p w14:paraId="0D2620F7" w14:textId="0C95D391" w:rsidR="00A668E8" w:rsidRPr="00A668E8" w:rsidRDefault="00A668E8" w:rsidP="00A668E8">
          <w:pPr>
            <w:pStyle w:val="TOC3"/>
            <w:rPr>
              <w:rFonts w:asciiTheme="minorHAnsi" w:eastAsiaTheme="minorEastAsia" w:hAnsiTheme="minorHAnsi" w:cstheme="minorBidi"/>
              <w:sz w:val="20"/>
              <w:szCs w:val="22"/>
              <w:lang w:eastAsia="en-AU"/>
            </w:rPr>
          </w:pPr>
          <w:r w:rsidRPr="00A668E8">
            <w:rPr>
              <w:rStyle w:val="Hyperlink"/>
              <w:color w:val="auto"/>
              <w:sz w:val="22"/>
              <w:u w:val="none"/>
              <w:lang w:val="en-US"/>
            </w:rPr>
            <w:t>Risk &amp; Compliance (R&amp;C) Team</w:t>
          </w:r>
          <w:r w:rsidRPr="00A668E8">
            <w:rPr>
              <w:webHidden/>
              <w:sz w:val="22"/>
            </w:rPr>
            <w:tab/>
          </w:r>
          <w:r w:rsidR="00112D66">
            <w:rPr>
              <w:rStyle w:val="Hyperlink"/>
              <w:color w:val="auto"/>
              <w:sz w:val="22"/>
              <w:u w:val="none"/>
            </w:rPr>
            <w:t>6</w:t>
          </w:r>
        </w:p>
        <w:p w14:paraId="0A2CC363" w14:textId="7C809FCA" w:rsidR="00A668E8" w:rsidRPr="00A668E8" w:rsidRDefault="003919D8" w:rsidP="00A668E8">
          <w:pPr>
            <w:pStyle w:val="TOC3"/>
            <w:rPr>
              <w:rFonts w:asciiTheme="minorHAnsi" w:eastAsiaTheme="minorEastAsia" w:hAnsiTheme="minorHAnsi" w:cstheme="minorBidi"/>
              <w:sz w:val="20"/>
              <w:szCs w:val="22"/>
              <w:lang w:eastAsia="en-AU"/>
            </w:rPr>
          </w:pPr>
          <w:hyperlink w:anchor="_Toc530654473" w:history="1">
            <w:r w:rsidR="00A668E8" w:rsidRPr="00A668E8">
              <w:rPr>
                <w:rStyle w:val="Hyperlink"/>
                <w:color w:val="auto"/>
                <w:sz w:val="22"/>
                <w:u w:val="none"/>
                <w:lang w:val="en-US"/>
              </w:rPr>
              <w:t>Relationship Team</w:t>
            </w:r>
            <w:r w:rsidR="00A668E8" w:rsidRPr="00A668E8">
              <w:rPr>
                <w:webHidden/>
                <w:sz w:val="22"/>
              </w:rPr>
              <w:tab/>
            </w:r>
            <w:r w:rsidR="00112D66">
              <w:rPr>
                <w:webHidden/>
                <w:sz w:val="22"/>
              </w:rPr>
              <w:t>6</w:t>
            </w:r>
          </w:hyperlink>
        </w:p>
        <w:p w14:paraId="3F29A784" w14:textId="6D8CA67D" w:rsidR="00112D66" w:rsidRPr="00A668E8" w:rsidRDefault="00112D66" w:rsidP="00112D66">
          <w:pPr>
            <w:pStyle w:val="TOC1"/>
            <w:tabs>
              <w:tab w:val="right" w:pos="9592"/>
            </w:tabs>
            <w:rPr>
              <w:rStyle w:val="Hyperlink"/>
              <w:noProof/>
              <w:color w:val="auto"/>
              <w:sz w:val="22"/>
              <w:u w:val="none"/>
            </w:rPr>
          </w:pPr>
          <w:r>
            <w:rPr>
              <w:rStyle w:val="Hyperlink"/>
              <w:noProof/>
              <w:color w:val="auto"/>
              <w:sz w:val="22"/>
              <w:u w:val="none"/>
            </w:rPr>
            <w:t>A</w:t>
          </w:r>
          <w:r w:rsidR="002E2767">
            <w:rPr>
              <w:rStyle w:val="Hyperlink"/>
              <w:noProof/>
              <w:color w:val="auto"/>
              <w:sz w:val="22"/>
              <w:u w:val="none"/>
            </w:rPr>
            <w:t xml:space="preserve">AE Portfolio Changes </w:t>
          </w:r>
          <w:r>
            <w:rPr>
              <w:rStyle w:val="Hyperlink"/>
              <w:noProof/>
              <w:color w:val="auto"/>
              <w:sz w:val="22"/>
              <w:u w:val="none"/>
            </w:rPr>
            <w:tab/>
            <w:t>7</w:t>
          </w:r>
        </w:p>
        <w:p w14:paraId="3C0C3A83" w14:textId="39F85C97" w:rsidR="00112D66" w:rsidRPr="00A668E8" w:rsidRDefault="00112D66" w:rsidP="00112D66">
          <w:pPr>
            <w:pStyle w:val="TOC3"/>
            <w:rPr>
              <w:rFonts w:asciiTheme="minorHAnsi" w:eastAsiaTheme="minorEastAsia" w:hAnsiTheme="minorHAnsi" w:cstheme="minorBidi"/>
              <w:sz w:val="20"/>
              <w:szCs w:val="22"/>
              <w:lang w:eastAsia="en-AU"/>
            </w:rPr>
          </w:pPr>
          <w:r>
            <w:rPr>
              <w:rStyle w:val="Hyperlink"/>
              <w:color w:val="auto"/>
              <w:sz w:val="22"/>
              <w:u w:val="none"/>
            </w:rPr>
            <w:t xml:space="preserve">Bingo Industries </w:t>
          </w:r>
          <w:hyperlink w:anchor="_Toc530654473" w:history="1">
            <w:r w:rsidRPr="00A668E8">
              <w:rPr>
                <w:webHidden/>
                <w:sz w:val="22"/>
              </w:rPr>
              <w:tab/>
            </w:r>
            <w:r>
              <w:rPr>
                <w:webHidden/>
                <w:sz w:val="22"/>
              </w:rPr>
              <w:t>7</w:t>
            </w:r>
          </w:hyperlink>
        </w:p>
        <w:p w14:paraId="567F4090" w14:textId="3D472107" w:rsidR="00A668E8" w:rsidRPr="00A668E8" w:rsidRDefault="00112D66" w:rsidP="00112D66">
          <w:pPr>
            <w:pStyle w:val="TOC3"/>
            <w:rPr>
              <w:rFonts w:asciiTheme="minorHAnsi" w:eastAsiaTheme="minorEastAsia" w:hAnsiTheme="minorHAnsi" w:cstheme="minorBidi"/>
              <w:sz w:val="20"/>
              <w:szCs w:val="22"/>
              <w:lang w:eastAsia="en-AU"/>
            </w:rPr>
          </w:pPr>
          <w:r>
            <w:rPr>
              <w:rStyle w:val="Hyperlink"/>
              <w:color w:val="auto"/>
              <w:sz w:val="22"/>
              <w:u w:val="none"/>
            </w:rPr>
            <w:t>Telstra</w:t>
          </w:r>
          <w:hyperlink w:anchor="_Toc530654473" w:history="1">
            <w:r w:rsidRPr="00A668E8">
              <w:rPr>
                <w:rStyle w:val="Hyperlink"/>
                <w:color w:val="auto"/>
                <w:sz w:val="22"/>
                <w:u w:val="none"/>
                <w:lang w:val="en-US"/>
              </w:rPr>
              <w:t xml:space="preserve"> </w:t>
            </w:r>
            <w:r w:rsidRPr="00A668E8">
              <w:rPr>
                <w:webHidden/>
                <w:sz w:val="22"/>
              </w:rPr>
              <w:tab/>
            </w:r>
            <w:r>
              <w:rPr>
                <w:webHidden/>
                <w:sz w:val="22"/>
              </w:rPr>
              <w:t>7</w:t>
            </w:r>
          </w:hyperlink>
        </w:p>
        <w:p w14:paraId="6A45EFB7" w14:textId="3F84ACA2" w:rsidR="00112D66" w:rsidRPr="00A668E8" w:rsidRDefault="00112D66" w:rsidP="00112D66">
          <w:pPr>
            <w:pStyle w:val="TOC1"/>
            <w:tabs>
              <w:tab w:val="right" w:pos="9592"/>
            </w:tabs>
            <w:rPr>
              <w:rStyle w:val="Hyperlink"/>
              <w:noProof/>
              <w:color w:val="auto"/>
              <w:sz w:val="22"/>
              <w:u w:val="none"/>
            </w:rPr>
          </w:pPr>
          <w:r>
            <w:rPr>
              <w:rStyle w:val="Hyperlink"/>
              <w:noProof/>
              <w:color w:val="auto"/>
              <w:sz w:val="22"/>
              <w:u w:val="none"/>
            </w:rPr>
            <w:t xml:space="preserve">Portfolio Overview </w:t>
          </w:r>
          <w:hyperlink w:anchor="_Toc530654472" w:history="1">
            <w:r w:rsidRPr="00A668E8">
              <w:rPr>
                <w:noProof/>
                <w:webHidden/>
                <w:sz w:val="22"/>
              </w:rPr>
              <w:tab/>
            </w:r>
            <w:r>
              <w:rPr>
                <w:noProof/>
                <w:webHidden/>
                <w:sz w:val="22"/>
              </w:rPr>
              <w:t>8</w:t>
            </w:r>
          </w:hyperlink>
        </w:p>
        <w:p w14:paraId="180A3B57" w14:textId="22626EC4" w:rsidR="00112D66" w:rsidRPr="00A668E8" w:rsidRDefault="00112D66" w:rsidP="00112D66">
          <w:pPr>
            <w:pStyle w:val="TOC3"/>
            <w:rPr>
              <w:rFonts w:asciiTheme="minorHAnsi" w:eastAsiaTheme="minorEastAsia" w:hAnsiTheme="minorHAnsi" w:cstheme="minorBidi"/>
              <w:sz w:val="20"/>
              <w:szCs w:val="22"/>
              <w:lang w:eastAsia="en-AU"/>
            </w:rPr>
          </w:pPr>
          <w:r>
            <w:rPr>
              <w:rStyle w:val="Hyperlink"/>
              <w:color w:val="auto"/>
              <w:sz w:val="22"/>
              <w:u w:val="none"/>
            </w:rPr>
            <w:t xml:space="preserve">Portfolio Performance </w:t>
          </w:r>
          <w:hyperlink w:anchor="_Toc530654473" w:history="1">
            <w:r w:rsidRPr="00A668E8">
              <w:rPr>
                <w:webHidden/>
                <w:sz w:val="22"/>
              </w:rPr>
              <w:tab/>
            </w:r>
            <w:r>
              <w:rPr>
                <w:webHidden/>
                <w:sz w:val="22"/>
              </w:rPr>
              <w:t>9</w:t>
            </w:r>
          </w:hyperlink>
        </w:p>
        <w:p w14:paraId="5B9335BF" w14:textId="23986AB8" w:rsidR="00112D66" w:rsidRPr="00A668E8" w:rsidRDefault="00112D66" w:rsidP="00112D66">
          <w:pPr>
            <w:pStyle w:val="TOC3"/>
            <w:rPr>
              <w:rFonts w:asciiTheme="minorHAnsi" w:eastAsiaTheme="minorEastAsia" w:hAnsiTheme="minorHAnsi" w:cstheme="minorBidi"/>
              <w:sz w:val="20"/>
              <w:szCs w:val="22"/>
              <w:lang w:eastAsia="en-AU"/>
            </w:rPr>
          </w:pPr>
          <w:r>
            <w:rPr>
              <w:rStyle w:val="Hyperlink"/>
              <w:color w:val="auto"/>
              <w:sz w:val="22"/>
              <w:u w:val="none"/>
            </w:rPr>
            <w:t xml:space="preserve">Attribution Analysis </w:t>
          </w:r>
          <w:hyperlink w:anchor="_Toc530654473" w:history="1">
            <w:r w:rsidRPr="00A668E8">
              <w:rPr>
                <w:webHidden/>
                <w:sz w:val="22"/>
              </w:rPr>
              <w:tab/>
            </w:r>
            <w:r>
              <w:rPr>
                <w:webHidden/>
                <w:sz w:val="22"/>
              </w:rPr>
              <w:t>10</w:t>
            </w:r>
          </w:hyperlink>
        </w:p>
        <w:p w14:paraId="32115D50" w14:textId="2B382CD4" w:rsidR="00A668E8" w:rsidRPr="00A668E8" w:rsidRDefault="003919D8">
          <w:pPr>
            <w:pStyle w:val="TOC1"/>
            <w:tabs>
              <w:tab w:val="right" w:pos="9592"/>
            </w:tabs>
            <w:rPr>
              <w:rFonts w:asciiTheme="minorHAnsi" w:eastAsiaTheme="minorEastAsia" w:hAnsiTheme="minorHAnsi" w:cstheme="minorBidi"/>
              <w:noProof/>
              <w:sz w:val="20"/>
              <w:szCs w:val="22"/>
              <w:lang w:eastAsia="en-AU"/>
            </w:rPr>
          </w:pPr>
          <w:hyperlink w:anchor="_Toc530654478" w:history="1">
            <w:r w:rsidR="00A668E8" w:rsidRPr="00A668E8">
              <w:rPr>
                <w:rStyle w:val="Hyperlink"/>
                <w:noProof/>
                <w:color w:val="auto"/>
                <w:sz w:val="22"/>
                <w:u w:val="none"/>
                <w:lang w:eastAsia="zh-CN"/>
              </w:rPr>
              <w:t>Socially Responsible Investment (SRI) Report</w:t>
            </w:r>
            <w:r w:rsidR="00A668E8" w:rsidRPr="00A668E8">
              <w:rPr>
                <w:noProof/>
                <w:webHidden/>
                <w:sz w:val="22"/>
              </w:rPr>
              <w:tab/>
            </w:r>
            <w:r w:rsidR="00A668E8" w:rsidRPr="00A668E8">
              <w:rPr>
                <w:noProof/>
                <w:webHidden/>
                <w:sz w:val="22"/>
              </w:rPr>
              <w:fldChar w:fldCharType="begin"/>
            </w:r>
            <w:r w:rsidR="00A668E8" w:rsidRPr="00A668E8">
              <w:rPr>
                <w:noProof/>
                <w:webHidden/>
                <w:sz w:val="22"/>
              </w:rPr>
              <w:instrText xml:space="preserve"> PAGEREF _Toc530654478 \h </w:instrText>
            </w:r>
            <w:r w:rsidR="00A668E8" w:rsidRPr="00A668E8">
              <w:rPr>
                <w:noProof/>
                <w:webHidden/>
                <w:sz w:val="22"/>
              </w:rPr>
            </w:r>
            <w:r w:rsidR="00A668E8" w:rsidRPr="00A668E8">
              <w:rPr>
                <w:noProof/>
                <w:webHidden/>
                <w:sz w:val="22"/>
              </w:rPr>
              <w:fldChar w:fldCharType="separate"/>
            </w:r>
            <w:r w:rsidR="00112D66">
              <w:rPr>
                <w:noProof/>
                <w:webHidden/>
                <w:sz w:val="22"/>
              </w:rPr>
              <w:t>11</w:t>
            </w:r>
            <w:r w:rsidR="00A668E8" w:rsidRPr="00A668E8">
              <w:rPr>
                <w:noProof/>
                <w:webHidden/>
                <w:sz w:val="22"/>
              </w:rPr>
              <w:fldChar w:fldCharType="end"/>
            </w:r>
          </w:hyperlink>
        </w:p>
        <w:p w14:paraId="0CDA5269" w14:textId="6E73D834" w:rsidR="00112D66" w:rsidRPr="00A668E8" w:rsidRDefault="00112D66" w:rsidP="00112D66">
          <w:pPr>
            <w:pStyle w:val="TOC1"/>
            <w:tabs>
              <w:tab w:val="right" w:pos="9592"/>
            </w:tabs>
            <w:rPr>
              <w:rStyle w:val="Hyperlink"/>
              <w:noProof/>
              <w:color w:val="auto"/>
              <w:sz w:val="22"/>
              <w:u w:val="none"/>
            </w:rPr>
          </w:pPr>
          <w:r>
            <w:rPr>
              <w:rStyle w:val="Hyperlink"/>
              <w:noProof/>
              <w:color w:val="auto"/>
              <w:sz w:val="22"/>
              <w:u w:val="none"/>
            </w:rPr>
            <w:t>APPENDIX</w:t>
          </w:r>
          <w:hyperlink w:anchor="_Toc530654472" w:history="1">
            <w:r w:rsidRPr="00A668E8">
              <w:rPr>
                <w:noProof/>
                <w:webHidden/>
                <w:sz w:val="22"/>
              </w:rPr>
              <w:tab/>
            </w:r>
            <w:r>
              <w:rPr>
                <w:noProof/>
                <w:webHidden/>
                <w:sz w:val="22"/>
              </w:rPr>
              <w:t>12</w:t>
            </w:r>
          </w:hyperlink>
        </w:p>
        <w:p w14:paraId="2E982C0F" w14:textId="6679DA6C" w:rsidR="00112D66" w:rsidRPr="00A668E8" w:rsidRDefault="00112D66" w:rsidP="00112D66">
          <w:pPr>
            <w:pStyle w:val="TOC3"/>
            <w:rPr>
              <w:rFonts w:asciiTheme="minorHAnsi" w:eastAsiaTheme="minorEastAsia" w:hAnsiTheme="minorHAnsi" w:cstheme="minorBidi"/>
              <w:sz w:val="20"/>
              <w:szCs w:val="22"/>
              <w:lang w:eastAsia="en-AU"/>
            </w:rPr>
          </w:pPr>
          <w:r>
            <w:rPr>
              <w:rStyle w:val="Hyperlink"/>
              <w:color w:val="auto"/>
              <w:sz w:val="22"/>
              <w:u w:val="none"/>
            </w:rPr>
            <w:t>SMF Activities during Semester 2, 2018</w:t>
          </w:r>
          <w:hyperlink w:anchor="_Toc530654473" w:history="1">
            <w:r w:rsidRPr="00A668E8">
              <w:rPr>
                <w:webHidden/>
                <w:sz w:val="22"/>
              </w:rPr>
              <w:tab/>
            </w:r>
            <w:r>
              <w:rPr>
                <w:webHidden/>
                <w:sz w:val="22"/>
              </w:rPr>
              <w:t>12</w:t>
            </w:r>
          </w:hyperlink>
        </w:p>
        <w:p w14:paraId="2BCAC0E2" w14:textId="0D923158" w:rsidR="00112D66" w:rsidRPr="00A668E8" w:rsidRDefault="00112D66" w:rsidP="00112D66">
          <w:pPr>
            <w:pStyle w:val="TOC3"/>
            <w:rPr>
              <w:rFonts w:asciiTheme="minorHAnsi" w:eastAsiaTheme="minorEastAsia" w:hAnsiTheme="minorHAnsi" w:cstheme="minorBidi"/>
              <w:sz w:val="20"/>
              <w:szCs w:val="22"/>
              <w:lang w:eastAsia="en-AU"/>
            </w:rPr>
          </w:pPr>
          <w:r>
            <w:rPr>
              <w:rStyle w:val="Hyperlink"/>
              <w:color w:val="auto"/>
              <w:sz w:val="22"/>
              <w:u w:val="none"/>
            </w:rPr>
            <w:t>SMF Team Membership</w:t>
          </w:r>
          <w:hyperlink w:anchor="_Toc530654473" w:history="1">
            <w:r w:rsidRPr="00A668E8">
              <w:rPr>
                <w:webHidden/>
                <w:sz w:val="22"/>
              </w:rPr>
              <w:tab/>
            </w:r>
            <w:r>
              <w:rPr>
                <w:webHidden/>
                <w:sz w:val="22"/>
              </w:rPr>
              <w:t>12</w:t>
            </w:r>
          </w:hyperlink>
        </w:p>
        <w:p w14:paraId="1E588CF8" w14:textId="3268C040" w:rsidR="00141975" w:rsidRPr="00112D66" w:rsidRDefault="00973FCE" w:rsidP="00232467">
          <w:pPr>
            <w:pStyle w:val="TOC3"/>
            <w:spacing w:before="0" w:after="0"/>
            <w:ind w:left="0"/>
            <w:rPr>
              <w:rFonts w:asciiTheme="minorHAnsi" w:eastAsiaTheme="minorEastAsia" w:hAnsiTheme="minorHAnsi" w:cstheme="minorBidi"/>
              <w:sz w:val="20"/>
              <w:szCs w:val="22"/>
              <w:lang w:eastAsia="en-AU"/>
            </w:rPr>
          </w:pPr>
          <w:r w:rsidRPr="00D61662">
            <w:rPr>
              <w:b/>
            </w:rPr>
            <w:fldChar w:fldCharType="end"/>
          </w:r>
        </w:p>
      </w:sdtContent>
    </w:sdt>
    <w:p w14:paraId="0CE105D5" w14:textId="213477B3" w:rsidR="009E2493" w:rsidRPr="00D61662" w:rsidRDefault="00BF3830" w:rsidP="00232467">
      <w:pPr>
        <w:pStyle w:val="Heading1"/>
        <w:spacing w:before="0"/>
        <w:rPr>
          <w:sz w:val="24"/>
          <w:szCs w:val="24"/>
          <w:lang w:eastAsia="zh-CN"/>
        </w:rPr>
      </w:pPr>
      <w:bookmarkStart w:id="1" w:name="_Toc530654468"/>
      <w:bookmarkStart w:id="2" w:name="_Toc385405354"/>
      <w:r w:rsidRPr="00D61662">
        <w:rPr>
          <w:sz w:val="24"/>
          <w:szCs w:val="24"/>
          <w:lang w:eastAsia="zh-CN"/>
        </w:rPr>
        <w:t>Glossary</w:t>
      </w:r>
      <w:bookmarkEnd w:id="1"/>
      <w:r w:rsidR="009E2493" w:rsidRPr="00D61662">
        <w:t xml:space="preserve"> </w:t>
      </w:r>
    </w:p>
    <w:p w14:paraId="2FA969DD" w14:textId="4612F76E" w:rsidR="009E2493" w:rsidRPr="00D61662" w:rsidRDefault="009E2493" w:rsidP="00E01631">
      <w:pPr>
        <w:spacing w:before="60" w:after="0"/>
        <w:rPr>
          <w:sz w:val="20"/>
          <w:szCs w:val="20"/>
        </w:rPr>
      </w:pPr>
      <w:r w:rsidRPr="00D61662">
        <w:rPr>
          <w:b/>
          <w:sz w:val="20"/>
          <w:szCs w:val="20"/>
        </w:rPr>
        <w:t xml:space="preserve">AA </w:t>
      </w:r>
      <w:r w:rsidRPr="00D61662">
        <w:rPr>
          <w:sz w:val="20"/>
          <w:szCs w:val="20"/>
        </w:rPr>
        <w:t xml:space="preserve">– </w:t>
      </w:r>
      <w:r w:rsidR="001C7CD7" w:rsidRPr="00D61662">
        <w:rPr>
          <w:sz w:val="20"/>
          <w:szCs w:val="20"/>
        </w:rPr>
        <w:t>Asset Allocation</w:t>
      </w:r>
    </w:p>
    <w:p w14:paraId="114F0094" w14:textId="77777777" w:rsidR="001C7CD7" w:rsidRPr="00D61662" w:rsidRDefault="009E2493" w:rsidP="00E01631">
      <w:pPr>
        <w:spacing w:before="60" w:after="0"/>
        <w:rPr>
          <w:sz w:val="20"/>
          <w:szCs w:val="20"/>
        </w:rPr>
      </w:pPr>
      <w:r w:rsidRPr="00D61662">
        <w:rPr>
          <w:b/>
          <w:sz w:val="20"/>
          <w:szCs w:val="20"/>
        </w:rPr>
        <w:t xml:space="preserve">AAE </w:t>
      </w:r>
      <w:r w:rsidRPr="00D61662">
        <w:rPr>
          <w:sz w:val="20"/>
          <w:szCs w:val="20"/>
        </w:rPr>
        <w:t>–</w:t>
      </w:r>
      <w:r w:rsidR="001C7CD7" w:rsidRPr="00D61662">
        <w:rPr>
          <w:sz w:val="20"/>
          <w:szCs w:val="20"/>
        </w:rPr>
        <w:t xml:space="preserve"> Active Australian Equities</w:t>
      </w:r>
    </w:p>
    <w:p w14:paraId="1ED5F793" w14:textId="7D022D4F" w:rsidR="009E2493" w:rsidRPr="00D61662" w:rsidRDefault="009E2493" w:rsidP="00E01631">
      <w:pPr>
        <w:spacing w:before="60" w:after="0"/>
        <w:rPr>
          <w:sz w:val="20"/>
          <w:szCs w:val="20"/>
        </w:rPr>
      </w:pPr>
      <w:r w:rsidRPr="00D61662">
        <w:rPr>
          <w:b/>
          <w:sz w:val="20"/>
          <w:szCs w:val="20"/>
        </w:rPr>
        <w:t xml:space="preserve">ANU </w:t>
      </w:r>
      <w:r w:rsidRPr="00D61662">
        <w:rPr>
          <w:sz w:val="20"/>
          <w:szCs w:val="20"/>
        </w:rPr>
        <w:t>– The Australian National University</w:t>
      </w:r>
    </w:p>
    <w:p w14:paraId="5968856D" w14:textId="5C9E2770" w:rsidR="005B74B3" w:rsidRPr="00D61662" w:rsidRDefault="005B74B3" w:rsidP="00E01631">
      <w:pPr>
        <w:spacing w:before="60" w:after="0"/>
        <w:rPr>
          <w:sz w:val="20"/>
          <w:szCs w:val="20"/>
        </w:rPr>
      </w:pPr>
      <w:r w:rsidRPr="00D61662">
        <w:rPr>
          <w:b/>
          <w:sz w:val="20"/>
          <w:szCs w:val="20"/>
        </w:rPr>
        <w:t xml:space="preserve">BIN </w:t>
      </w:r>
      <w:r w:rsidRPr="00D61662">
        <w:rPr>
          <w:sz w:val="20"/>
          <w:szCs w:val="20"/>
        </w:rPr>
        <w:t>– Bingo Industries</w:t>
      </w:r>
    </w:p>
    <w:p w14:paraId="115FF020" w14:textId="4AE24B0B" w:rsidR="005B74B3" w:rsidRPr="00D61662" w:rsidRDefault="005B74B3" w:rsidP="00E01631">
      <w:pPr>
        <w:spacing w:before="60" w:after="0"/>
        <w:rPr>
          <w:b/>
          <w:sz w:val="20"/>
          <w:szCs w:val="20"/>
        </w:rPr>
      </w:pPr>
      <w:r w:rsidRPr="00D61662">
        <w:rPr>
          <w:b/>
          <w:sz w:val="20"/>
          <w:szCs w:val="20"/>
        </w:rPr>
        <w:t xml:space="preserve">CBE </w:t>
      </w:r>
      <w:r w:rsidRPr="00D61662">
        <w:rPr>
          <w:sz w:val="20"/>
          <w:szCs w:val="20"/>
        </w:rPr>
        <w:t xml:space="preserve">– College of Business and Economics </w:t>
      </w:r>
    </w:p>
    <w:p w14:paraId="118772A9" w14:textId="15D7C2FC" w:rsidR="000464A2" w:rsidRPr="00D61662" w:rsidRDefault="000464A2" w:rsidP="00E01631">
      <w:pPr>
        <w:spacing w:before="60" w:after="0"/>
        <w:rPr>
          <w:sz w:val="20"/>
          <w:szCs w:val="20"/>
        </w:rPr>
      </w:pPr>
      <w:r w:rsidRPr="00D61662">
        <w:rPr>
          <w:b/>
          <w:sz w:val="20"/>
          <w:szCs w:val="20"/>
        </w:rPr>
        <w:t xml:space="preserve">CIO – </w:t>
      </w:r>
      <w:r w:rsidRPr="00D61662">
        <w:rPr>
          <w:sz w:val="20"/>
          <w:szCs w:val="20"/>
        </w:rPr>
        <w:t>Chief Investment Officer</w:t>
      </w:r>
    </w:p>
    <w:p w14:paraId="2D9434FC" w14:textId="68726A7E" w:rsidR="00506F52" w:rsidRPr="00D61662" w:rsidRDefault="00506F52" w:rsidP="00E01631">
      <w:pPr>
        <w:spacing w:before="60" w:after="0"/>
        <w:rPr>
          <w:sz w:val="20"/>
          <w:szCs w:val="20"/>
        </w:rPr>
      </w:pPr>
      <w:r w:rsidRPr="00D61662">
        <w:rPr>
          <w:b/>
          <w:sz w:val="20"/>
          <w:szCs w:val="20"/>
        </w:rPr>
        <w:t xml:space="preserve">CRO </w:t>
      </w:r>
      <w:r w:rsidRPr="00D61662">
        <w:rPr>
          <w:sz w:val="20"/>
          <w:szCs w:val="20"/>
        </w:rPr>
        <w:t>– Chief Risk Officer</w:t>
      </w:r>
    </w:p>
    <w:p w14:paraId="14466FF9" w14:textId="7862D280" w:rsidR="005462FB" w:rsidRPr="00D61662" w:rsidRDefault="005462FB" w:rsidP="00E01631">
      <w:pPr>
        <w:spacing w:before="60" w:after="0"/>
        <w:rPr>
          <w:sz w:val="20"/>
          <w:szCs w:val="20"/>
        </w:rPr>
      </w:pPr>
      <w:r w:rsidRPr="00D61662">
        <w:rPr>
          <w:b/>
          <w:sz w:val="20"/>
          <w:szCs w:val="20"/>
        </w:rPr>
        <w:t>ESG</w:t>
      </w:r>
      <w:r w:rsidRPr="00D61662">
        <w:rPr>
          <w:sz w:val="20"/>
          <w:szCs w:val="20"/>
        </w:rPr>
        <w:t xml:space="preserve"> – Environmental, Social and Governance</w:t>
      </w:r>
    </w:p>
    <w:p w14:paraId="023266CC" w14:textId="3C2664EA" w:rsidR="00B76460" w:rsidRPr="00D61662" w:rsidRDefault="00B76460" w:rsidP="00E01631">
      <w:pPr>
        <w:spacing w:before="60" w:after="0"/>
        <w:rPr>
          <w:sz w:val="20"/>
          <w:szCs w:val="20"/>
        </w:rPr>
      </w:pPr>
      <w:r w:rsidRPr="00D61662">
        <w:rPr>
          <w:b/>
          <w:sz w:val="20"/>
          <w:szCs w:val="20"/>
        </w:rPr>
        <w:t>ETF</w:t>
      </w:r>
      <w:r w:rsidRPr="00D61662">
        <w:rPr>
          <w:sz w:val="20"/>
          <w:szCs w:val="20"/>
        </w:rPr>
        <w:t xml:space="preserve"> – </w:t>
      </w:r>
      <w:r w:rsidR="002E2767">
        <w:rPr>
          <w:sz w:val="20"/>
          <w:szCs w:val="20"/>
        </w:rPr>
        <w:t>E</w:t>
      </w:r>
      <w:r w:rsidRPr="00D61662">
        <w:rPr>
          <w:sz w:val="20"/>
          <w:szCs w:val="20"/>
        </w:rPr>
        <w:t>xchanged-</w:t>
      </w:r>
      <w:r w:rsidR="002E2767">
        <w:rPr>
          <w:sz w:val="20"/>
          <w:szCs w:val="20"/>
        </w:rPr>
        <w:t>T</w:t>
      </w:r>
      <w:r w:rsidRPr="00D61662">
        <w:rPr>
          <w:sz w:val="20"/>
          <w:szCs w:val="20"/>
        </w:rPr>
        <w:t xml:space="preserve">raded </w:t>
      </w:r>
      <w:r w:rsidR="002E2767">
        <w:rPr>
          <w:sz w:val="20"/>
          <w:szCs w:val="20"/>
        </w:rPr>
        <w:t>F</w:t>
      </w:r>
      <w:r w:rsidRPr="00D61662">
        <w:rPr>
          <w:sz w:val="20"/>
          <w:szCs w:val="20"/>
        </w:rPr>
        <w:t>und</w:t>
      </w:r>
    </w:p>
    <w:p w14:paraId="37F2476B" w14:textId="437BC0B0" w:rsidR="00B76460" w:rsidRPr="00D61662" w:rsidRDefault="00B76460" w:rsidP="00E01631">
      <w:pPr>
        <w:spacing w:before="60" w:after="0"/>
        <w:rPr>
          <w:sz w:val="20"/>
          <w:szCs w:val="20"/>
        </w:rPr>
      </w:pPr>
      <w:r w:rsidRPr="00D61662">
        <w:rPr>
          <w:b/>
          <w:sz w:val="20"/>
          <w:szCs w:val="20"/>
        </w:rPr>
        <w:t xml:space="preserve">IAC </w:t>
      </w:r>
      <w:r w:rsidRPr="00D61662">
        <w:rPr>
          <w:sz w:val="20"/>
          <w:szCs w:val="20"/>
        </w:rPr>
        <w:t>– Investment Advisory Committee</w:t>
      </w:r>
    </w:p>
    <w:p w14:paraId="7D9C0AA2" w14:textId="6665B82A" w:rsidR="00B76460" w:rsidRPr="00D61662" w:rsidRDefault="00B76460" w:rsidP="00E01631">
      <w:pPr>
        <w:spacing w:before="60" w:after="0"/>
        <w:rPr>
          <w:sz w:val="20"/>
          <w:szCs w:val="20"/>
        </w:rPr>
      </w:pPr>
      <w:r w:rsidRPr="00D61662">
        <w:rPr>
          <w:b/>
          <w:sz w:val="20"/>
          <w:szCs w:val="20"/>
        </w:rPr>
        <w:t>LTIP</w:t>
      </w:r>
      <w:r w:rsidRPr="00D61662">
        <w:rPr>
          <w:sz w:val="20"/>
          <w:szCs w:val="20"/>
        </w:rPr>
        <w:t xml:space="preserve"> – Long Term Investment Pool</w:t>
      </w:r>
    </w:p>
    <w:p w14:paraId="675714EC" w14:textId="1AB3B5F3" w:rsidR="005B74B3" w:rsidRPr="00D61662" w:rsidRDefault="005B74B3" w:rsidP="00E01631">
      <w:pPr>
        <w:spacing w:before="60" w:after="0"/>
        <w:rPr>
          <w:b/>
          <w:sz w:val="20"/>
          <w:szCs w:val="20"/>
        </w:rPr>
      </w:pPr>
      <w:r w:rsidRPr="00D61662">
        <w:rPr>
          <w:b/>
          <w:sz w:val="20"/>
          <w:szCs w:val="20"/>
        </w:rPr>
        <w:t xml:space="preserve">SCAPA </w:t>
      </w:r>
      <w:r w:rsidRPr="00D61662">
        <w:rPr>
          <w:sz w:val="20"/>
          <w:szCs w:val="20"/>
        </w:rPr>
        <w:t>– Strategic Communications and Public Affairs</w:t>
      </w:r>
    </w:p>
    <w:p w14:paraId="6D426E3C" w14:textId="0F30AD7D" w:rsidR="009E2493" w:rsidRDefault="009E2493" w:rsidP="00E01631">
      <w:pPr>
        <w:spacing w:before="60" w:after="0"/>
        <w:rPr>
          <w:sz w:val="20"/>
          <w:szCs w:val="20"/>
        </w:rPr>
      </w:pPr>
      <w:r w:rsidRPr="00D61662">
        <w:rPr>
          <w:b/>
          <w:sz w:val="20"/>
          <w:szCs w:val="20"/>
        </w:rPr>
        <w:t xml:space="preserve">SMF – </w:t>
      </w:r>
      <w:r w:rsidRPr="00D61662">
        <w:rPr>
          <w:sz w:val="20"/>
          <w:szCs w:val="20"/>
        </w:rPr>
        <w:t>Student Managed Fund</w:t>
      </w:r>
    </w:p>
    <w:p w14:paraId="597C4DA7" w14:textId="175E1F10" w:rsidR="00D438AA" w:rsidRPr="00D61662" w:rsidRDefault="00D438AA" w:rsidP="00E01631">
      <w:pPr>
        <w:spacing w:before="60" w:after="0"/>
        <w:rPr>
          <w:sz w:val="20"/>
          <w:szCs w:val="20"/>
        </w:rPr>
      </w:pPr>
      <w:r w:rsidRPr="00D61662">
        <w:rPr>
          <w:b/>
          <w:sz w:val="20"/>
          <w:szCs w:val="20"/>
        </w:rPr>
        <w:t>SM</w:t>
      </w:r>
      <w:r>
        <w:rPr>
          <w:b/>
          <w:sz w:val="20"/>
          <w:szCs w:val="20"/>
        </w:rPr>
        <w:t>PS</w:t>
      </w:r>
      <w:r w:rsidRPr="00D61662">
        <w:rPr>
          <w:b/>
          <w:sz w:val="20"/>
          <w:szCs w:val="20"/>
        </w:rPr>
        <w:t xml:space="preserve"> – </w:t>
      </w:r>
      <w:r w:rsidRPr="00D61662">
        <w:rPr>
          <w:sz w:val="20"/>
          <w:szCs w:val="20"/>
        </w:rPr>
        <w:t>S</w:t>
      </w:r>
      <w:r>
        <w:rPr>
          <w:sz w:val="20"/>
          <w:szCs w:val="20"/>
        </w:rPr>
        <w:t>ocial Media Policy Statement</w:t>
      </w:r>
    </w:p>
    <w:p w14:paraId="3E22D996" w14:textId="1DAE0DF0" w:rsidR="00B76460" w:rsidRPr="00D61662" w:rsidRDefault="009E2493" w:rsidP="00E01631">
      <w:pPr>
        <w:spacing w:before="60" w:after="0"/>
        <w:rPr>
          <w:sz w:val="20"/>
          <w:szCs w:val="20"/>
        </w:rPr>
      </w:pPr>
      <w:r w:rsidRPr="00D61662">
        <w:rPr>
          <w:b/>
          <w:sz w:val="20"/>
          <w:szCs w:val="20"/>
        </w:rPr>
        <w:t xml:space="preserve">SRI – </w:t>
      </w:r>
      <w:r w:rsidRPr="00D61662">
        <w:rPr>
          <w:sz w:val="20"/>
          <w:szCs w:val="20"/>
        </w:rPr>
        <w:t>Sociall</w:t>
      </w:r>
      <w:r w:rsidR="001C7CD7" w:rsidRPr="00D61662">
        <w:rPr>
          <w:sz w:val="20"/>
          <w:szCs w:val="20"/>
        </w:rPr>
        <w:t>y Responsible Investment</w:t>
      </w:r>
    </w:p>
    <w:p w14:paraId="17F4E59A" w14:textId="39595FEB" w:rsidR="005462FB" w:rsidRPr="00D61662" w:rsidRDefault="005462FB" w:rsidP="00E01631">
      <w:pPr>
        <w:spacing w:before="60" w:after="0"/>
        <w:rPr>
          <w:sz w:val="20"/>
          <w:szCs w:val="20"/>
        </w:rPr>
      </w:pPr>
      <w:r w:rsidRPr="00D61662">
        <w:rPr>
          <w:b/>
          <w:sz w:val="20"/>
          <w:szCs w:val="20"/>
        </w:rPr>
        <w:t>R&amp;C</w:t>
      </w:r>
      <w:r w:rsidRPr="00D61662">
        <w:rPr>
          <w:sz w:val="20"/>
          <w:szCs w:val="20"/>
        </w:rPr>
        <w:t xml:space="preserve"> – Risk and Compliance</w:t>
      </w:r>
    </w:p>
    <w:p w14:paraId="34C188E6" w14:textId="010883FC" w:rsidR="00B76460" w:rsidRPr="00D61662" w:rsidRDefault="00B76460" w:rsidP="00E01631">
      <w:pPr>
        <w:spacing w:before="60" w:after="0"/>
        <w:rPr>
          <w:sz w:val="20"/>
          <w:szCs w:val="20"/>
        </w:rPr>
      </w:pPr>
      <w:r w:rsidRPr="00D61662">
        <w:rPr>
          <w:b/>
          <w:sz w:val="20"/>
          <w:szCs w:val="20"/>
        </w:rPr>
        <w:t>RIO</w:t>
      </w:r>
      <w:r w:rsidRPr="00D61662">
        <w:rPr>
          <w:sz w:val="20"/>
          <w:szCs w:val="20"/>
        </w:rPr>
        <w:t xml:space="preserve"> – Rio Tinto Limited</w:t>
      </w:r>
    </w:p>
    <w:p w14:paraId="301874FB" w14:textId="008EAFFD" w:rsidR="00B76460" w:rsidRPr="00D61662" w:rsidRDefault="00B76460" w:rsidP="00E01631">
      <w:pPr>
        <w:spacing w:before="60" w:after="0"/>
        <w:rPr>
          <w:sz w:val="20"/>
          <w:szCs w:val="20"/>
        </w:rPr>
      </w:pPr>
      <w:r w:rsidRPr="00D61662">
        <w:rPr>
          <w:b/>
          <w:sz w:val="20"/>
          <w:szCs w:val="20"/>
        </w:rPr>
        <w:t>TLS</w:t>
      </w:r>
      <w:r w:rsidRPr="00D61662">
        <w:rPr>
          <w:sz w:val="20"/>
          <w:szCs w:val="20"/>
        </w:rPr>
        <w:t xml:space="preserve"> – Telstra Corporation Limited</w:t>
      </w:r>
    </w:p>
    <w:p w14:paraId="3D837E78" w14:textId="1A370016" w:rsidR="00C66578" w:rsidRPr="00D61662" w:rsidRDefault="00D00196" w:rsidP="00E01631">
      <w:pPr>
        <w:pStyle w:val="Heading1"/>
        <w:spacing w:before="360"/>
        <w:rPr>
          <w:sz w:val="24"/>
          <w:szCs w:val="24"/>
          <w:lang w:eastAsia="zh-CN"/>
        </w:rPr>
      </w:pPr>
      <w:bookmarkStart w:id="3" w:name="_Toc530654469"/>
      <w:r w:rsidRPr="00D61662">
        <w:rPr>
          <w:sz w:val="24"/>
          <w:szCs w:val="24"/>
          <w:lang w:eastAsia="zh-CN"/>
        </w:rPr>
        <w:lastRenderedPageBreak/>
        <w:t xml:space="preserve">About </w:t>
      </w:r>
      <w:r w:rsidR="00380F71" w:rsidRPr="00D61662">
        <w:rPr>
          <w:sz w:val="24"/>
          <w:szCs w:val="24"/>
          <w:lang w:eastAsia="zh-CN"/>
        </w:rPr>
        <w:t>this Report</w:t>
      </w:r>
      <w:bookmarkEnd w:id="3"/>
    </w:p>
    <w:p w14:paraId="1A484E9B" w14:textId="42FA6EAE" w:rsidR="00821A77" w:rsidRPr="00D61662" w:rsidRDefault="004D6522" w:rsidP="00E01631">
      <w:pPr>
        <w:spacing w:before="180" w:after="0"/>
        <w:rPr>
          <w:sz w:val="20"/>
          <w:szCs w:val="20"/>
          <w:lang w:eastAsia="zh-CN"/>
        </w:rPr>
      </w:pPr>
      <w:r>
        <w:rPr>
          <w:sz w:val="20"/>
          <w:szCs w:val="20"/>
          <w:lang w:eastAsia="zh-CN"/>
        </w:rPr>
        <w:t xml:space="preserve">We </w:t>
      </w:r>
      <w:r w:rsidR="00B4192B" w:rsidRPr="00D61662">
        <w:rPr>
          <w:sz w:val="20"/>
          <w:szCs w:val="20"/>
          <w:lang w:eastAsia="zh-CN"/>
        </w:rPr>
        <w:t xml:space="preserve">welcome you to </w:t>
      </w:r>
      <w:r>
        <w:rPr>
          <w:sz w:val="20"/>
          <w:szCs w:val="20"/>
          <w:lang w:eastAsia="zh-CN"/>
        </w:rPr>
        <w:t>our</w:t>
      </w:r>
      <w:r w:rsidR="00821A77" w:rsidRPr="00D61662">
        <w:rPr>
          <w:sz w:val="20"/>
          <w:szCs w:val="20"/>
          <w:lang w:eastAsia="zh-CN"/>
        </w:rPr>
        <w:t xml:space="preserve"> </w:t>
      </w:r>
      <w:r>
        <w:rPr>
          <w:sz w:val="20"/>
          <w:szCs w:val="20"/>
          <w:lang w:eastAsia="zh-CN"/>
        </w:rPr>
        <w:t>r</w:t>
      </w:r>
      <w:r w:rsidR="00821A77" w:rsidRPr="00D61662">
        <w:rPr>
          <w:sz w:val="20"/>
          <w:szCs w:val="20"/>
          <w:lang w:eastAsia="zh-CN"/>
        </w:rPr>
        <w:t xml:space="preserve">eport for </w:t>
      </w:r>
      <w:r>
        <w:rPr>
          <w:sz w:val="20"/>
          <w:szCs w:val="20"/>
          <w:lang w:eastAsia="zh-CN"/>
        </w:rPr>
        <w:t>e</w:t>
      </w:r>
      <w:r w:rsidR="00821A77" w:rsidRPr="00D61662">
        <w:rPr>
          <w:sz w:val="20"/>
          <w:szCs w:val="20"/>
          <w:lang w:eastAsia="zh-CN"/>
        </w:rPr>
        <w:t xml:space="preserve">nd of </w:t>
      </w:r>
      <w:r w:rsidR="00024E23">
        <w:rPr>
          <w:sz w:val="20"/>
          <w:szCs w:val="20"/>
          <w:lang w:eastAsia="zh-CN"/>
        </w:rPr>
        <w:t>S</w:t>
      </w:r>
      <w:r w:rsidR="00024E23" w:rsidRPr="00D61662">
        <w:rPr>
          <w:sz w:val="20"/>
          <w:szCs w:val="20"/>
          <w:lang w:eastAsia="zh-CN"/>
        </w:rPr>
        <w:t xml:space="preserve">emester </w:t>
      </w:r>
      <w:r w:rsidR="003E47B4" w:rsidRPr="00D61662">
        <w:rPr>
          <w:sz w:val="20"/>
          <w:szCs w:val="20"/>
          <w:lang w:eastAsia="zh-CN"/>
        </w:rPr>
        <w:t xml:space="preserve">2, 2018. </w:t>
      </w:r>
      <w:r>
        <w:rPr>
          <w:sz w:val="20"/>
          <w:szCs w:val="20"/>
          <w:lang w:eastAsia="zh-CN"/>
        </w:rPr>
        <w:t xml:space="preserve">Given this is the last report for year, we </w:t>
      </w:r>
      <w:r w:rsidR="003E47B4" w:rsidRPr="00D61662">
        <w:rPr>
          <w:sz w:val="20"/>
          <w:szCs w:val="20"/>
          <w:lang w:eastAsia="zh-CN"/>
        </w:rPr>
        <w:t>pro</w:t>
      </w:r>
      <w:r w:rsidR="003C7910" w:rsidRPr="00D61662">
        <w:rPr>
          <w:sz w:val="20"/>
          <w:szCs w:val="20"/>
          <w:lang w:eastAsia="zh-CN"/>
        </w:rPr>
        <w:t xml:space="preserve">vide </w:t>
      </w:r>
      <w:r w:rsidR="00FA6CE9" w:rsidRPr="00D61662">
        <w:rPr>
          <w:sz w:val="20"/>
          <w:szCs w:val="20"/>
          <w:lang w:eastAsia="zh-CN"/>
        </w:rPr>
        <w:t>a</w:t>
      </w:r>
      <w:r w:rsidR="003447C6" w:rsidRPr="00D61662">
        <w:rPr>
          <w:sz w:val="20"/>
          <w:szCs w:val="20"/>
          <w:lang w:eastAsia="zh-CN"/>
        </w:rPr>
        <w:t xml:space="preserve"> </w:t>
      </w:r>
      <w:r w:rsidR="004F75CF" w:rsidRPr="00D61662">
        <w:rPr>
          <w:sz w:val="20"/>
          <w:szCs w:val="20"/>
          <w:lang w:eastAsia="zh-CN"/>
        </w:rPr>
        <w:t xml:space="preserve">comprehensive </w:t>
      </w:r>
      <w:r w:rsidR="00EE5822" w:rsidRPr="00D61662">
        <w:rPr>
          <w:sz w:val="20"/>
          <w:szCs w:val="20"/>
          <w:lang w:eastAsia="zh-CN"/>
        </w:rPr>
        <w:t xml:space="preserve">account of </w:t>
      </w:r>
      <w:r w:rsidR="004F75CF" w:rsidRPr="00D61662">
        <w:rPr>
          <w:sz w:val="20"/>
          <w:szCs w:val="20"/>
          <w:lang w:eastAsia="zh-CN"/>
        </w:rPr>
        <w:t xml:space="preserve">the </w:t>
      </w:r>
      <w:r w:rsidR="009D4903" w:rsidRPr="00D61662">
        <w:rPr>
          <w:sz w:val="20"/>
          <w:szCs w:val="20"/>
          <w:lang w:eastAsia="zh-CN"/>
        </w:rPr>
        <w:t>Fund</w:t>
      </w:r>
      <w:r>
        <w:rPr>
          <w:sz w:val="20"/>
          <w:szCs w:val="20"/>
          <w:lang w:eastAsia="zh-CN"/>
        </w:rPr>
        <w:t>’</w:t>
      </w:r>
      <w:r w:rsidR="009D4903" w:rsidRPr="00D61662">
        <w:rPr>
          <w:sz w:val="20"/>
          <w:szCs w:val="20"/>
          <w:lang w:eastAsia="zh-CN"/>
        </w:rPr>
        <w:t xml:space="preserve">s developments </w:t>
      </w:r>
      <w:r>
        <w:rPr>
          <w:sz w:val="20"/>
          <w:szCs w:val="20"/>
          <w:lang w:eastAsia="zh-CN"/>
        </w:rPr>
        <w:t xml:space="preserve">over the course of 2018. Inside you will find </w:t>
      </w:r>
      <w:r w:rsidR="0040234B" w:rsidRPr="00D61662">
        <w:rPr>
          <w:sz w:val="20"/>
          <w:szCs w:val="20"/>
          <w:lang w:eastAsia="zh-CN"/>
        </w:rPr>
        <w:t xml:space="preserve">insights from </w:t>
      </w:r>
      <w:r w:rsidR="008076F6" w:rsidRPr="00D61662">
        <w:rPr>
          <w:sz w:val="20"/>
          <w:szCs w:val="20"/>
          <w:lang w:eastAsia="zh-CN"/>
        </w:rPr>
        <w:t>the</w:t>
      </w:r>
      <w:r w:rsidR="00024E23">
        <w:rPr>
          <w:sz w:val="20"/>
          <w:szCs w:val="20"/>
          <w:lang w:eastAsia="zh-CN"/>
        </w:rPr>
        <w:t xml:space="preserve"> Student Managed Fund (</w:t>
      </w:r>
      <w:r w:rsidR="0040234B" w:rsidRPr="00D61662">
        <w:rPr>
          <w:sz w:val="20"/>
          <w:szCs w:val="20"/>
          <w:lang w:eastAsia="zh-CN"/>
        </w:rPr>
        <w:t>SMF</w:t>
      </w:r>
      <w:r w:rsidR="00024E23">
        <w:rPr>
          <w:sz w:val="20"/>
          <w:szCs w:val="20"/>
          <w:lang w:eastAsia="zh-CN"/>
        </w:rPr>
        <w:t>)</w:t>
      </w:r>
      <w:r w:rsidR="0040234B" w:rsidRPr="00D61662">
        <w:rPr>
          <w:sz w:val="20"/>
          <w:szCs w:val="20"/>
          <w:lang w:eastAsia="zh-CN"/>
        </w:rPr>
        <w:t xml:space="preserve"> Convenors and team leaders</w:t>
      </w:r>
      <w:r>
        <w:rPr>
          <w:sz w:val="20"/>
          <w:szCs w:val="20"/>
          <w:lang w:eastAsia="zh-CN"/>
        </w:rPr>
        <w:t xml:space="preserve">; and an outline of </w:t>
      </w:r>
      <w:r w:rsidR="00C3707A" w:rsidRPr="00D61662">
        <w:rPr>
          <w:sz w:val="20"/>
          <w:szCs w:val="20"/>
          <w:lang w:eastAsia="zh-CN"/>
        </w:rPr>
        <w:t>the structure, performance</w:t>
      </w:r>
      <w:r w:rsidR="00A0684D" w:rsidRPr="00D61662">
        <w:rPr>
          <w:sz w:val="20"/>
          <w:szCs w:val="20"/>
          <w:lang w:eastAsia="zh-CN"/>
        </w:rPr>
        <w:t xml:space="preserve"> and SRI compliance of the SMF portfolio.</w:t>
      </w:r>
      <w:r w:rsidR="00213905" w:rsidRPr="00D61662">
        <w:rPr>
          <w:sz w:val="20"/>
          <w:szCs w:val="20"/>
          <w:lang w:eastAsia="zh-CN"/>
        </w:rPr>
        <w:t xml:space="preserve"> </w:t>
      </w:r>
      <w:r>
        <w:rPr>
          <w:sz w:val="20"/>
          <w:szCs w:val="20"/>
          <w:lang w:eastAsia="zh-CN"/>
        </w:rPr>
        <w:t>We</w:t>
      </w:r>
      <w:r w:rsidR="00B41261" w:rsidRPr="00D61662">
        <w:rPr>
          <w:sz w:val="20"/>
          <w:szCs w:val="20"/>
          <w:lang w:eastAsia="zh-CN"/>
        </w:rPr>
        <w:t xml:space="preserve"> </w:t>
      </w:r>
      <w:r w:rsidR="00B41261" w:rsidRPr="00E7290F">
        <w:rPr>
          <w:sz w:val="20"/>
          <w:szCs w:val="20"/>
          <w:lang w:eastAsia="zh-CN"/>
        </w:rPr>
        <w:t>detail changes, progress</w:t>
      </w:r>
      <w:r w:rsidRPr="00E7290F">
        <w:rPr>
          <w:sz w:val="20"/>
          <w:szCs w:val="20"/>
          <w:lang w:eastAsia="zh-CN"/>
        </w:rPr>
        <w:t xml:space="preserve"> and</w:t>
      </w:r>
      <w:r w:rsidR="00B41261" w:rsidRPr="00E7290F">
        <w:rPr>
          <w:sz w:val="20"/>
          <w:szCs w:val="20"/>
          <w:lang w:eastAsia="zh-CN"/>
        </w:rPr>
        <w:t xml:space="preserve"> events</w:t>
      </w:r>
      <w:r w:rsidRPr="00E7290F">
        <w:rPr>
          <w:sz w:val="20"/>
          <w:szCs w:val="20"/>
          <w:lang w:eastAsia="zh-CN"/>
        </w:rPr>
        <w:t xml:space="preserve">. We also sketch </w:t>
      </w:r>
      <w:r w:rsidR="004159BB" w:rsidRPr="00E7290F">
        <w:rPr>
          <w:sz w:val="20"/>
          <w:szCs w:val="20"/>
          <w:lang w:eastAsia="zh-CN"/>
        </w:rPr>
        <w:t>the future of the SMF</w:t>
      </w:r>
      <w:r w:rsidR="008D5A2E">
        <w:rPr>
          <w:sz w:val="20"/>
          <w:szCs w:val="20"/>
          <w:lang w:eastAsia="zh-CN"/>
        </w:rPr>
        <w:t>,</w:t>
      </w:r>
      <w:r w:rsidR="004159BB" w:rsidRPr="00E7290F">
        <w:rPr>
          <w:sz w:val="20"/>
          <w:szCs w:val="20"/>
          <w:lang w:eastAsia="zh-CN"/>
        </w:rPr>
        <w:t xml:space="preserve"> with the arrival of a new junior cohort to continue the Fund</w:t>
      </w:r>
      <w:r w:rsidR="00483684" w:rsidRPr="00E7290F">
        <w:rPr>
          <w:sz w:val="20"/>
          <w:szCs w:val="20"/>
          <w:lang w:eastAsia="zh-CN"/>
        </w:rPr>
        <w:t>’</w:t>
      </w:r>
      <w:r w:rsidR="004159BB" w:rsidRPr="00E7290F">
        <w:rPr>
          <w:sz w:val="20"/>
          <w:szCs w:val="20"/>
          <w:lang w:eastAsia="zh-CN"/>
        </w:rPr>
        <w:t>s progress in 2019.</w:t>
      </w:r>
      <w:r w:rsidR="004159BB" w:rsidRPr="00D61662">
        <w:rPr>
          <w:sz w:val="20"/>
          <w:szCs w:val="20"/>
          <w:lang w:eastAsia="zh-CN"/>
        </w:rPr>
        <w:t xml:space="preserve"> </w:t>
      </w:r>
    </w:p>
    <w:p w14:paraId="72C7CC6D" w14:textId="0DC4FA76" w:rsidR="00FF186D" w:rsidRPr="00D61662" w:rsidRDefault="00FF186D" w:rsidP="00E01631">
      <w:pPr>
        <w:spacing w:before="180" w:after="0"/>
        <w:rPr>
          <w:sz w:val="20"/>
          <w:szCs w:val="20"/>
          <w:lang w:eastAsia="zh-CN"/>
        </w:rPr>
      </w:pPr>
      <w:r w:rsidRPr="00D61662">
        <w:rPr>
          <w:sz w:val="20"/>
          <w:szCs w:val="20"/>
          <w:lang w:eastAsia="zh-CN"/>
        </w:rPr>
        <w:t xml:space="preserve">We trust </w:t>
      </w:r>
      <w:r w:rsidR="004D6522">
        <w:rPr>
          <w:sz w:val="20"/>
          <w:szCs w:val="20"/>
          <w:lang w:eastAsia="zh-CN"/>
        </w:rPr>
        <w:t xml:space="preserve">you find this report </w:t>
      </w:r>
      <w:r w:rsidR="00784B95" w:rsidRPr="00D61662">
        <w:rPr>
          <w:sz w:val="20"/>
          <w:szCs w:val="20"/>
          <w:lang w:eastAsia="zh-CN"/>
        </w:rPr>
        <w:t>both informative and interestin</w:t>
      </w:r>
      <w:r w:rsidR="00AF5AD5" w:rsidRPr="00D61662">
        <w:rPr>
          <w:sz w:val="20"/>
          <w:szCs w:val="20"/>
          <w:lang w:eastAsia="zh-CN"/>
        </w:rPr>
        <w:t>g</w:t>
      </w:r>
      <w:r w:rsidR="0093324B" w:rsidRPr="00D61662">
        <w:rPr>
          <w:sz w:val="20"/>
          <w:szCs w:val="20"/>
          <w:lang w:eastAsia="zh-CN"/>
        </w:rPr>
        <w:t xml:space="preserve">. We welcome </w:t>
      </w:r>
      <w:r w:rsidR="00D73FA9" w:rsidRPr="00D61662">
        <w:rPr>
          <w:sz w:val="20"/>
          <w:szCs w:val="20"/>
          <w:lang w:eastAsia="zh-CN"/>
        </w:rPr>
        <w:t>questions and suggestions</w:t>
      </w:r>
      <w:r w:rsidR="008D5A2E">
        <w:rPr>
          <w:sz w:val="20"/>
          <w:szCs w:val="20"/>
          <w:lang w:eastAsia="zh-CN"/>
        </w:rPr>
        <w:t>,</w:t>
      </w:r>
      <w:r w:rsidR="00D73FA9" w:rsidRPr="00D61662">
        <w:rPr>
          <w:sz w:val="20"/>
          <w:szCs w:val="20"/>
          <w:lang w:eastAsia="zh-CN"/>
        </w:rPr>
        <w:t xml:space="preserve"> which can be </w:t>
      </w:r>
      <w:r w:rsidR="000F1C5C" w:rsidRPr="00D61662">
        <w:rPr>
          <w:sz w:val="20"/>
          <w:szCs w:val="20"/>
          <w:lang w:eastAsia="zh-CN"/>
        </w:rPr>
        <w:t>sent to the SMF email address (</w:t>
      </w:r>
      <w:hyperlink r:id="rId9" w:history="1">
        <w:r w:rsidR="000F1C5C" w:rsidRPr="00D61662">
          <w:rPr>
            <w:rStyle w:val="Hyperlink"/>
            <w:sz w:val="20"/>
            <w:szCs w:val="20"/>
            <w:lang w:eastAsia="zh-CN"/>
          </w:rPr>
          <w:t>smf.rsfas@anu.edu.au</w:t>
        </w:r>
      </w:hyperlink>
      <w:r w:rsidR="000F1C5C" w:rsidRPr="00D61662">
        <w:rPr>
          <w:sz w:val="20"/>
          <w:szCs w:val="20"/>
          <w:lang w:eastAsia="zh-CN"/>
        </w:rPr>
        <w:t>).</w:t>
      </w:r>
    </w:p>
    <w:p w14:paraId="14D56F29" w14:textId="77777777" w:rsidR="007E5C4C" w:rsidRPr="00D61662" w:rsidRDefault="007E5C4C" w:rsidP="00BA5FE5">
      <w:pPr>
        <w:spacing w:before="240" w:after="0"/>
        <w:rPr>
          <w:i/>
          <w:sz w:val="20"/>
          <w:szCs w:val="20"/>
          <w:lang w:val="en-US"/>
        </w:rPr>
      </w:pPr>
      <w:r w:rsidRPr="00D61662">
        <w:rPr>
          <w:i/>
          <w:sz w:val="20"/>
          <w:szCs w:val="20"/>
          <w:lang w:val="en-US"/>
        </w:rPr>
        <w:t>Rory Roche &amp; Saurav Patel, Relationship Officers</w:t>
      </w:r>
    </w:p>
    <w:p w14:paraId="26D40AF7" w14:textId="77777777" w:rsidR="00C66578" w:rsidRPr="00D61662" w:rsidRDefault="00C66578" w:rsidP="00BA5FE5">
      <w:pPr>
        <w:pStyle w:val="Heading1"/>
        <w:keepNext w:val="0"/>
        <w:keepLines w:val="0"/>
        <w:spacing w:before="480" w:after="120"/>
        <w:rPr>
          <w:sz w:val="24"/>
          <w:szCs w:val="24"/>
          <w:lang w:eastAsia="zh-CN"/>
        </w:rPr>
      </w:pPr>
      <w:bookmarkStart w:id="4" w:name="_Toc530654470"/>
      <w:r w:rsidRPr="00D61662">
        <w:rPr>
          <w:sz w:val="24"/>
          <w:szCs w:val="24"/>
          <w:lang w:eastAsia="zh-CN"/>
        </w:rPr>
        <w:t>Convenor Report</w:t>
      </w:r>
      <w:bookmarkEnd w:id="4"/>
    </w:p>
    <w:p w14:paraId="6AC0AA7F" w14:textId="58C92894" w:rsidR="003C7F2B" w:rsidRPr="00D61662" w:rsidRDefault="003C7F2B" w:rsidP="00CB5266">
      <w:pPr>
        <w:spacing w:before="180" w:after="0"/>
        <w:rPr>
          <w:sz w:val="20"/>
          <w:szCs w:val="20"/>
        </w:rPr>
      </w:pPr>
      <w:r w:rsidRPr="00D61662">
        <w:rPr>
          <w:sz w:val="20"/>
          <w:szCs w:val="20"/>
        </w:rPr>
        <w:t>It is with great pride that we have overseen the way in which the students have developed the SMF’s operations</w:t>
      </w:r>
      <w:r w:rsidR="004D6522">
        <w:rPr>
          <w:sz w:val="20"/>
          <w:szCs w:val="20"/>
        </w:rPr>
        <w:t xml:space="preserve"> and</w:t>
      </w:r>
      <w:r w:rsidR="00297882" w:rsidRPr="00D61662">
        <w:rPr>
          <w:sz w:val="20"/>
          <w:szCs w:val="20"/>
        </w:rPr>
        <w:t xml:space="preserve"> </w:t>
      </w:r>
      <w:r w:rsidRPr="00D61662">
        <w:rPr>
          <w:sz w:val="20"/>
          <w:szCs w:val="20"/>
        </w:rPr>
        <w:t xml:space="preserve">culture, </w:t>
      </w:r>
      <w:r w:rsidR="004D6522">
        <w:rPr>
          <w:sz w:val="20"/>
          <w:szCs w:val="20"/>
        </w:rPr>
        <w:t>while</w:t>
      </w:r>
      <w:r w:rsidRPr="00D61662">
        <w:rPr>
          <w:sz w:val="20"/>
          <w:szCs w:val="20"/>
        </w:rPr>
        <w:t xml:space="preserve"> grow</w:t>
      </w:r>
      <w:r w:rsidR="004D6522">
        <w:rPr>
          <w:sz w:val="20"/>
          <w:szCs w:val="20"/>
        </w:rPr>
        <w:t>ing</w:t>
      </w:r>
      <w:r w:rsidRPr="00D61662">
        <w:rPr>
          <w:sz w:val="20"/>
          <w:szCs w:val="20"/>
        </w:rPr>
        <w:t xml:space="preserve"> as individuals. The SMF presents a sharp learning curve and an intense experience, which inspires students to develop insight, independence and maturity beyond their years. There is no doubt that the 2018 team members have risen to the challenge. The past year has seen a transformation at both the individual and team levels</w:t>
      </w:r>
      <w:r w:rsidR="008D5A2E">
        <w:rPr>
          <w:sz w:val="20"/>
          <w:szCs w:val="20"/>
        </w:rPr>
        <w:t>,</w:t>
      </w:r>
      <w:r w:rsidRPr="00D61662">
        <w:rPr>
          <w:sz w:val="20"/>
          <w:szCs w:val="20"/>
        </w:rPr>
        <w:t xml:space="preserve"> which sets a great foundation for the future. </w:t>
      </w:r>
    </w:p>
    <w:p w14:paraId="1B6980A4" w14:textId="1C74D08C" w:rsidR="003C7F2B" w:rsidRPr="00D61662" w:rsidRDefault="003C7F2B" w:rsidP="00CB5266">
      <w:pPr>
        <w:spacing w:before="180" w:after="0"/>
        <w:rPr>
          <w:sz w:val="20"/>
          <w:szCs w:val="20"/>
        </w:rPr>
      </w:pPr>
      <w:r w:rsidRPr="00D61662">
        <w:rPr>
          <w:sz w:val="20"/>
          <w:szCs w:val="20"/>
        </w:rPr>
        <w:t xml:space="preserve">As SMF operations have expanded, so too have the number of students. From an initial eight students in Semester 2 of 2017, we moved to 12 in Semester 1 of 2018, and then 18 in Semester 2. We anticipate a team of 19 for Semester 1 of 2019, although two are contingent on acceptance into honours. While capacity is up to 24 students, </w:t>
      </w:r>
      <w:r w:rsidR="00E01631">
        <w:rPr>
          <w:sz w:val="20"/>
          <w:szCs w:val="20"/>
        </w:rPr>
        <w:t xml:space="preserve">we consider it far more important to only </w:t>
      </w:r>
      <w:r w:rsidRPr="00D61662">
        <w:rPr>
          <w:sz w:val="20"/>
          <w:szCs w:val="20"/>
        </w:rPr>
        <w:t xml:space="preserve">accept applicants who will make a strong contribution as part of the team than </w:t>
      </w:r>
      <w:r w:rsidR="00E01631">
        <w:rPr>
          <w:sz w:val="20"/>
          <w:szCs w:val="20"/>
        </w:rPr>
        <w:t xml:space="preserve">to </w:t>
      </w:r>
      <w:r w:rsidRPr="00D61662">
        <w:rPr>
          <w:sz w:val="20"/>
          <w:szCs w:val="20"/>
        </w:rPr>
        <w:t>maximis</w:t>
      </w:r>
      <w:r w:rsidR="00E01631">
        <w:rPr>
          <w:sz w:val="20"/>
          <w:szCs w:val="20"/>
        </w:rPr>
        <w:t>e</w:t>
      </w:r>
      <w:r w:rsidRPr="00D61662">
        <w:rPr>
          <w:sz w:val="20"/>
          <w:szCs w:val="20"/>
        </w:rPr>
        <w:t xml:space="preserve"> enrolment numbers. </w:t>
      </w:r>
    </w:p>
    <w:p w14:paraId="3978E507" w14:textId="27FEE398" w:rsidR="003C7F2B" w:rsidRPr="00D61662" w:rsidRDefault="003C7F2B" w:rsidP="00525440">
      <w:pPr>
        <w:spacing w:before="180" w:after="0"/>
        <w:rPr>
          <w:sz w:val="20"/>
          <w:szCs w:val="20"/>
        </w:rPr>
      </w:pPr>
      <w:r w:rsidRPr="00D61662">
        <w:rPr>
          <w:sz w:val="20"/>
          <w:szCs w:val="20"/>
        </w:rPr>
        <w:t xml:space="preserve">We have been delighted </w:t>
      </w:r>
      <w:r w:rsidR="008D5A2E">
        <w:rPr>
          <w:sz w:val="20"/>
          <w:szCs w:val="20"/>
        </w:rPr>
        <w:t xml:space="preserve">with </w:t>
      </w:r>
      <w:r w:rsidRPr="00D61662">
        <w:rPr>
          <w:sz w:val="20"/>
          <w:szCs w:val="20"/>
        </w:rPr>
        <w:t xml:space="preserve">how the students have embraced the five key values of the fund – </w:t>
      </w:r>
      <w:r w:rsidRPr="00D61662">
        <w:rPr>
          <w:i/>
          <w:sz w:val="20"/>
          <w:szCs w:val="20"/>
        </w:rPr>
        <w:t>legacy</w:t>
      </w:r>
      <w:r w:rsidRPr="00D61662">
        <w:rPr>
          <w:sz w:val="20"/>
          <w:szCs w:val="20"/>
        </w:rPr>
        <w:t xml:space="preserve">, </w:t>
      </w:r>
      <w:r w:rsidRPr="00D61662">
        <w:rPr>
          <w:i/>
          <w:sz w:val="20"/>
          <w:szCs w:val="20"/>
        </w:rPr>
        <w:t>team</w:t>
      </w:r>
      <w:r w:rsidRPr="00D61662">
        <w:rPr>
          <w:sz w:val="20"/>
          <w:szCs w:val="20"/>
        </w:rPr>
        <w:t xml:space="preserve">, </w:t>
      </w:r>
      <w:r w:rsidRPr="00D61662">
        <w:rPr>
          <w:i/>
          <w:sz w:val="20"/>
          <w:szCs w:val="20"/>
        </w:rPr>
        <w:t>contribution</w:t>
      </w:r>
      <w:r w:rsidRPr="00D61662">
        <w:rPr>
          <w:sz w:val="20"/>
          <w:szCs w:val="20"/>
        </w:rPr>
        <w:t xml:space="preserve">, </w:t>
      </w:r>
      <w:r w:rsidRPr="00D61662">
        <w:rPr>
          <w:i/>
          <w:sz w:val="20"/>
          <w:szCs w:val="20"/>
        </w:rPr>
        <w:t>objectives</w:t>
      </w:r>
      <w:r w:rsidRPr="00D61662">
        <w:rPr>
          <w:sz w:val="20"/>
          <w:szCs w:val="20"/>
        </w:rPr>
        <w:t xml:space="preserve"> and </w:t>
      </w:r>
      <w:r w:rsidRPr="00D61662">
        <w:rPr>
          <w:i/>
          <w:sz w:val="20"/>
          <w:szCs w:val="20"/>
        </w:rPr>
        <w:t>long-term</w:t>
      </w:r>
      <w:r w:rsidRPr="00D61662">
        <w:rPr>
          <w:sz w:val="20"/>
          <w:szCs w:val="20"/>
        </w:rPr>
        <w:t xml:space="preserve"> – and have formed a culture around them. For example, this is clearly evident in the way they have built and documented their models and processes to be passed on to the students who come after them.  It is also apparent in how senior members mentor the junior members with care, respect and diligence. The sense of purpose and the call to take responsibility makes the ANU SMF experience something much, much more than just learning how to invest. We also think it differentiates our student fund from those of other universities. </w:t>
      </w:r>
    </w:p>
    <w:p w14:paraId="6DF70206" w14:textId="46ED70C5" w:rsidR="003C7F2B" w:rsidRPr="00D61662" w:rsidRDefault="003C7F2B">
      <w:pPr>
        <w:spacing w:before="180" w:after="0"/>
        <w:rPr>
          <w:sz w:val="20"/>
          <w:szCs w:val="20"/>
        </w:rPr>
      </w:pPr>
      <w:r w:rsidRPr="00D61662">
        <w:rPr>
          <w:sz w:val="20"/>
          <w:szCs w:val="20"/>
        </w:rPr>
        <w:t xml:space="preserve">The achievements of the </w:t>
      </w:r>
      <w:r w:rsidR="005D076E">
        <w:rPr>
          <w:sz w:val="20"/>
          <w:szCs w:val="20"/>
        </w:rPr>
        <w:t>F</w:t>
      </w:r>
      <w:r w:rsidRPr="00D61662">
        <w:rPr>
          <w:sz w:val="20"/>
          <w:szCs w:val="20"/>
        </w:rPr>
        <w:t>und would not have been possible without the generosity of professionals both within the University and outside of it. One of the most valuable sources of development for the students comes from engaging with members of the Investment Advisory Committee</w:t>
      </w:r>
      <w:r w:rsidR="00AE1CA5">
        <w:rPr>
          <w:sz w:val="20"/>
          <w:szCs w:val="20"/>
        </w:rPr>
        <w:t xml:space="preserve"> (IAC)</w:t>
      </w:r>
      <w:r w:rsidRPr="00D61662">
        <w:rPr>
          <w:sz w:val="20"/>
          <w:szCs w:val="20"/>
        </w:rPr>
        <w:t xml:space="preserve">, who have challenged their thinking and provided unique insights into the workings of the industry. The students have also benefited from meetings with top industry practitioners, who have taken the time to share their experiences and provide advice. Within the University, leaders at the School, College and University levels have also provided valuable input and </w:t>
      </w:r>
      <w:r w:rsidR="008D5A2E" w:rsidRPr="00D61662">
        <w:rPr>
          <w:sz w:val="20"/>
          <w:szCs w:val="20"/>
        </w:rPr>
        <w:t>guidance</w:t>
      </w:r>
      <w:r w:rsidRPr="00D61662">
        <w:rPr>
          <w:sz w:val="20"/>
          <w:szCs w:val="20"/>
        </w:rPr>
        <w:t xml:space="preserve">. Most importantly, we would like to thank the generous donors who have enabled this unique opportunity, including Russell Clark, the family of Andre Morony, Kerry-Ann Hugo and the Research School of Finance, Actuarial Studies and Statistics (at this point Anna takes the reins to thank Geoff Warren for his donation as well!). </w:t>
      </w:r>
    </w:p>
    <w:p w14:paraId="37FEB236" w14:textId="37AA6070" w:rsidR="003C7F2B" w:rsidRPr="00D61662" w:rsidRDefault="003C7F2B">
      <w:pPr>
        <w:spacing w:before="180" w:after="0"/>
        <w:rPr>
          <w:sz w:val="20"/>
          <w:szCs w:val="20"/>
        </w:rPr>
      </w:pPr>
      <w:r w:rsidRPr="00D61662">
        <w:rPr>
          <w:sz w:val="20"/>
          <w:szCs w:val="20"/>
        </w:rPr>
        <w:t>We could talk for hours about the transformative experience the donations and other contributions have provided to our students, not only by facilitating an experience that is the epitome of authentic learning, but also through internships and graduate opportunities stemming directly from being part of the SMF. However. it is better captured by the words of one of our SMF members: “</w:t>
      </w:r>
      <w:r w:rsidRPr="00D61662">
        <w:rPr>
          <w:i/>
          <w:sz w:val="20"/>
          <w:szCs w:val="20"/>
        </w:rPr>
        <w:t>Without doubt, the Student Managed Fund takes top spot as my most formative, enjoyable and enriching university experience. [It] has been one of immense personal growth and has seen the unlocking of opportunity which wouldn’t have been possible before my time in the SMF</w:t>
      </w:r>
      <w:r w:rsidRPr="00D61662">
        <w:rPr>
          <w:sz w:val="20"/>
          <w:szCs w:val="20"/>
        </w:rPr>
        <w:t>”. One voice, but it describes a sentiment that is shared throughout the fund.</w:t>
      </w:r>
    </w:p>
    <w:p w14:paraId="4C23EA60" w14:textId="34245471" w:rsidR="00C66578" w:rsidRPr="00D61662" w:rsidRDefault="00C66578" w:rsidP="009F3037">
      <w:pPr>
        <w:widowControl/>
        <w:spacing w:before="240" w:after="0"/>
        <w:jc w:val="left"/>
        <w:rPr>
          <w:i/>
          <w:sz w:val="20"/>
          <w:szCs w:val="20"/>
        </w:rPr>
      </w:pPr>
      <w:r w:rsidRPr="00D61662">
        <w:rPr>
          <w:i/>
          <w:sz w:val="20"/>
          <w:szCs w:val="20"/>
        </w:rPr>
        <w:t>Dr Anna von Reibnitz, Course Convenor</w:t>
      </w:r>
    </w:p>
    <w:p w14:paraId="18E32FA8" w14:textId="77777777" w:rsidR="00C66578" w:rsidRPr="00D61662" w:rsidRDefault="00C66578" w:rsidP="00CB5266">
      <w:pPr>
        <w:spacing w:before="0" w:after="0"/>
        <w:rPr>
          <w:i/>
          <w:sz w:val="20"/>
          <w:szCs w:val="20"/>
        </w:rPr>
      </w:pPr>
      <w:r w:rsidRPr="00D61662">
        <w:rPr>
          <w:i/>
          <w:sz w:val="20"/>
          <w:szCs w:val="20"/>
        </w:rPr>
        <w:t>A/Prof. Geoff Warren, Fund Convenor</w:t>
      </w:r>
    </w:p>
    <w:p w14:paraId="5EA7FE25" w14:textId="77777777" w:rsidR="00C66578" w:rsidRPr="00D61662" w:rsidRDefault="00C66578">
      <w:pPr>
        <w:rPr>
          <w:b/>
          <w:sz w:val="20"/>
          <w:szCs w:val="20"/>
        </w:rPr>
      </w:pPr>
      <w:r w:rsidRPr="00D61662">
        <w:rPr>
          <w:b/>
          <w:sz w:val="20"/>
          <w:szCs w:val="20"/>
        </w:rPr>
        <w:br w:type="page"/>
      </w:r>
    </w:p>
    <w:p w14:paraId="6DCDC188" w14:textId="054B261B" w:rsidR="00E82EAA" w:rsidRPr="00D61662" w:rsidRDefault="00E82EAA">
      <w:pPr>
        <w:pStyle w:val="Heading1"/>
        <w:spacing w:before="360"/>
        <w:rPr>
          <w:sz w:val="24"/>
          <w:szCs w:val="24"/>
          <w:lang w:eastAsia="zh-CN"/>
        </w:rPr>
      </w:pPr>
      <w:bookmarkStart w:id="5" w:name="_Toc530654471"/>
      <w:r w:rsidRPr="00D61662">
        <w:rPr>
          <w:sz w:val="24"/>
          <w:szCs w:val="24"/>
          <w:lang w:eastAsia="zh-CN"/>
        </w:rPr>
        <w:lastRenderedPageBreak/>
        <w:t xml:space="preserve">Chief Investment Officer </w:t>
      </w:r>
      <w:r w:rsidR="00266673">
        <w:rPr>
          <w:sz w:val="24"/>
          <w:szCs w:val="24"/>
          <w:lang w:eastAsia="zh-CN"/>
        </w:rPr>
        <w:t xml:space="preserve">(CIO) </w:t>
      </w:r>
      <w:r w:rsidRPr="00D61662">
        <w:rPr>
          <w:sz w:val="24"/>
          <w:szCs w:val="24"/>
          <w:lang w:eastAsia="zh-CN"/>
        </w:rPr>
        <w:t>Report</w:t>
      </w:r>
      <w:bookmarkEnd w:id="5"/>
    </w:p>
    <w:p w14:paraId="69D51A67" w14:textId="219DDA00" w:rsidR="00911E32" w:rsidRPr="00D61662" w:rsidRDefault="00911E32" w:rsidP="00903017">
      <w:pPr>
        <w:widowControl/>
        <w:spacing w:before="180"/>
        <w:rPr>
          <w:sz w:val="20"/>
          <w:szCs w:val="20"/>
        </w:rPr>
      </w:pPr>
      <w:r w:rsidRPr="00D61662">
        <w:rPr>
          <w:sz w:val="20"/>
          <w:szCs w:val="20"/>
        </w:rPr>
        <w:t xml:space="preserve">During 2018 the SMF progressed significantly </w:t>
      </w:r>
      <w:r w:rsidR="0055330B" w:rsidRPr="00D61662">
        <w:rPr>
          <w:sz w:val="20"/>
          <w:szCs w:val="20"/>
        </w:rPr>
        <w:t xml:space="preserve">from a start-up phase to a more mature operational stage where the team is implementing the procedures which were created </w:t>
      </w:r>
      <w:r w:rsidR="00E01631">
        <w:rPr>
          <w:sz w:val="20"/>
          <w:szCs w:val="20"/>
        </w:rPr>
        <w:t>from</w:t>
      </w:r>
      <w:r w:rsidR="0055330B" w:rsidRPr="00D61662">
        <w:rPr>
          <w:sz w:val="20"/>
          <w:szCs w:val="20"/>
        </w:rPr>
        <w:t xml:space="preserve"> the outset of the year. The SMF commenced </w:t>
      </w:r>
      <w:r w:rsidR="00E01631">
        <w:rPr>
          <w:sz w:val="20"/>
          <w:szCs w:val="20"/>
        </w:rPr>
        <w:t xml:space="preserve">the year </w:t>
      </w:r>
      <w:r w:rsidR="0055330B" w:rsidRPr="00D61662">
        <w:rPr>
          <w:sz w:val="20"/>
          <w:szCs w:val="20"/>
        </w:rPr>
        <w:t xml:space="preserve">with </w:t>
      </w:r>
      <w:r w:rsidRPr="00D61662">
        <w:rPr>
          <w:sz w:val="20"/>
          <w:szCs w:val="20"/>
        </w:rPr>
        <w:t xml:space="preserve">12 students in </w:t>
      </w:r>
      <w:r w:rsidR="0055330B" w:rsidRPr="00D61662">
        <w:rPr>
          <w:sz w:val="20"/>
          <w:szCs w:val="20"/>
        </w:rPr>
        <w:t>Semester 1, 2018</w:t>
      </w:r>
      <w:r w:rsidRPr="00D61662">
        <w:rPr>
          <w:sz w:val="20"/>
          <w:szCs w:val="20"/>
        </w:rPr>
        <w:t xml:space="preserve"> </w:t>
      </w:r>
      <w:r w:rsidR="00125773">
        <w:rPr>
          <w:sz w:val="20"/>
          <w:szCs w:val="20"/>
        </w:rPr>
        <w:t xml:space="preserve">with </w:t>
      </w:r>
      <w:r w:rsidR="00D162B8">
        <w:rPr>
          <w:sz w:val="20"/>
          <w:szCs w:val="20"/>
        </w:rPr>
        <w:t xml:space="preserve">four </w:t>
      </w:r>
      <w:r w:rsidR="00125773">
        <w:rPr>
          <w:sz w:val="20"/>
          <w:szCs w:val="20"/>
        </w:rPr>
        <w:t xml:space="preserve">carry-over and </w:t>
      </w:r>
      <w:r w:rsidR="00D162B8">
        <w:rPr>
          <w:sz w:val="20"/>
          <w:szCs w:val="20"/>
        </w:rPr>
        <w:t>eight</w:t>
      </w:r>
      <w:r w:rsidR="00125773">
        <w:rPr>
          <w:sz w:val="20"/>
          <w:szCs w:val="20"/>
        </w:rPr>
        <w:t xml:space="preserve"> new members; </w:t>
      </w:r>
      <w:r w:rsidRPr="00D61662">
        <w:rPr>
          <w:sz w:val="20"/>
          <w:szCs w:val="20"/>
        </w:rPr>
        <w:t>and</w:t>
      </w:r>
      <w:r w:rsidR="0055330B" w:rsidRPr="00D61662">
        <w:rPr>
          <w:sz w:val="20"/>
          <w:szCs w:val="20"/>
        </w:rPr>
        <w:t xml:space="preserve"> expanded to </w:t>
      </w:r>
      <w:r w:rsidRPr="00D61662">
        <w:rPr>
          <w:sz w:val="20"/>
          <w:szCs w:val="20"/>
        </w:rPr>
        <w:t>18 students</w:t>
      </w:r>
      <w:r w:rsidR="0055330B" w:rsidRPr="00D61662">
        <w:rPr>
          <w:sz w:val="20"/>
          <w:szCs w:val="20"/>
        </w:rPr>
        <w:t xml:space="preserve"> in Semester 2, 2018</w:t>
      </w:r>
      <w:r w:rsidR="00E01631">
        <w:rPr>
          <w:sz w:val="20"/>
          <w:szCs w:val="20"/>
        </w:rPr>
        <w:t xml:space="preserve"> </w:t>
      </w:r>
      <w:r w:rsidR="00125773">
        <w:rPr>
          <w:sz w:val="20"/>
          <w:szCs w:val="20"/>
        </w:rPr>
        <w:t xml:space="preserve">with </w:t>
      </w:r>
      <w:r w:rsidR="00D162B8">
        <w:rPr>
          <w:sz w:val="20"/>
          <w:szCs w:val="20"/>
        </w:rPr>
        <w:t>eight</w:t>
      </w:r>
      <w:r w:rsidR="00125773">
        <w:rPr>
          <w:sz w:val="20"/>
          <w:szCs w:val="20"/>
        </w:rPr>
        <w:t xml:space="preserve"> carry-overs and </w:t>
      </w:r>
      <w:r w:rsidR="00E01631">
        <w:rPr>
          <w:sz w:val="20"/>
          <w:szCs w:val="20"/>
        </w:rPr>
        <w:t xml:space="preserve">10 </w:t>
      </w:r>
      <w:r w:rsidR="00E01631" w:rsidRPr="00D61662">
        <w:rPr>
          <w:sz w:val="20"/>
          <w:szCs w:val="20"/>
        </w:rPr>
        <w:t>new members</w:t>
      </w:r>
      <w:r w:rsidR="0055330B" w:rsidRPr="00D61662">
        <w:rPr>
          <w:sz w:val="20"/>
          <w:szCs w:val="20"/>
        </w:rPr>
        <w:t xml:space="preserve">. </w:t>
      </w:r>
      <w:r w:rsidRPr="00D61662">
        <w:rPr>
          <w:sz w:val="20"/>
          <w:szCs w:val="20"/>
        </w:rPr>
        <w:t>The</w:t>
      </w:r>
      <w:r w:rsidR="0055330B" w:rsidRPr="00D61662">
        <w:rPr>
          <w:sz w:val="20"/>
          <w:szCs w:val="20"/>
        </w:rPr>
        <w:t xml:space="preserve"> contribution of these members has been the driving force behind the Fund</w:t>
      </w:r>
      <w:r w:rsidR="00E01631">
        <w:rPr>
          <w:sz w:val="20"/>
          <w:szCs w:val="20"/>
        </w:rPr>
        <w:t>’</w:t>
      </w:r>
      <w:r w:rsidR="0055330B" w:rsidRPr="00D61662">
        <w:rPr>
          <w:sz w:val="20"/>
          <w:szCs w:val="20"/>
        </w:rPr>
        <w:t>s significant progress. The</w:t>
      </w:r>
      <w:r w:rsidRPr="00D61662">
        <w:rPr>
          <w:sz w:val="20"/>
          <w:szCs w:val="20"/>
        </w:rPr>
        <w:t xml:space="preserve"> logistics and organisation of the team have been strengthened, involving the improvement of internal team communication and management. Our members </w:t>
      </w:r>
      <w:r w:rsidR="0055330B" w:rsidRPr="00D61662">
        <w:rPr>
          <w:sz w:val="20"/>
          <w:szCs w:val="20"/>
        </w:rPr>
        <w:t xml:space="preserve">have also been </w:t>
      </w:r>
      <w:r w:rsidRPr="00D61662">
        <w:rPr>
          <w:sz w:val="20"/>
          <w:szCs w:val="20"/>
        </w:rPr>
        <w:t>taking responsibilit</w:t>
      </w:r>
      <w:r w:rsidR="0055330B" w:rsidRPr="00D61662">
        <w:rPr>
          <w:sz w:val="20"/>
          <w:szCs w:val="20"/>
        </w:rPr>
        <w:t xml:space="preserve">y </w:t>
      </w:r>
      <w:r w:rsidRPr="00D61662">
        <w:rPr>
          <w:sz w:val="20"/>
          <w:szCs w:val="20"/>
        </w:rPr>
        <w:t>and initiative</w:t>
      </w:r>
      <w:r w:rsidR="0055330B" w:rsidRPr="00D61662">
        <w:rPr>
          <w:sz w:val="20"/>
          <w:szCs w:val="20"/>
        </w:rPr>
        <w:t xml:space="preserve"> in advancing the Fund</w:t>
      </w:r>
      <w:r w:rsidR="007F5E0A">
        <w:rPr>
          <w:sz w:val="20"/>
          <w:szCs w:val="20"/>
        </w:rPr>
        <w:t>’</w:t>
      </w:r>
      <w:r w:rsidR="0055330B" w:rsidRPr="00D61662">
        <w:rPr>
          <w:sz w:val="20"/>
          <w:szCs w:val="20"/>
        </w:rPr>
        <w:t xml:space="preserve">s progress towards its learning, developmental and investment objectives. </w:t>
      </w:r>
    </w:p>
    <w:p w14:paraId="05711BA6" w14:textId="040C6EE9" w:rsidR="00E62801" w:rsidRPr="00D61662" w:rsidRDefault="00911E32" w:rsidP="00903017">
      <w:pPr>
        <w:widowControl/>
        <w:spacing w:before="180"/>
        <w:rPr>
          <w:sz w:val="20"/>
          <w:szCs w:val="20"/>
        </w:rPr>
      </w:pPr>
      <w:r w:rsidRPr="00D61662">
        <w:rPr>
          <w:sz w:val="20"/>
          <w:szCs w:val="20"/>
        </w:rPr>
        <w:t>As CIO, I further improved the decision protocol</w:t>
      </w:r>
      <w:r w:rsidR="00E01631">
        <w:rPr>
          <w:sz w:val="20"/>
          <w:szCs w:val="20"/>
        </w:rPr>
        <w:t>s</w:t>
      </w:r>
      <w:r w:rsidRPr="00D61662">
        <w:rPr>
          <w:sz w:val="20"/>
          <w:szCs w:val="20"/>
        </w:rPr>
        <w:t xml:space="preserve"> in order to enhance the team’s efficiencies</w:t>
      </w:r>
      <w:r w:rsidR="00E01631">
        <w:rPr>
          <w:sz w:val="20"/>
          <w:szCs w:val="20"/>
        </w:rPr>
        <w:t>, while</w:t>
      </w:r>
      <w:r w:rsidRPr="00D61662">
        <w:rPr>
          <w:sz w:val="20"/>
          <w:szCs w:val="20"/>
        </w:rPr>
        <w:t xml:space="preserve"> </w:t>
      </w:r>
      <w:r w:rsidR="0055330B" w:rsidRPr="00D61662">
        <w:rPr>
          <w:sz w:val="20"/>
          <w:szCs w:val="20"/>
        </w:rPr>
        <w:t>ensur</w:t>
      </w:r>
      <w:r w:rsidR="00E01631">
        <w:rPr>
          <w:sz w:val="20"/>
          <w:szCs w:val="20"/>
        </w:rPr>
        <w:t>ing</w:t>
      </w:r>
      <w:r w:rsidR="0055330B" w:rsidRPr="00D61662">
        <w:rPr>
          <w:sz w:val="20"/>
          <w:szCs w:val="20"/>
        </w:rPr>
        <w:t xml:space="preserve"> the Fund</w:t>
      </w:r>
      <w:r w:rsidR="00125773">
        <w:rPr>
          <w:sz w:val="20"/>
          <w:szCs w:val="20"/>
        </w:rPr>
        <w:t>’</w:t>
      </w:r>
      <w:r w:rsidR="0055330B" w:rsidRPr="00D61662">
        <w:rPr>
          <w:sz w:val="20"/>
          <w:szCs w:val="20"/>
        </w:rPr>
        <w:t xml:space="preserve">s direction aligned with our objectives. </w:t>
      </w:r>
      <w:r w:rsidRPr="00D61662">
        <w:rPr>
          <w:sz w:val="20"/>
          <w:szCs w:val="20"/>
        </w:rPr>
        <w:t>At</w:t>
      </w:r>
      <w:r w:rsidR="007F5E0A">
        <w:rPr>
          <w:sz w:val="20"/>
          <w:szCs w:val="20"/>
        </w:rPr>
        <w:t xml:space="preserve"> the</w:t>
      </w:r>
      <w:r w:rsidRPr="00D61662">
        <w:rPr>
          <w:sz w:val="20"/>
          <w:szCs w:val="20"/>
        </w:rPr>
        <w:t xml:space="preserve"> sub-team level, the AAE team</w:t>
      </w:r>
      <w:r w:rsidR="00E62801" w:rsidRPr="00D61662">
        <w:rPr>
          <w:sz w:val="20"/>
          <w:szCs w:val="20"/>
        </w:rPr>
        <w:t xml:space="preserve"> implemented its </w:t>
      </w:r>
      <w:r w:rsidR="00125773">
        <w:rPr>
          <w:sz w:val="20"/>
          <w:szCs w:val="20"/>
        </w:rPr>
        <w:t>Investment Process (</w:t>
      </w:r>
      <w:r w:rsidR="00E62801" w:rsidRPr="00D61662">
        <w:rPr>
          <w:sz w:val="20"/>
          <w:szCs w:val="20"/>
        </w:rPr>
        <w:t>IP</w:t>
      </w:r>
      <w:r w:rsidR="00125773">
        <w:rPr>
          <w:sz w:val="20"/>
          <w:szCs w:val="20"/>
        </w:rPr>
        <w:t>)</w:t>
      </w:r>
      <w:r w:rsidR="00C544BE">
        <w:rPr>
          <w:sz w:val="20"/>
          <w:szCs w:val="20"/>
        </w:rPr>
        <w:t>,</w:t>
      </w:r>
      <w:r w:rsidR="00E62801" w:rsidRPr="00D61662">
        <w:rPr>
          <w:sz w:val="20"/>
          <w:szCs w:val="20"/>
        </w:rPr>
        <w:t xml:space="preserve"> which led to three investments being endorsed and implemented within the </w:t>
      </w:r>
      <w:r w:rsidR="0022136B" w:rsidRPr="00D61662">
        <w:rPr>
          <w:sz w:val="20"/>
          <w:szCs w:val="20"/>
        </w:rPr>
        <w:t>Fund’s</w:t>
      </w:r>
      <w:r w:rsidR="00E62801" w:rsidRPr="00D61662">
        <w:rPr>
          <w:sz w:val="20"/>
          <w:szCs w:val="20"/>
        </w:rPr>
        <w:t xml:space="preserve"> portfolio.</w:t>
      </w:r>
      <w:r w:rsidRPr="00D61662">
        <w:rPr>
          <w:sz w:val="20"/>
          <w:szCs w:val="20"/>
        </w:rPr>
        <w:t xml:space="preserve"> The AA team</w:t>
      </w:r>
      <w:r w:rsidR="00E62801" w:rsidRPr="00D61662">
        <w:rPr>
          <w:sz w:val="20"/>
          <w:szCs w:val="20"/>
        </w:rPr>
        <w:t>, faced with a learning hurdle not typically addressed in conventional courses, has</w:t>
      </w:r>
      <w:r w:rsidRPr="00D61662">
        <w:rPr>
          <w:sz w:val="20"/>
          <w:szCs w:val="20"/>
        </w:rPr>
        <w:t xml:space="preserve"> made important progress towards the completion of </w:t>
      </w:r>
      <w:r w:rsidR="00E62801" w:rsidRPr="00D61662">
        <w:rPr>
          <w:sz w:val="20"/>
          <w:szCs w:val="20"/>
        </w:rPr>
        <w:t>their own</w:t>
      </w:r>
      <w:r w:rsidRPr="00D61662">
        <w:rPr>
          <w:sz w:val="20"/>
          <w:szCs w:val="20"/>
        </w:rPr>
        <w:t xml:space="preserve"> IP. </w:t>
      </w:r>
      <w:r w:rsidR="00E62801" w:rsidRPr="00D61662">
        <w:rPr>
          <w:sz w:val="20"/>
          <w:szCs w:val="20"/>
        </w:rPr>
        <w:t>They</w:t>
      </w:r>
      <w:r w:rsidRPr="00D61662">
        <w:rPr>
          <w:sz w:val="20"/>
          <w:szCs w:val="20"/>
        </w:rPr>
        <w:t xml:space="preserve"> made great efforts in tackling practical modelling issues. The R&amp;C team developed </w:t>
      </w:r>
      <w:r w:rsidR="00E62801" w:rsidRPr="00D61662">
        <w:rPr>
          <w:sz w:val="20"/>
          <w:szCs w:val="20"/>
        </w:rPr>
        <w:t xml:space="preserve">a </w:t>
      </w:r>
      <w:r w:rsidRPr="00D61662">
        <w:rPr>
          <w:sz w:val="20"/>
          <w:szCs w:val="20"/>
        </w:rPr>
        <w:t>performance attribution</w:t>
      </w:r>
      <w:r w:rsidR="00E62801" w:rsidRPr="00D61662">
        <w:rPr>
          <w:sz w:val="20"/>
          <w:szCs w:val="20"/>
        </w:rPr>
        <w:t xml:space="preserve"> model</w:t>
      </w:r>
      <w:r w:rsidRPr="00D61662">
        <w:rPr>
          <w:sz w:val="20"/>
          <w:szCs w:val="20"/>
        </w:rPr>
        <w:t xml:space="preserve">, established </w:t>
      </w:r>
      <w:r w:rsidR="00125773">
        <w:rPr>
          <w:sz w:val="20"/>
          <w:szCs w:val="20"/>
        </w:rPr>
        <w:t xml:space="preserve">a risk management </w:t>
      </w:r>
      <w:r w:rsidRPr="00D61662">
        <w:rPr>
          <w:sz w:val="20"/>
          <w:szCs w:val="20"/>
        </w:rPr>
        <w:t>mitigation framework</w:t>
      </w:r>
      <w:r w:rsidR="00125773">
        <w:rPr>
          <w:sz w:val="20"/>
          <w:szCs w:val="20"/>
        </w:rPr>
        <w:t>,</w:t>
      </w:r>
      <w:r w:rsidRPr="00D61662">
        <w:rPr>
          <w:sz w:val="20"/>
          <w:szCs w:val="20"/>
        </w:rPr>
        <w:t xml:space="preserve"> and </w:t>
      </w:r>
      <w:r w:rsidR="00E62801" w:rsidRPr="00D61662">
        <w:rPr>
          <w:sz w:val="20"/>
          <w:szCs w:val="20"/>
        </w:rPr>
        <w:t>furthered the Fund</w:t>
      </w:r>
      <w:r w:rsidR="0084546C">
        <w:rPr>
          <w:sz w:val="20"/>
          <w:szCs w:val="20"/>
        </w:rPr>
        <w:t>’</w:t>
      </w:r>
      <w:r w:rsidR="00E62801" w:rsidRPr="00D61662">
        <w:rPr>
          <w:sz w:val="20"/>
          <w:szCs w:val="20"/>
        </w:rPr>
        <w:t xml:space="preserve">s progress relating to </w:t>
      </w:r>
      <w:r w:rsidR="00125773">
        <w:rPr>
          <w:sz w:val="20"/>
          <w:szCs w:val="20"/>
        </w:rPr>
        <w:t>Socially Responsible Investing (</w:t>
      </w:r>
      <w:r w:rsidRPr="00D61662">
        <w:rPr>
          <w:sz w:val="20"/>
          <w:szCs w:val="20"/>
        </w:rPr>
        <w:t>SRI</w:t>
      </w:r>
      <w:r w:rsidR="00125773">
        <w:rPr>
          <w:sz w:val="20"/>
          <w:szCs w:val="20"/>
        </w:rPr>
        <w:t>)</w:t>
      </w:r>
      <w:r w:rsidRPr="00D61662">
        <w:rPr>
          <w:sz w:val="20"/>
          <w:szCs w:val="20"/>
        </w:rPr>
        <w:t xml:space="preserve"> policy.</w:t>
      </w:r>
      <w:r w:rsidR="00125773">
        <w:rPr>
          <w:sz w:val="20"/>
          <w:szCs w:val="20"/>
        </w:rPr>
        <w:t xml:space="preserve"> Indeed, implementation of the ANU’s SRI policy was a major focus during Semester 2, 2018. </w:t>
      </w:r>
      <w:r w:rsidRPr="00D61662">
        <w:rPr>
          <w:sz w:val="20"/>
          <w:szCs w:val="20"/>
        </w:rPr>
        <w:t xml:space="preserve"> The </w:t>
      </w:r>
      <w:r w:rsidR="00E62801" w:rsidRPr="00D61662">
        <w:rPr>
          <w:sz w:val="20"/>
          <w:szCs w:val="20"/>
        </w:rPr>
        <w:t>R</w:t>
      </w:r>
      <w:r w:rsidRPr="00D61662">
        <w:rPr>
          <w:sz w:val="20"/>
          <w:szCs w:val="20"/>
        </w:rPr>
        <w:t xml:space="preserve">elationship team </w:t>
      </w:r>
      <w:r w:rsidR="00E62801" w:rsidRPr="00D61662">
        <w:rPr>
          <w:sz w:val="20"/>
          <w:szCs w:val="20"/>
        </w:rPr>
        <w:t xml:space="preserve">was formally </w:t>
      </w:r>
      <w:r w:rsidR="00024E23">
        <w:rPr>
          <w:sz w:val="20"/>
          <w:szCs w:val="20"/>
        </w:rPr>
        <w:t>established</w:t>
      </w:r>
      <w:r w:rsidR="00024E23" w:rsidRPr="00D61662">
        <w:rPr>
          <w:sz w:val="20"/>
          <w:szCs w:val="20"/>
        </w:rPr>
        <w:t xml:space="preserve"> </w:t>
      </w:r>
      <w:r w:rsidR="00E62801" w:rsidRPr="00D61662">
        <w:rPr>
          <w:sz w:val="20"/>
          <w:szCs w:val="20"/>
        </w:rPr>
        <w:t xml:space="preserve">in Semester 2, 2018 and has contributed by taking responsibility </w:t>
      </w:r>
      <w:r w:rsidR="00F868C2">
        <w:rPr>
          <w:sz w:val="20"/>
          <w:szCs w:val="20"/>
        </w:rPr>
        <w:t>for</w:t>
      </w:r>
      <w:r w:rsidRPr="00D61662">
        <w:rPr>
          <w:sz w:val="20"/>
          <w:szCs w:val="20"/>
        </w:rPr>
        <w:t xml:space="preserve"> internal team communication</w:t>
      </w:r>
      <w:r w:rsidR="00E62801" w:rsidRPr="00D61662">
        <w:rPr>
          <w:sz w:val="20"/>
          <w:szCs w:val="20"/>
        </w:rPr>
        <w:t xml:space="preserve">, administration tasks and assisting with reporting. </w:t>
      </w:r>
      <w:r w:rsidRPr="00D61662">
        <w:rPr>
          <w:sz w:val="20"/>
          <w:szCs w:val="20"/>
        </w:rPr>
        <w:t>The</w:t>
      </w:r>
      <w:r w:rsidR="00E62801" w:rsidRPr="00D61662">
        <w:rPr>
          <w:sz w:val="20"/>
          <w:szCs w:val="20"/>
        </w:rPr>
        <w:t xml:space="preserve"> team</w:t>
      </w:r>
      <w:r w:rsidRPr="00D61662">
        <w:rPr>
          <w:sz w:val="20"/>
          <w:szCs w:val="20"/>
        </w:rPr>
        <w:t xml:space="preserve"> also published the</w:t>
      </w:r>
      <w:r w:rsidR="00125773">
        <w:rPr>
          <w:sz w:val="20"/>
          <w:szCs w:val="20"/>
        </w:rPr>
        <w:t xml:space="preserve"> Social Media Policy Statement</w:t>
      </w:r>
      <w:r w:rsidRPr="00D61662">
        <w:rPr>
          <w:sz w:val="20"/>
          <w:szCs w:val="20"/>
        </w:rPr>
        <w:t xml:space="preserve"> </w:t>
      </w:r>
      <w:r w:rsidR="00125773">
        <w:rPr>
          <w:sz w:val="20"/>
          <w:szCs w:val="20"/>
        </w:rPr>
        <w:t>(</w:t>
      </w:r>
      <w:r w:rsidRPr="00D61662">
        <w:rPr>
          <w:sz w:val="20"/>
          <w:szCs w:val="20"/>
        </w:rPr>
        <w:t>SMPS</w:t>
      </w:r>
      <w:r w:rsidR="00125773">
        <w:rPr>
          <w:sz w:val="20"/>
          <w:szCs w:val="20"/>
        </w:rPr>
        <w:t>)</w:t>
      </w:r>
      <w:r w:rsidR="00024E23">
        <w:rPr>
          <w:sz w:val="20"/>
          <w:szCs w:val="20"/>
        </w:rPr>
        <w:t>,</w:t>
      </w:r>
      <w:r w:rsidRPr="00D61662">
        <w:rPr>
          <w:sz w:val="20"/>
          <w:szCs w:val="20"/>
        </w:rPr>
        <w:t xml:space="preserve"> </w:t>
      </w:r>
      <w:r w:rsidR="00E62801" w:rsidRPr="00D61662">
        <w:rPr>
          <w:sz w:val="20"/>
          <w:szCs w:val="20"/>
        </w:rPr>
        <w:t>which will underpin the Fund</w:t>
      </w:r>
      <w:r w:rsidR="00D13D56">
        <w:rPr>
          <w:sz w:val="20"/>
          <w:szCs w:val="20"/>
        </w:rPr>
        <w:t>’</w:t>
      </w:r>
      <w:r w:rsidR="00E62801" w:rsidRPr="00D61662">
        <w:rPr>
          <w:sz w:val="20"/>
          <w:szCs w:val="20"/>
        </w:rPr>
        <w:t>s future external communication</w:t>
      </w:r>
      <w:r w:rsidR="00125773">
        <w:rPr>
          <w:sz w:val="20"/>
          <w:szCs w:val="20"/>
        </w:rPr>
        <w:t xml:space="preserve">, </w:t>
      </w:r>
      <w:r w:rsidR="00E62801" w:rsidRPr="00D61662">
        <w:rPr>
          <w:sz w:val="20"/>
          <w:szCs w:val="20"/>
        </w:rPr>
        <w:t xml:space="preserve">and help establish </w:t>
      </w:r>
      <w:r w:rsidRPr="00D61662">
        <w:rPr>
          <w:sz w:val="20"/>
          <w:szCs w:val="20"/>
        </w:rPr>
        <w:t>relationships with students, alumni, and industry profession</w:t>
      </w:r>
      <w:r w:rsidR="00E62801" w:rsidRPr="00D61662">
        <w:rPr>
          <w:sz w:val="20"/>
          <w:szCs w:val="20"/>
        </w:rPr>
        <w:t>als</w:t>
      </w:r>
      <w:r w:rsidRPr="00D61662">
        <w:rPr>
          <w:sz w:val="20"/>
          <w:szCs w:val="20"/>
        </w:rPr>
        <w:t>.</w:t>
      </w:r>
    </w:p>
    <w:p w14:paraId="697FAF94" w14:textId="5140808B" w:rsidR="00125773" w:rsidRDefault="00E62801" w:rsidP="00903017">
      <w:pPr>
        <w:widowControl/>
        <w:spacing w:before="180"/>
        <w:rPr>
          <w:sz w:val="20"/>
          <w:szCs w:val="20"/>
        </w:rPr>
      </w:pPr>
      <w:r w:rsidRPr="00D61662">
        <w:rPr>
          <w:sz w:val="20"/>
          <w:szCs w:val="20"/>
        </w:rPr>
        <w:t xml:space="preserve">We have laid a strong foundation during 2018, from which future cohorts can further </w:t>
      </w:r>
      <w:r w:rsidR="0022136B" w:rsidRPr="00D61662">
        <w:rPr>
          <w:sz w:val="20"/>
          <w:szCs w:val="20"/>
        </w:rPr>
        <w:t xml:space="preserve">the </w:t>
      </w:r>
      <w:r w:rsidRPr="00D61662">
        <w:rPr>
          <w:sz w:val="20"/>
          <w:szCs w:val="20"/>
        </w:rPr>
        <w:t xml:space="preserve">progress. </w:t>
      </w:r>
      <w:r w:rsidR="00911E32" w:rsidRPr="00D61662">
        <w:rPr>
          <w:sz w:val="20"/>
          <w:szCs w:val="20"/>
        </w:rPr>
        <w:t xml:space="preserve">Beyond this year, </w:t>
      </w:r>
      <w:r w:rsidRPr="00D61662">
        <w:rPr>
          <w:sz w:val="20"/>
          <w:szCs w:val="20"/>
        </w:rPr>
        <w:t>we</w:t>
      </w:r>
      <w:r w:rsidR="00911E32" w:rsidRPr="00D61662">
        <w:rPr>
          <w:sz w:val="20"/>
          <w:szCs w:val="20"/>
        </w:rPr>
        <w:t xml:space="preserve"> expect </w:t>
      </w:r>
      <w:r w:rsidRPr="00D61662">
        <w:rPr>
          <w:sz w:val="20"/>
          <w:szCs w:val="20"/>
        </w:rPr>
        <w:t xml:space="preserve">further </w:t>
      </w:r>
      <w:r w:rsidR="00911E32" w:rsidRPr="00D61662">
        <w:rPr>
          <w:sz w:val="20"/>
          <w:szCs w:val="20"/>
        </w:rPr>
        <w:t xml:space="preserve">investment recommendations </w:t>
      </w:r>
      <w:r w:rsidRPr="00D61662">
        <w:rPr>
          <w:sz w:val="20"/>
          <w:szCs w:val="20"/>
        </w:rPr>
        <w:t xml:space="preserve">from </w:t>
      </w:r>
      <w:r w:rsidR="00F868C2">
        <w:rPr>
          <w:sz w:val="20"/>
          <w:szCs w:val="20"/>
        </w:rPr>
        <w:t xml:space="preserve">the </w:t>
      </w:r>
      <w:r w:rsidR="00911E32" w:rsidRPr="00D61662">
        <w:rPr>
          <w:sz w:val="20"/>
          <w:szCs w:val="20"/>
        </w:rPr>
        <w:t>AAE team</w:t>
      </w:r>
      <w:r w:rsidR="00024E23">
        <w:rPr>
          <w:sz w:val="20"/>
          <w:szCs w:val="20"/>
        </w:rPr>
        <w:t>, as well as</w:t>
      </w:r>
      <w:r w:rsidRPr="00D61662">
        <w:rPr>
          <w:sz w:val="20"/>
          <w:szCs w:val="20"/>
        </w:rPr>
        <w:t xml:space="preserve"> the AA team </w:t>
      </w:r>
      <w:r w:rsidR="00024E23">
        <w:rPr>
          <w:sz w:val="20"/>
          <w:szCs w:val="20"/>
        </w:rPr>
        <w:t>once</w:t>
      </w:r>
      <w:r w:rsidRPr="00D61662">
        <w:rPr>
          <w:sz w:val="20"/>
          <w:szCs w:val="20"/>
        </w:rPr>
        <w:t xml:space="preserve"> they finalise their IP. </w:t>
      </w:r>
      <w:r w:rsidR="00911E32" w:rsidRPr="00D61662">
        <w:rPr>
          <w:sz w:val="20"/>
          <w:szCs w:val="20"/>
        </w:rPr>
        <w:t xml:space="preserve"> </w:t>
      </w:r>
      <w:r w:rsidRPr="00D61662">
        <w:rPr>
          <w:sz w:val="20"/>
          <w:szCs w:val="20"/>
        </w:rPr>
        <w:t xml:space="preserve">R&amp;C will continue to modify the compliance process and the </w:t>
      </w:r>
      <w:r w:rsidR="005B74B3" w:rsidRPr="00D61662">
        <w:rPr>
          <w:sz w:val="20"/>
          <w:szCs w:val="20"/>
        </w:rPr>
        <w:t>Relationship</w:t>
      </w:r>
      <w:r w:rsidRPr="00D61662">
        <w:rPr>
          <w:sz w:val="20"/>
          <w:szCs w:val="20"/>
        </w:rPr>
        <w:t xml:space="preserve"> team will look to </w:t>
      </w:r>
      <w:r w:rsidR="00125773">
        <w:rPr>
          <w:sz w:val="20"/>
          <w:szCs w:val="20"/>
        </w:rPr>
        <w:t xml:space="preserve">establish our social media platforms (website and Facebook) as well as </w:t>
      </w:r>
      <w:r w:rsidR="0022136B" w:rsidRPr="00D61662">
        <w:rPr>
          <w:sz w:val="20"/>
          <w:szCs w:val="20"/>
        </w:rPr>
        <w:t>engag</w:t>
      </w:r>
      <w:r w:rsidR="00125773">
        <w:rPr>
          <w:sz w:val="20"/>
          <w:szCs w:val="20"/>
        </w:rPr>
        <w:t>ing</w:t>
      </w:r>
      <w:r w:rsidR="0022136B" w:rsidRPr="00D61662">
        <w:rPr>
          <w:sz w:val="20"/>
          <w:szCs w:val="20"/>
        </w:rPr>
        <w:t xml:space="preserve"> with external parties on a regular basis. </w:t>
      </w:r>
    </w:p>
    <w:p w14:paraId="1745A277" w14:textId="3F5DC79B" w:rsidR="00911E32" w:rsidRPr="00D61662" w:rsidRDefault="00C44E7C" w:rsidP="00903017">
      <w:pPr>
        <w:widowControl/>
        <w:spacing w:before="180"/>
        <w:rPr>
          <w:sz w:val="20"/>
          <w:szCs w:val="20"/>
        </w:rPr>
      </w:pPr>
      <w:r>
        <w:rPr>
          <w:sz w:val="20"/>
          <w:szCs w:val="20"/>
        </w:rPr>
        <w:t>T</w:t>
      </w:r>
      <w:r w:rsidR="00125773">
        <w:rPr>
          <w:sz w:val="20"/>
          <w:szCs w:val="20"/>
        </w:rPr>
        <w:t>his is</w:t>
      </w:r>
      <w:r>
        <w:rPr>
          <w:sz w:val="20"/>
          <w:szCs w:val="20"/>
        </w:rPr>
        <w:t xml:space="preserve"> my last semester with the Fund, and I have thoroughly enjoyed my time and learned more than I could have imagined. </w:t>
      </w:r>
      <w:r w:rsidR="00911E32" w:rsidRPr="00D61662">
        <w:rPr>
          <w:sz w:val="20"/>
          <w:szCs w:val="20"/>
        </w:rPr>
        <w:t xml:space="preserve">I </w:t>
      </w:r>
      <w:r w:rsidR="00125773">
        <w:rPr>
          <w:sz w:val="20"/>
          <w:szCs w:val="20"/>
        </w:rPr>
        <w:t xml:space="preserve">look forward to hearing about </w:t>
      </w:r>
      <w:r w:rsidR="00911E32" w:rsidRPr="00D61662">
        <w:rPr>
          <w:sz w:val="20"/>
          <w:szCs w:val="20"/>
        </w:rPr>
        <w:t>future cohort</w:t>
      </w:r>
      <w:r w:rsidR="00125773">
        <w:rPr>
          <w:sz w:val="20"/>
          <w:szCs w:val="20"/>
        </w:rPr>
        <w:t>s</w:t>
      </w:r>
      <w:r w:rsidR="00911E32" w:rsidRPr="00D61662">
        <w:rPr>
          <w:sz w:val="20"/>
          <w:szCs w:val="20"/>
        </w:rPr>
        <w:t xml:space="preserve"> </w:t>
      </w:r>
      <w:r w:rsidR="0022136B" w:rsidRPr="00D61662">
        <w:rPr>
          <w:sz w:val="20"/>
          <w:szCs w:val="20"/>
        </w:rPr>
        <w:t>continu</w:t>
      </w:r>
      <w:r w:rsidR="00125773">
        <w:rPr>
          <w:sz w:val="20"/>
          <w:szCs w:val="20"/>
        </w:rPr>
        <w:t>ing</w:t>
      </w:r>
      <w:r w:rsidR="0022136B" w:rsidRPr="00D61662">
        <w:rPr>
          <w:sz w:val="20"/>
          <w:szCs w:val="20"/>
        </w:rPr>
        <w:t xml:space="preserve"> </w:t>
      </w:r>
      <w:r w:rsidR="00125773">
        <w:rPr>
          <w:sz w:val="20"/>
          <w:szCs w:val="20"/>
        </w:rPr>
        <w:t xml:space="preserve">the </w:t>
      </w:r>
      <w:r w:rsidR="0022136B" w:rsidRPr="00D61662">
        <w:rPr>
          <w:sz w:val="20"/>
          <w:szCs w:val="20"/>
        </w:rPr>
        <w:t>progress towards our objectives</w:t>
      </w:r>
      <w:r w:rsidR="00911E32" w:rsidRPr="00D61662">
        <w:rPr>
          <w:sz w:val="20"/>
          <w:szCs w:val="20"/>
        </w:rPr>
        <w:t xml:space="preserve">.  </w:t>
      </w:r>
    </w:p>
    <w:p w14:paraId="718941F4" w14:textId="4C740478" w:rsidR="00526919" w:rsidRPr="00D61662" w:rsidRDefault="00526919" w:rsidP="00AE338D">
      <w:pPr>
        <w:widowControl/>
        <w:spacing w:before="240"/>
        <w:jc w:val="left"/>
        <w:rPr>
          <w:i/>
          <w:sz w:val="20"/>
          <w:szCs w:val="20"/>
        </w:rPr>
      </w:pPr>
      <w:r w:rsidRPr="00D61662">
        <w:rPr>
          <w:i/>
          <w:sz w:val="20"/>
          <w:szCs w:val="20"/>
          <w:lang w:val="en-US"/>
        </w:rPr>
        <w:t>Ruolin (Alex) Mai</w:t>
      </w:r>
      <w:r w:rsidRPr="00D61662">
        <w:rPr>
          <w:i/>
          <w:sz w:val="20"/>
          <w:szCs w:val="20"/>
        </w:rPr>
        <w:t>, CIO</w:t>
      </w:r>
    </w:p>
    <w:p w14:paraId="43CBF54E" w14:textId="14C678FC" w:rsidR="007D766D" w:rsidRPr="00D61662" w:rsidRDefault="007D766D" w:rsidP="00AE338D">
      <w:pPr>
        <w:widowControl/>
        <w:jc w:val="left"/>
        <w:rPr>
          <w:lang w:eastAsia="zh-CN"/>
        </w:rPr>
      </w:pPr>
      <w:r w:rsidRPr="00D61662">
        <w:rPr>
          <w:lang w:eastAsia="zh-CN"/>
        </w:rPr>
        <w:br w:type="page"/>
      </w:r>
    </w:p>
    <w:p w14:paraId="31F67E10" w14:textId="0F3E12DD" w:rsidR="00BF3830" w:rsidRPr="00D61662" w:rsidRDefault="00BF3830" w:rsidP="00E01631">
      <w:pPr>
        <w:pStyle w:val="Heading1"/>
        <w:spacing w:before="360"/>
        <w:rPr>
          <w:sz w:val="24"/>
          <w:szCs w:val="24"/>
          <w:lang w:eastAsia="zh-CN"/>
        </w:rPr>
      </w:pPr>
      <w:bookmarkStart w:id="6" w:name="_Toc530654472"/>
      <w:r w:rsidRPr="00D61662">
        <w:rPr>
          <w:sz w:val="24"/>
          <w:szCs w:val="24"/>
          <w:lang w:eastAsia="zh-CN"/>
        </w:rPr>
        <w:lastRenderedPageBreak/>
        <w:t>Team Updates</w:t>
      </w:r>
      <w:bookmarkEnd w:id="6"/>
    </w:p>
    <w:p w14:paraId="017D97A3" w14:textId="77777777" w:rsidR="00297882" w:rsidRPr="00D61662" w:rsidRDefault="00297882" w:rsidP="00E8150B">
      <w:pPr>
        <w:spacing w:before="360"/>
        <w:rPr>
          <w:rFonts w:eastAsiaTheme="minorEastAsia"/>
          <w:b/>
          <w:color w:val="4472C4" w:themeColor="accent1"/>
          <w:spacing w:val="15"/>
          <w:sz w:val="22"/>
          <w:szCs w:val="22"/>
          <w:lang w:eastAsia="zh-CN"/>
        </w:rPr>
      </w:pPr>
      <w:r w:rsidRPr="00D61662">
        <w:rPr>
          <w:rFonts w:eastAsiaTheme="minorEastAsia"/>
          <w:b/>
          <w:color w:val="4472C4" w:themeColor="accent1"/>
          <w:spacing w:val="15"/>
          <w:sz w:val="22"/>
          <w:szCs w:val="22"/>
          <w:lang w:eastAsia="zh-CN"/>
        </w:rPr>
        <w:t>Active Australian Equities (AAE) Team</w:t>
      </w:r>
    </w:p>
    <w:p w14:paraId="40A877BD" w14:textId="485C886D" w:rsidR="008D68DC" w:rsidRPr="00D61662" w:rsidRDefault="008D68DC" w:rsidP="00894640">
      <w:pPr>
        <w:widowControl/>
        <w:spacing w:before="180"/>
        <w:rPr>
          <w:sz w:val="20"/>
          <w:lang w:eastAsia="zh-CN"/>
        </w:rPr>
      </w:pPr>
      <w:r w:rsidRPr="00D61662">
        <w:rPr>
          <w:sz w:val="20"/>
          <w:lang w:eastAsia="zh-CN"/>
        </w:rPr>
        <w:t xml:space="preserve">The AAE team has been delighted by the substantial growth and development </w:t>
      </w:r>
      <w:r w:rsidR="00024E23">
        <w:rPr>
          <w:sz w:val="20"/>
          <w:lang w:eastAsia="zh-CN"/>
        </w:rPr>
        <w:t>achieved</w:t>
      </w:r>
      <w:r w:rsidRPr="00D61662">
        <w:rPr>
          <w:sz w:val="20"/>
          <w:lang w:eastAsia="zh-CN"/>
        </w:rPr>
        <w:t xml:space="preserve"> throughout 2018. During the year, the team progressed towards implementing the AAE I</w:t>
      </w:r>
      <w:r w:rsidR="0022136B" w:rsidRPr="00D61662">
        <w:rPr>
          <w:sz w:val="20"/>
          <w:lang w:eastAsia="zh-CN"/>
        </w:rPr>
        <w:t>P</w:t>
      </w:r>
      <w:r w:rsidRPr="00D61662">
        <w:rPr>
          <w:sz w:val="20"/>
          <w:lang w:eastAsia="zh-CN"/>
        </w:rPr>
        <w:t xml:space="preserve"> that was established last year. Over the last </w:t>
      </w:r>
      <w:r w:rsidR="00024E23">
        <w:rPr>
          <w:sz w:val="20"/>
          <w:lang w:eastAsia="zh-CN"/>
        </w:rPr>
        <w:t>two</w:t>
      </w:r>
      <w:r w:rsidR="00024E23" w:rsidRPr="00D61662">
        <w:rPr>
          <w:sz w:val="20"/>
          <w:lang w:eastAsia="zh-CN"/>
        </w:rPr>
        <w:t xml:space="preserve"> </w:t>
      </w:r>
      <w:r w:rsidRPr="00D61662">
        <w:rPr>
          <w:sz w:val="20"/>
          <w:lang w:eastAsia="zh-CN"/>
        </w:rPr>
        <w:t>semesters, this has resulted in a number of iterations of our Initialisation screen (stock filter),</w:t>
      </w:r>
      <w:r w:rsidR="00024E23">
        <w:rPr>
          <w:sz w:val="20"/>
          <w:lang w:eastAsia="zh-CN"/>
        </w:rPr>
        <w:t xml:space="preserve"> and</w:t>
      </w:r>
      <w:r w:rsidRPr="00D61662">
        <w:rPr>
          <w:sz w:val="20"/>
          <w:lang w:eastAsia="zh-CN"/>
        </w:rPr>
        <w:t xml:space="preserve"> </w:t>
      </w:r>
      <w:r w:rsidR="00024E23">
        <w:rPr>
          <w:sz w:val="20"/>
          <w:lang w:eastAsia="zh-CN"/>
        </w:rPr>
        <w:t xml:space="preserve">the </w:t>
      </w:r>
      <w:r w:rsidRPr="00D61662">
        <w:rPr>
          <w:sz w:val="20"/>
          <w:lang w:eastAsia="zh-CN"/>
        </w:rPr>
        <w:t>preparation of a</w:t>
      </w:r>
      <w:r w:rsidR="0022136B" w:rsidRPr="00D61662">
        <w:rPr>
          <w:sz w:val="20"/>
          <w:lang w:eastAsia="zh-CN"/>
        </w:rPr>
        <w:t xml:space="preserve">pproximately </w:t>
      </w:r>
      <w:r w:rsidRPr="00D61662">
        <w:rPr>
          <w:sz w:val="20"/>
          <w:lang w:eastAsia="zh-CN"/>
        </w:rPr>
        <w:t xml:space="preserve">30 candidate stock reports and </w:t>
      </w:r>
      <w:r w:rsidR="00024E23">
        <w:rPr>
          <w:sz w:val="20"/>
          <w:lang w:eastAsia="zh-CN"/>
        </w:rPr>
        <w:t>seven</w:t>
      </w:r>
      <w:r w:rsidR="00024E23" w:rsidRPr="00D61662">
        <w:rPr>
          <w:sz w:val="20"/>
          <w:lang w:eastAsia="zh-CN"/>
        </w:rPr>
        <w:t xml:space="preserve"> </w:t>
      </w:r>
      <w:r w:rsidRPr="00D61662">
        <w:rPr>
          <w:sz w:val="20"/>
          <w:lang w:eastAsia="zh-CN"/>
        </w:rPr>
        <w:t xml:space="preserve">completed or ongoing in-depth </w:t>
      </w:r>
      <w:r w:rsidR="0022136B" w:rsidRPr="00D61662">
        <w:rPr>
          <w:sz w:val="20"/>
          <w:lang w:eastAsia="zh-CN"/>
        </w:rPr>
        <w:t>research reports.</w:t>
      </w:r>
      <w:r w:rsidRPr="00D61662">
        <w:rPr>
          <w:sz w:val="20"/>
          <w:lang w:eastAsia="zh-CN"/>
        </w:rPr>
        <w:t xml:space="preserve"> This has culminated in </w:t>
      </w:r>
      <w:r w:rsidR="00024E23">
        <w:rPr>
          <w:sz w:val="20"/>
          <w:lang w:eastAsia="zh-CN"/>
        </w:rPr>
        <w:t>three</w:t>
      </w:r>
      <w:r w:rsidR="00024E23" w:rsidRPr="00D61662">
        <w:rPr>
          <w:sz w:val="20"/>
          <w:lang w:eastAsia="zh-CN"/>
        </w:rPr>
        <w:t xml:space="preserve"> </w:t>
      </w:r>
      <w:r w:rsidRPr="00D61662">
        <w:rPr>
          <w:sz w:val="20"/>
          <w:lang w:eastAsia="zh-CN"/>
        </w:rPr>
        <w:t xml:space="preserve">successful investment recommendations for Telstra (ASX:TLS), Rio Tinto (ASX:RIO), and Bingo Industries (ASX:BIN), which were endorsed by the </w:t>
      </w:r>
      <w:r w:rsidR="00AE1CA5">
        <w:rPr>
          <w:sz w:val="20"/>
          <w:lang w:eastAsia="zh-CN"/>
        </w:rPr>
        <w:t xml:space="preserve">IAC </w:t>
      </w:r>
      <w:r w:rsidRPr="00D61662">
        <w:rPr>
          <w:sz w:val="20"/>
          <w:lang w:eastAsia="zh-CN"/>
        </w:rPr>
        <w:t>after some adjustments to our initial target weights</w:t>
      </w:r>
      <w:r w:rsidR="00AE1CA5">
        <w:rPr>
          <w:sz w:val="20"/>
          <w:lang w:eastAsia="zh-CN"/>
        </w:rPr>
        <w:t>,</w:t>
      </w:r>
      <w:r w:rsidRPr="00D61662">
        <w:rPr>
          <w:sz w:val="20"/>
          <w:lang w:eastAsia="zh-CN"/>
        </w:rPr>
        <w:t xml:space="preserve"> and subsequently implemented within our portfolio. The stocks </w:t>
      </w:r>
      <w:r w:rsidR="00024E23">
        <w:rPr>
          <w:sz w:val="20"/>
          <w:lang w:eastAsia="zh-CN"/>
        </w:rPr>
        <w:t>continue to be</w:t>
      </w:r>
      <w:r w:rsidRPr="00D61662">
        <w:rPr>
          <w:sz w:val="20"/>
          <w:lang w:eastAsia="zh-CN"/>
        </w:rPr>
        <w:t xml:space="preserve"> reassessed on an ongoing basis, as part of our monitoring and review process. </w:t>
      </w:r>
      <w:r w:rsidR="00024E23">
        <w:rPr>
          <w:sz w:val="20"/>
          <w:lang w:eastAsia="zh-CN"/>
        </w:rPr>
        <w:t>As a result of t</w:t>
      </w:r>
      <w:r w:rsidRPr="00D61662">
        <w:rPr>
          <w:sz w:val="20"/>
          <w:lang w:eastAsia="zh-CN"/>
        </w:rPr>
        <w:t>hese outcomes</w:t>
      </w:r>
      <w:r w:rsidR="00024E23">
        <w:rPr>
          <w:sz w:val="20"/>
          <w:lang w:eastAsia="zh-CN"/>
        </w:rPr>
        <w:t>,</w:t>
      </w:r>
      <w:r w:rsidRPr="00D61662">
        <w:rPr>
          <w:sz w:val="20"/>
          <w:lang w:eastAsia="zh-CN"/>
        </w:rPr>
        <w:t xml:space="preserve"> 22% of the AAE portfolio is now in active positions under our target weights – a result which we are exceptionally pleased with</w:t>
      </w:r>
      <w:r w:rsidR="00AE1CA5">
        <w:rPr>
          <w:sz w:val="20"/>
          <w:lang w:eastAsia="zh-CN"/>
        </w:rPr>
        <w:t>, noting that we aim to invest carefully with a long-term view</w:t>
      </w:r>
      <w:r w:rsidRPr="00D61662">
        <w:rPr>
          <w:sz w:val="20"/>
          <w:lang w:eastAsia="zh-CN"/>
        </w:rPr>
        <w:t>.</w:t>
      </w:r>
    </w:p>
    <w:p w14:paraId="052A4F3E" w14:textId="5E7A9AE2" w:rsidR="008D68DC" w:rsidRPr="00D61662" w:rsidRDefault="008D68DC" w:rsidP="00355E2B">
      <w:pPr>
        <w:widowControl/>
        <w:spacing w:before="180"/>
        <w:rPr>
          <w:sz w:val="20"/>
          <w:lang w:eastAsia="zh-CN"/>
        </w:rPr>
      </w:pPr>
      <w:r w:rsidRPr="00D61662">
        <w:rPr>
          <w:sz w:val="20"/>
          <w:lang w:eastAsia="zh-CN"/>
        </w:rPr>
        <w:t xml:space="preserve">As this was the inaugural application of the AAE IP, the team has also worked to construct a number of tools and models to support </w:t>
      </w:r>
      <w:r w:rsidR="00AE1CA5">
        <w:rPr>
          <w:sz w:val="20"/>
          <w:lang w:eastAsia="zh-CN"/>
        </w:rPr>
        <w:t>our</w:t>
      </w:r>
      <w:r w:rsidRPr="00D61662">
        <w:rPr>
          <w:sz w:val="20"/>
          <w:lang w:eastAsia="zh-CN"/>
        </w:rPr>
        <w:t xml:space="preserve"> process. </w:t>
      </w:r>
      <w:r w:rsidR="00AE1CA5">
        <w:rPr>
          <w:sz w:val="20"/>
          <w:lang w:eastAsia="zh-CN"/>
        </w:rPr>
        <w:t xml:space="preserve">As well as </w:t>
      </w:r>
      <w:r w:rsidRPr="00D61662">
        <w:rPr>
          <w:sz w:val="20"/>
          <w:lang w:eastAsia="zh-CN"/>
        </w:rPr>
        <w:t xml:space="preserve">establishing </w:t>
      </w:r>
      <w:r w:rsidR="00AE1CA5">
        <w:rPr>
          <w:sz w:val="20"/>
          <w:lang w:eastAsia="zh-CN"/>
        </w:rPr>
        <w:t>the</w:t>
      </w:r>
      <w:r w:rsidRPr="00D61662">
        <w:rPr>
          <w:sz w:val="20"/>
          <w:lang w:eastAsia="zh-CN"/>
        </w:rPr>
        <w:t xml:space="preserve"> Initialisation screen, </w:t>
      </w:r>
      <w:r w:rsidR="00AE1CA5">
        <w:rPr>
          <w:sz w:val="20"/>
          <w:lang w:eastAsia="zh-CN"/>
        </w:rPr>
        <w:t xml:space="preserve">we have also </w:t>
      </w:r>
      <w:r w:rsidRPr="00D61662">
        <w:rPr>
          <w:sz w:val="20"/>
          <w:lang w:eastAsia="zh-CN"/>
        </w:rPr>
        <w:t>upgrad</w:t>
      </w:r>
      <w:r w:rsidR="00AE1CA5">
        <w:rPr>
          <w:sz w:val="20"/>
          <w:lang w:eastAsia="zh-CN"/>
        </w:rPr>
        <w:t>ed</w:t>
      </w:r>
      <w:r w:rsidRPr="00D61662">
        <w:rPr>
          <w:sz w:val="20"/>
          <w:lang w:eastAsia="zh-CN"/>
        </w:rPr>
        <w:t xml:space="preserve"> our valuation model and creat</w:t>
      </w:r>
      <w:r w:rsidR="00AE1CA5">
        <w:rPr>
          <w:sz w:val="20"/>
          <w:lang w:eastAsia="zh-CN"/>
        </w:rPr>
        <w:t>ed</w:t>
      </w:r>
      <w:r w:rsidRPr="00D61662">
        <w:rPr>
          <w:sz w:val="20"/>
          <w:lang w:eastAsia="zh-CN"/>
        </w:rPr>
        <w:t xml:space="preserve"> various supporting document</w:t>
      </w:r>
      <w:r w:rsidR="0022136B" w:rsidRPr="00D61662">
        <w:rPr>
          <w:sz w:val="20"/>
          <w:lang w:eastAsia="zh-CN"/>
        </w:rPr>
        <w:t>s</w:t>
      </w:r>
      <w:r w:rsidRPr="00D61662">
        <w:rPr>
          <w:sz w:val="20"/>
          <w:lang w:eastAsia="zh-CN"/>
        </w:rPr>
        <w:t>. These documents are highly relevant for the ongoing operations of the team</w:t>
      </w:r>
      <w:r w:rsidR="00AE1CA5">
        <w:rPr>
          <w:sz w:val="20"/>
          <w:lang w:eastAsia="zh-CN"/>
        </w:rPr>
        <w:t xml:space="preserve"> and </w:t>
      </w:r>
      <w:r w:rsidRPr="00D61662">
        <w:rPr>
          <w:sz w:val="20"/>
          <w:lang w:eastAsia="zh-CN"/>
        </w:rPr>
        <w:t xml:space="preserve">were created with </w:t>
      </w:r>
      <w:r w:rsidR="00AE1CA5">
        <w:rPr>
          <w:sz w:val="20"/>
          <w:lang w:eastAsia="zh-CN"/>
        </w:rPr>
        <w:t xml:space="preserve">a view to leaving a </w:t>
      </w:r>
      <w:r w:rsidRPr="00D61662">
        <w:rPr>
          <w:sz w:val="20"/>
          <w:lang w:eastAsia="zh-CN"/>
        </w:rPr>
        <w:t>legacy for future cohorts.</w:t>
      </w:r>
    </w:p>
    <w:p w14:paraId="700CECE5" w14:textId="2A4D0327" w:rsidR="008D68DC" w:rsidRPr="00D61662" w:rsidRDefault="008D68DC" w:rsidP="00355E2B">
      <w:pPr>
        <w:widowControl/>
        <w:spacing w:before="180"/>
        <w:rPr>
          <w:sz w:val="20"/>
          <w:lang w:eastAsia="zh-CN"/>
        </w:rPr>
      </w:pPr>
      <w:r w:rsidRPr="00D61662">
        <w:rPr>
          <w:sz w:val="20"/>
          <w:lang w:eastAsia="zh-CN"/>
        </w:rPr>
        <w:t xml:space="preserve">A central theme this year has also been review and reflection. During our first year of undertaking active investment decisions, we have encountered many challenges and identified areas for improvement. Indeed, one of the great successes in the past year has been to build upon the legacy of previous cohorts and improve our processes and dynamics in various areas. </w:t>
      </w:r>
      <w:r w:rsidR="00425299">
        <w:rPr>
          <w:sz w:val="20"/>
          <w:lang w:eastAsia="zh-CN"/>
        </w:rPr>
        <w:t xml:space="preserve">Along with </w:t>
      </w:r>
      <w:r w:rsidRPr="00D61662">
        <w:rPr>
          <w:sz w:val="20"/>
          <w:lang w:eastAsia="zh-CN"/>
        </w:rPr>
        <w:t>improv</w:t>
      </w:r>
      <w:r w:rsidR="00425299">
        <w:rPr>
          <w:sz w:val="20"/>
          <w:lang w:eastAsia="zh-CN"/>
        </w:rPr>
        <w:t>ing</w:t>
      </w:r>
      <w:r w:rsidRPr="00D61662">
        <w:rPr>
          <w:sz w:val="20"/>
          <w:lang w:eastAsia="zh-CN"/>
        </w:rPr>
        <w:t xml:space="preserve"> our models</w:t>
      </w:r>
      <w:r w:rsidR="00425299">
        <w:rPr>
          <w:sz w:val="20"/>
          <w:lang w:eastAsia="zh-CN"/>
        </w:rPr>
        <w:t xml:space="preserve"> and</w:t>
      </w:r>
      <w:r w:rsidRPr="00D61662">
        <w:rPr>
          <w:sz w:val="20"/>
          <w:lang w:eastAsia="zh-CN"/>
        </w:rPr>
        <w:t xml:space="preserve"> stock filters</w:t>
      </w:r>
      <w:r w:rsidR="00425299">
        <w:rPr>
          <w:sz w:val="20"/>
          <w:lang w:eastAsia="zh-CN"/>
        </w:rPr>
        <w:t>, we have refined our</w:t>
      </w:r>
      <w:r w:rsidRPr="00D61662">
        <w:rPr>
          <w:sz w:val="20"/>
          <w:lang w:eastAsia="zh-CN"/>
        </w:rPr>
        <w:t xml:space="preserve"> S</w:t>
      </w:r>
      <w:r w:rsidR="0022136B" w:rsidRPr="00D61662">
        <w:rPr>
          <w:sz w:val="20"/>
          <w:lang w:eastAsia="zh-CN"/>
        </w:rPr>
        <w:t xml:space="preserve">RI </w:t>
      </w:r>
      <w:r w:rsidRPr="00D61662">
        <w:rPr>
          <w:sz w:val="20"/>
          <w:lang w:eastAsia="zh-CN"/>
        </w:rPr>
        <w:t xml:space="preserve">implementation </w:t>
      </w:r>
      <w:r w:rsidR="00425299">
        <w:rPr>
          <w:sz w:val="20"/>
          <w:lang w:eastAsia="zh-CN"/>
        </w:rPr>
        <w:t>by integrating</w:t>
      </w:r>
      <w:r w:rsidR="00946A1B">
        <w:rPr>
          <w:sz w:val="20"/>
          <w:lang w:eastAsia="zh-CN"/>
        </w:rPr>
        <w:t xml:space="preserve"> </w:t>
      </w:r>
      <w:r w:rsidR="00425299">
        <w:rPr>
          <w:sz w:val="20"/>
          <w:lang w:eastAsia="zh-CN"/>
        </w:rPr>
        <w:t>the</w:t>
      </w:r>
      <w:r w:rsidR="00E8150B">
        <w:rPr>
          <w:sz w:val="20"/>
          <w:lang w:eastAsia="zh-CN"/>
        </w:rPr>
        <w:t xml:space="preserve"> </w:t>
      </w:r>
      <w:r w:rsidR="00425299">
        <w:rPr>
          <w:sz w:val="20"/>
          <w:lang w:eastAsia="zh-CN"/>
        </w:rPr>
        <w:t>consideration of SRI credentials directly into our stock analysis</w:t>
      </w:r>
      <w:r w:rsidRPr="00D61662">
        <w:rPr>
          <w:sz w:val="20"/>
          <w:lang w:eastAsia="zh-CN"/>
        </w:rPr>
        <w:t>. The team has also take</w:t>
      </w:r>
      <w:r w:rsidR="0022136B" w:rsidRPr="00D61662">
        <w:rPr>
          <w:sz w:val="20"/>
          <w:lang w:eastAsia="zh-CN"/>
        </w:rPr>
        <w:t>n</w:t>
      </w:r>
      <w:r w:rsidRPr="00D61662">
        <w:rPr>
          <w:sz w:val="20"/>
          <w:lang w:eastAsia="zh-CN"/>
        </w:rPr>
        <w:t xml:space="preserve"> measures to improve </w:t>
      </w:r>
      <w:r w:rsidR="0022136B" w:rsidRPr="00D61662">
        <w:rPr>
          <w:sz w:val="20"/>
          <w:lang w:eastAsia="zh-CN"/>
        </w:rPr>
        <w:t xml:space="preserve">the </w:t>
      </w:r>
      <w:r w:rsidRPr="00D61662">
        <w:rPr>
          <w:sz w:val="20"/>
          <w:lang w:eastAsia="zh-CN"/>
        </w:rPr>
        <w:t>handover to future cohorts and mitigate personnel risk. This was reflected in the success of our “buddy system”</w:t>
      </w:r>
      <w:r w:rsidR="002C5F0B">
        <w:rPr>
          <w:sz w:val="20"/>
          <w:lang w:eastAsia="zh-CN"/>
        </w:rPr>
        <w:t>,</w:t>
      </w:r>
      <w:r w:rsidRPr="00D61662">
        <w:rPr>
          <w:sz w:val="20"/>
          <w:lang w:eastAsia="zh-CN"/>
        </w:rPr>
        <w:t xml:space="preserve"> where a senior analyst would directly work with a junior analyst to facilitate the transfer of knowledge and skills</w:t>
      </w:r>
      <w:r w:rsidR="00BF41E3" w:rsidRPr="00D61662">
        <w:rPr>
          <w:sz w:val="20"/>
          <w:lang w:eastAsia="zh-CN"/>
        </w:rPr>
        <w:t xml:space="preserve">. </w:t>
      </w:r>
      <w:r w:rsidRPr="00D61662">
        <w:rPr>
          <w:sz w:val="20"/>
          <w:lang w:eastAsia="zh-CN"/>
        </w:rPr>
        <w:t xml:space="preserve"> </w:t>
      </w:r>
    </w:p>
    <w:p w14:paraId="283ADA90" w14:textId="2094B602" w:rsidR="008D68DC" w:rsidRPr="00D61662" w:rsidRDefault="008D68DC" w:rsidP="00355E2B">
      <w:pPr>
        <w:widowControl/>
        <w:spacing w:before="180"/>
        <w:rPr>
          <w:sz w:val="20"/>
          <w:lang w:eastAsia="zh-CN"/>
        </w:rPr>
      </w:pPr>
      <w:r w:rsidRPr="00D61662">
        <w:rPr>
          <w:sz w:val="20"/>
          <w:lang w:eastAsia="zh-CN"/>
        </w:rPr>
        <w:t xml:space="preserve">Looking ahead to 2019, AAE welcomes </w:t>
      </w:r>
      <w:r w:rsidR="002C5F0B">
        <w:rPr>
          <w:sz w:val="20"/>
          <w:lang w:eastAsia="zh-CN"/>
        </w:rPr>
        <w:t>five</w:t>
      </w:r>
      <w:r w:rsidR="002C5F0B" w:rsidRPr="00D61662">
        <w:rPr>
          <w:sz w:val="20"/>
          <w:lang w:eastAsia="zh-CN"/>
        </w:rPr>
        <w:t xml:space="preserve"> </w:t>
      </w:r>
      <w:r w:rsidRPr="00D61662">
        <w:rPr>
          <w:sz w:val="20"/>
          <w:lang w:eastAsia="zh-CN"/>
        </w:rPr>
        <w:t xml:space="preserve">junior analysts who will be joining the team next semester. I look forward to seeing another year of strong progress from the AAE team in contributing to the great success and legacy of the </w:t>
      </w:r>
      <w:r w:rsidR="00BF41E3" w:rsidRPr="00D61662">
        <w:rPr>
          <w:sz w:val="20"/>
          <w:lang w:eastAsia="zh-CN"/>
        </w:rPr>
        <w:t>F</w:t>
      </w:r>
      <w:r w:rsidRPr="00D61662">
        <w:rPr>
          <w:sz w:val="20"/>
          <w:lang w:eastAsia="zh-CN"/>
        </w:rPr>
        <w:t>und.</w:t>
      </w:r>
    </w:p>
    <w:p w14:paraId="01379E83" w14:textId="1A37E293" w:rsidR="00C66578" w:rsidRPr="00D61662" w:rsidRDefault="00FB05D9" w:rsidP="008576AC">
      <w:pPr>
        <w:tabs>
          <w:tab w:val="left" w:pos="7340"/>
        </w:tabs>
        <w:spacing w:before="240" w:after="0"/>
        <w:rPr>
          <w:i/>
          <w:sz w:val="20"/>
          <w:szCs w:val="20"/>
        </w:rPr>
      </w:pPr>
      <w:r w:rsidRPr="00D61662">
        <w:rPr>
          <w:i/>
          <w:sz w:val="20"/>
          <w:szCs w:val="20"/>
          <w:lang w:val="en-US"/>
        </w:rPr>
        <w:t>Zhan Zhang</w:t>
      </w:r>
      <w:r w:rsidR="00E75E0D" w:rsidRPr="00D61662">
        <w:rPr>
          <w:i/>
          <w:sz w:val="20"/>
          <w:szCs w:val="20"/>
        </w:rPr>
        <w:t>, Head of AAE</w:t>
      </w:r>
    </w:p>
    <w:p w14:paraId="34A432A6" w14:textId="77777777" w:rsidR="00297882" w:rsidRPr="00D61662" w:rsidRDefault="00297882" w:rsidP="008576AC">
      <w:pPr>
        <w:spacing w:before="480"/>
        <w:rPr>
          <w:rFonts w:eastAsiaTheme="minorEastAsia"/>
          <w:b/>
          <w:color w:val="4472C4" w:themeColor="accent1"/>
          <w:spacing w:val="15"/>
          <w:sz w:val="22"/>
          <w:szCs w:val="22"/>
          <w:lang w:eastAsia="zh-CN"/>
        </w:rPr>
      </w:pPr>
      <w:r w:rsidRPr="00D61662">
        <w:rPr>
          <w:rFonts w:eastAsiaTheme="minorEastAsia"/>
          <w:b/>
          <w:color w:val="4472C4" w:themeColor="accent1"/>
          <w:spacing w:val="15"/>
          <w:sz w:val="22"/>
          <w:szCs w:val="22"/>
          <w:lang w:eastAsia="zh-CN"/>
        </w:rPr>
        <w:t xml:space="preserve">Asset Allocation (AA) Team </w:t>
      </w:r>
    </w:p>
    <w:p w14:paraId="2413DF69" w14:textId="04171F68" w:rsidR="008D68DC" w:rsidRPr="00D61662" w:rsidRDefault="00425299" w:rsidP="008576AC">
      <w:pPr>
        <w:widowControl/>
        <w:spacing w:before="180"/>
        <w:rPr>
          <w:sz w:val="20"/>
          <w:szCs w:val="20"/>
        </w:rPr>
      </w:pPr>
      <w:r>
        <w:rPr>
          <w:sz w:val="20"/>
          <w:szCs w:val="20"/>
        </w:rPr>
        <w:t>T</w:t>
      </w:r>
      <w:r w:rsidR="008D68DC" w:rsidRPr="00D61662">
        <w:rPr>
          <w:sz w:val="20"/>
          <w:szCs w:val="20"/>
        </w:rPr>
        <w:t>he AA team co</w:t>
      </w:r>
      <w:r>
        <w:rPr>
          <w:sz w:val="20"/>
          <w:szCs w:val="20"/>
        </w:rPr>
        <w:t xml:space="preserve">mmenced with </w:t>
      </w:r>
      <w:r w:rsidR="008D68DC" w:rsidRPr="00D61662">
        <w:rPr>
          <w:sz w:val="20"/>
          <w:szCs w:val="20"/>
        </w:rPr>
        <w:t>three members</w:t>
      </w:r>
      <w:r w:rsidR="00BF41E3" w:rsidRPr="00D61662">
        <w:rPr>
          <w:sz w:val="20"/>
          <w:szCs w:val="20"/>
        </w:rPr>
        <w:t xml:space="preserve"> </w:t>
      </w:r>
      <w:r>
        <w:rPr>
          <w:sz w:val="20"/>
          <w:szCs w:val="20"/>
        </w:rPr>
        <w:t xml:space="preserve">in Semester 1, 2018, and </w:t>
      </w:r>
      <w:r w:rsidR="00BF41E3" w:rsidRPr="00D61662">
        <w:rPr>
          <w:sz w:val="20"/>
          <w:szCs w:val="20"/>
        </w:rPr>
        <w:t>expanded to four members for Semester 2, 2018.</w:t>
      </w:r>
      <w:r w:rsidR="008D68DC" w:rsidRPr="00D61662">
        <w:rPr>
          <w:sz w:val="20"/>
          <w:szCs w:val="20"/>
        </w:rPr>
        <w:t xml:space="preserve"> </w:t>
      </w:r>
      <w:r>
        <w:rPr>
          <w:sz w:val="20"/>
          <w:szCs w:val="20"/>
        </w:rPr>
        <w:t>O</w:t>
      </w:r>
      <w:r w:rsidR="008D68DC" w:rsidRPr="00D61662">
        <w:rPr>
          <w:sz w:val="20"/>
          <w:szCs w:val="20"/>
        </w:rPr>
        <w:t xml:space="preserve">ur </w:t>
      </w:r>
      <w:r>
        <w:rPr>
          <w:sz w:val="20"/>
          <w:szCs w:val="20"/>
        </w:rPr>
        <w:t xml:space="preserve">key focus has been the </w:t>
      </w:r>
      <w:r w:rsidR="008D68DC" w:rsidRPr="00D61662">
        <w:rPr>
          <w:sz w:val="20"/>
          <w:szCs w:val="20"/>
        </w:rPr>
        <w:t xml:space="preserve">drive towards completing the </w:t>
      </w:r>
      <w:r w:rsidR="00BF41E3" w:rsidRPr="00D61662">
        <w:rPr>
          <w:sz w:val="20"/>
          <w:szCs w:val="20"/>
        </w:rPr>
        <w:t>AA IP</w:t>
      </w:r>
      <w:r w:rsidR="008D68DC" w:rsidRPr="00D61662">
        <w:rPr>
          <w:sz w:val="20"/>
          <w:szCs w:val="20"/>
        </w:rPr>
        <w:t xml:space="preserve">. The team now has a clear direction and an end in sight. AA was hoping to complete the IP and present to the </w:t>
      </w:r>
      <w:r w:rsidR="00BF41E3" w:rsidRPr="00D61662">
        <w:rPr>
          <w:sz w:val="20"/>
          <w:szCs w:val="20"/>
        </w:rPr>
        <w:t xml:space="preserve">IAC </w:t>
      </w:r>
      <w:r w:rsidR="008D68DC" w:rsidRPr="00D61662">
        <w:rPr>
          <w:sz w:val="20"/>
          <w:szCs w:val="20"/>
        </w:rPr>
        <w:t>this semester, however</w:t>
      </w:r>
      <w:r w:rsidR="00D1310B">
        <w:rPr>
          <w:sz w:val="20"/>
          <w:szCs w:val="20"/>
        </w:rPr>
        <w:t>,</w:t>
      </w:r>
      <w:r w:rsidR="008D68DC" w:rsidRPr="00D61662">
        <w:rPr>
          <w:sz w:val="20"/>
          <w:szCs w:val="20"/>
        </w:rPr>
        <w:t xml:space="preserve"> a few unforeseen challenges and directional changes have inhibited this from being achieved. The team will aim to present </w:t>
      </w:r>
      <w:r>
        <w:rPr>
          <w:sz w:val="20"/>
          <w:szCs w:val="20"/>
        </w:rPr>
        <w:t xml:space="preserve">our IP </w:t>
      </w:r>
      <w:r w:rsidR="00BF41E3" w:rsidRPr="00D61662">
        <w:rPr>
          <w:sz w:val="20"/>
          <w:szCs w:val="20"/>
        </w:rPr>
        <w:t xml:space="preserve">to the IAC </w:t>
      </w:r>
      <w:r w:rsidR="002C5F0B">
        <w:rPr>
          <w:sz w:val="20"/>
          <w:szCs w:val="20"/>
        </w:rPr>
        <w:t>in the first half of</w:t>
      </w:r>
      <w:r w:rsidR="00BF41E3" w:rsidRPr="00D61662">
        <w:rPr>
          <w:sz w:val="20"/>
          <w:szCs w:val="20"/>
        </w:rPr>
        <w:t xml:space="preserve"> 2019. </w:t>
      </w:r>
      <w:r w:rsidR="008D68DC" w:rsidRPr="00D61662">
        <w:rPr>
          <w:sz w:val="20"/>
          <w:szCs w:val="20"/>
        </w:rPr>
        <w:t xml:space="preserve"> </w:t>
      </w:r>
    </w:p>
    <w:p w14:paraId="296E80B5" w14:textId="061C807F" w:rsidR="008D68DC" w:rsidRPr="00D61662" w:rsidRDefault="008D68DC" w:rsidP="008576AC">
      <w:pPr>
        <w:widowControl/>
        <w:spacing w:before="180"/>
        <w:rPr>
          <w:sz w:val="20"/>
          <w:szCs w:val="20"/>
        </w:rPr>
      </w:pPr>
      <w:r w:rsidRPr="00D61662">
        <w:rPr>
          <w:sz w:val="20"/>
          <w:szCs w:val="20"/>
        </w:rPr>
        <w:t xml:space="preserve">Development this year has been extensive. The team is working on a scenario analysis approach and optimising through a utility function. Preliminary testing looks promising. The utility function is set up, asset models are completed, </w:t>
      </w:r>
      <w:r w:rsidR="00425299">
        <w:rPr>
          <w:sz w:val="20"/>
          <w:szCs w:val="20"/>
        </w:rPr>
        <w:t>we set out our approach to</w:t>
      </w:r>
      <w:r w:rsidR="002C5F0B">
        <w:rPr>
          <w:sz w:val="20"/>
          <w:szCs w:val="20"/>
        </w:rPr>
        <w:t xml:space="preserve"> the</w:t>
      </w:r>
      <w:r w:rsidR="00425299">
        <w:rPr>
          <w:sz w:val="20"/>
          <w:szCs w:val="20"/>
        </w:rPr>
        <w:t xml:space="preserve"> </w:t>
      </w:r>
      <w:r w:rsidR="00425299" w:rsidRPr="00D61662">
        <w:rPr>
          <w:sz w:val="20"/>
          <w:szCs w:val="20"/>
        </w:rPr>
        <w:t>‘Qualitative Adjustment’ and the ‘Review and Monitor’</w:t>
      </w:r>
      <w:r w:rsidR="002C5F0B">
        <w:rPr>
          <w:sz w:val="20"/>
          <w:szCs w:val="20"/>
        </w:rPr>
        <w:t xml:space="preserve"> stages</w:t>
      </w:r>
      <w:r w:rsidR="00425299">
        <w:rPr>
          <w:sz w:val="20"/>
          <w:szCs w:val="20"/>
        </w:rPr>
        <w:t xml:space="preserve">, </w:t>
      </w:r>
      <w:r w:rsidRPr="00D61662">
        <w:rPr>
          <w:sz w:val="20"/>
          <w:szCs w:val="20"/>
        </w:rPr>
        <w:t>and much of the surrounding documentation ha</w:t>
      </w:r>
      <w:r w:rsidR="00F868C2">
        <w:rPr>
          <w:sz w:val="20"/>
          <w:szCs w:val="20"/>
        </w:rPr>
        <w:t>s</w:t>
      </w:r>
      <w:r w:rsidRPr="00D61662">
        <w:rPr>
          <w:sz w:val="20"/>
          <w:szCs w:val="20"/>
        </w:rPr>
        <w:t xml:space="preserve"> been completed. The main work still to be finalised is validating the efficacy of key drivers for </w:t>
      </w:r>
      <w:r w:rsidR="00425299">
        <w:rPr>
          <w:sz w:val="20"/>
          <w:szCs w:val="20"/>
        </w:rPr>
        <w:t xml:space="preserve">our </w:t>
      </w:r>
      <w:r w:rsidRPr="00D61662">
        <w:rPr>
          <w:sz w:val="20"/>
          <w:szCs w:val="20"/>
        </w:rPr>
        <w:t>scenarios</w:t>
      </w:r>
      <w:r w:rsidR="009823DC">
        <w:rPr>
          <w:sz w:val="20"/>
          <w:szCs w:val="20"/>
        </w:rPr>
        <w:t xml:space="preserve">. The latter </w:t>
      </w:r>
      <w:r w:rsidR="00425299">
        <w:rPr>
          <w:sz w:val="20"/>
          <w:szCs w:val="20"/>
        </w:rPr>
        <w:t>will combin</w:t>
      </w:r>
      <w:r w:rsidR="009823DC">
        <w:rPr>
          <w:sz w:val="20"/>
          <w:szCs w:val="20"/>
        </w:rPr>
        <w:t>e two approaches: a quantitative</w:t>
      </w:r>
      <w:r w:rsidR="00425299">
        <w:rPr>
          <w:sz w:val="20"/>
          <w:szCs w:val="20"/>
        </w:rPr>
        <w:t xml:space="preserve"> </w:t>
      </w:r>
      <w:r w:rsidRPr="00D61662">
        <w:rPr>
          <w:sz w:val="20"/>
          <w:szCs w:val="20"/>
        </w:rPr>
        <w:t xml:space="preserve">Markov </w:t>
      </w:r>
      <w:r w:rsidR="00425299">
        <w:rPr>
          <w:sz w:val="20"/>
          <w:szCs w:val="20"/>
        </w:rPr>
        <w:t>chain analysis that draws on historical data</w:t>
      </w:r>
      <w:r w:rsidR="009823DC">
        <w:rPr>
          <w:sz w:val="20"/>
          <w:szCs w:val="20"/>
        </w:rPr>
        <w:t>,</w:t>
      </w:r>
      <w:r w:rsidR="00425299">
        <w:rPr>
          <w:sz w:val="20"/>
          <w:szCs w:val="20"/>
        </w:rPr>
        <w:t xml:space="preserve"> and </w:t>
      </w:r>
      <w:r w:rsidR="009823DC">
        <w:rPr>
          <w:sz w:val="20"/>
          <w:szCs w:val="20"/>
        </w:rPr>
        <w:t xml:space="preserve">a more qualitative approach under which the AA team builds a range of scenarios based on its own research. </w:t>
      </w:r>
    </w:p>
    <w:p w14:paraId="0F4C7720" w14:textId="20B4800D" w:rsidR="008D68DC" w:rsidRPr="00D61662" w:rsidRDefault="008D68DC" w:rsidP="008576AC">
      <w:pPr>
        <w:widowControl/>
        <w:spacing w:before="180"/>
        <w:rPr>
          <w:sz w:val="20"/>
          <w:szCs w:val="20"/>
        </w:rPr>
      </w:pPr>
      <w:r w:rsidRPr="00D61662">
        <w:rPr>
          <w:sz w:val="20"/>
          <w:szCs w:val="20"/>
        </w:rPr>
        <w:t xml:space="preserve">A topic of discussion for the AA team this semester was </w:t>
      </w:r>
      <w:r w:rsidR="00BF41E3" w:rsidRPr="00D61662">
        <w:rPr>
          <w:sz w:val="20"/>
          <w:szCs w:val="20"/>
        </w:rPr>
        <w:t>SRI</w:t>
      </w:r>
      <w:r w:rsidRPr="00D61662">
        <w:rPr>
          <w:sz w:val="20"/>
          <w:szCs w:val="20"/>
        </w:rPr>
        <w:t xml:space="preserve">. The team investigated options to </w:t>
      </w:r>
      <w:r w:rsidR="00BF41E3" w:rsidRPr="00D61662">
        <w:rPr>
          <w:sz w:val="20"/>
          <w:szCs w:val="20"/>
        </w:rPr>
        <w:t xml:space="preserve">align </w:t>
      </w:r>
      <w:r w:rsidRPr="00D61662">
        <w:rPr>
          <w:sz w:val="20"/>
          <w:szCs w:val="20"/>
        </w:rPr>
        <w:t xml:space="preserve">the </w:t>
      </w:r>
      <w:r w:rsidR="0059523C">
        <w:rPr>
          <w:sz w:val="20"/>
          <w:szCs w:val="20"/>
        </w:rPr>
        <w:t>exchange-</w:t>
      </w:r>
      <w:r w:rsidR="009823DC">
        <w:rPr>
          <w:sz w:val="20"/>
          <w:szCs w:val="20"/>
        </w:rPr>
        <w:t xml:space="preserve">traded funds (ETFs) used to </w:t>
      </w:r>
      <w:r w:rsidR="0059523C">
        <w:rPr>
          <w:sz w:val="20"/>
          <w:szCs w:val="20"/>
        </w:rPr>
        <w:t xml:space="preserve">implement the </w:t>
      </w:r>
      <w:r w:rsidR="00BF41E3" w:rsidRPr="00D61662">
        <w:rPr>
          <w:sz w:val="20"/>
          <w:szCs w:val="20"/>
        </w:rPr>
        <w:t xml:space="preserve">AA component of </w:t>
      </w:r>
      <w:r w:rsidRPr="00D61662">
        <w:rPr>
          <w:sz w:val="20"/>
          <w:szCs w:val="20"/>
        </w:rPr>
        <w:t xml:space="preserve">the portfolio </w:t>
      </w:r>
      <w:r w:rsidR="0059523C">
        <w:rPr>
          <w:sz w:val="20"/>
          <w:szCs w:val="20"/>
        </w:rPr>
        <w:t>with</w:t>
      </w:r>
      <w:r w:rsidR="00BF41E3" w:rsidRPr="00D61662">
        <w:rPr>
          <w:sz w:val="20"/>
          <w:szCs w:val="20"/>
        </w:rPr>
        <w:t xml:space="preserve"> the </w:t>
      </w:r>
      <w:r w:rsidR="0059523C">
        <w:rPr>
          <w:sz w:val="20"/>
          <w:szCs w:val="20"/>
        </w:rPr>
        <w:t xml:space="preserve">ANU’s </w:t>
      </w:r>
      <w:r w:rsidR="00BF41E3" w:rsidRPr="00D61662">
        <w:rPr>
          <w:sz w:val="20"/>
          <w:szCs w:val="20"/>
        </w:rPr>
        <w:t xml:space="preserve">SRI </w:t>
      </w:r>
      <w:r w:rsidR="0059523C">
        <w:rPr>
          <w:sz w:val="20"/>
          <w:szCs w:val="20"/>
        </w:rPr>
        <w:t>policy</w:t>
      </w:r>
      <w:r w:rsidRPr="00D61662">
        <w:rPr>
          <w:sz w:val="20"/>
          <w:szCs w:val="20"/>
        </w:rPr>
        <w:t xml:space="preserve">. This included </w:t>
      </w:r>
      <w:r w:rsidR="0059523C">
        <w:rPr>
          <w:sz w:val="20"/>
          <w:szCs w:val="20"/>
        </w:rPr>
        <w:t xml:space="preserve">surveying available ASX-listed ETFs, and </w:t>
      </w:r>
      <w:r w:rsidRPr="00D61662">
        <w:rPr>
          <w:sz w:val="20"/>
          <w:szCs w:val="20"/>
        </w:rPr>
        <w:t>a meeting with BetaShares representatives to assess new products</w:t>
      </w:r>
      <w:r w:rsidR="00BF41E3" w:rsidRPr="00D61662">
        <w:rPr>
          <w:sz w:val="20"/>
          <w:szCs w:val="20"/>
        </w:rPr>
        <w:t xml:space="preserve"> (ASX:ETHI)</w:t>
      </w:r>
      <w:r w:rsidRPr="00D61662">
        <w:rPr>
          <w:sz w:val="20"/>
          <w:szCs w:val="20"/>
        </w:rPr>
        <w:t xml:space="preserve"> </w:t>
      </w:r>
      <w:r w:rsidR="00BF41E3" w:rsidRPr="00D61662">
        <w:rPr>
          <w:sz w:val="20"/>
          <w:szCs w:val="20"/>
        </w:rPr>
        <w:t xml:space="preserve">and (ASX:FAIR). </w:t>
      </w:r>
      <w:r w:rsidR="0059523C">
        <w:rPr>
          <w:sz w:val="20"/>
          <w:szCs w:val="20"/>
        </w:rPr>
        <w:t>Unfortunately</w:t>
      </w:r>
      <w:r w:rsidR="00895642">
        <w:rPr>
          <w:sz w:val="20"/>
          <w:szCs w:val="20"/>
        </w:rPr>
        <w:t>,</w:t>
      </w:r>
      <w:r w:rsidR="0059523C">
        <w:rPr>
          <w:sz w:val="20"/>
          <w:szCs w:val="20"/>
        </w:rPr>
        <w:t xml:space="preserve"> n</w:t>
      </w:r>
      <w:r w:rsidRPr="00D61662">
        <w:rPr>
          <w:sz w:val="20"/>
          <w:szCs w:val="20"/>
        </w:rPr>
        <w:t xml:space="preserve">o suitable product was found </w:t>
      </w:r>
      <w:r w:rsidR="0059523C">
        <w:rPr>
          <w:sz w:val="20"/>
          <w:szCs w:val="20"/>
        </w:rPr>
        <w:t>that</w:t>
      </w:r>
      <w:r w:rsidRPr="00D61662">
        <w:rPr>
          <w:sz w:val="20"/>
          <w:szCs w:val="20"/>
        </w:rPr>
        <w:t xml:space="preserve"> could retain broad asset class exposure while </w:t>
      </w:r>
      <w:r w:rsidR="00BF41E3" w:rsidRPr="00D61662">
        <w:rPr>
          <w:sz w:val="20"/>
          <w:szCs w:val="20"/>
        </w:rPr>
        <w:t>promoting the Fund</w:t>
      </w:r>
      <w:r w:rsidR="0024201B">
        <w:rPr>
          <w:sz w:val="20"/>
          <w:szCs w:val="20"/>
        </w:rPr>
        <w:t>’</w:t>
      </w:r>
      <w:r w:rsidR="00BF41E3" w:rsidRPr="00D61662">
        <w:rPr>
          <w:sz w:val="20"/>
          <w:szCs w:val="20"/>
        </w:rPr>
        <w:t xml:space="preserve">s SRI targets. </w:t>
      </w:r>
      <w:r w:rsidRPr="00D61662">
        <w:rPr>
          <w:sz w:val="20"/>
          <w:szCs w:val="20"/>
        </w:rPr>
        <w:t>Monitoring will continue</w:t>
      </w:r>
      <w:r w:rsidR="0059523C">
        <w:rPr>
          <w:sz w:val="20"/>
          <w:szCs w:val="20"/>
        </w:rPr>
        <w:t>, with a view to switching if a suitable product becomes available</w:t>
      </w:r>
      <w:r w:rsidRPr="00D61662">
        <w:rPr>
          <w:sz w:val="20"/>
          <w:szCs w:val="20"/>
        </w:rPr>
        <w:t>.</w:t>
      </w:r>
    </w:p>
    <w:p w14:paraId="1F30008E" w14:textId="68FC4DFD" w:rsidR="00FB05D9" w:rsidRPr="00D61662" w:rsidRDefault="008D68DC" w:rsidP="008576AC">
      <w:pPr>
        <w:widowControl/>
        <w:spacing w:before="180"/>
        <w:rPr>
          <w:sz w:val="20"/>
          <w:szCs w:val="20"/>
        </w:rPr>
      </w:pPr>
      <w:r w:rsidRPr="00D61662">
        <w:rPr>
          <w:sz w:val="20"/>
          <w:szCs w:val="20"/>
        </w:rPr>
        <w:t xml:space="preserve">The AA team welcomes three junior analysts next semester, with Jak Carty taking over as Head of </w:t>
      </w:r>
      <w:r w:rsidR="00BF41E3" w:rsidRPr="00D61662">
        <w:rPr>
          <w:sz w:val="20"/>
          <w:szCs w:val="20"/>
        </w:rPr>
        <w:t>AA</w:t>
      </w:r>
      <w:r w:rsidRPr="00D61662">
        <w:rPr>
          <w:sz w:val="20"/>
          <w:szCs w:val="20"/>
        </w:rPr>
        <w:t>. We have confidence that the team will be able to carry th</w:t>
      </w:r>
      <w:r w:rsidR="0059523C">
        <w:rPr>
          <w:sz w:val="20"/>
          <w:szCs w:val="20"/>
        </w:rPr>
        <w:t>e</w:t>
      </w:r>
      <w:r w:rsidRPr="00D61662">
        <w:rPr>
          <w:sz w:val="20"/>
          <w:szCs w:val="20"/>
        </w:rPr>
        <w:t xml:space="preserve"> momentum into 2019, complete the IP, and present it to the IAC. We look forward to seeing this come to fruition</w:t>
      </w:r>
      <w:r w:rsidR="0059523C">
        <w:rPr>
          <w:sz w:val="20"/>
          <w:szCs w:val="20"/>
        </w:rPr>
        <w:t>,</w:t>
      </w:r>
      <w:r w:rsidRPr="00D61662">
        <w:rPr>
          <w:sz w:val="20"/>
          <w:szCs w:val="20"/>
        </w:rPr>
        <w:t xml:space="preserve"> </w:t>
      </w:r>
      <w:r w:rsidR="0059523C">
        <w:rPr>
          <w:sz w:val="20"/>
          <w:szCs w:val="20"/>
        </w:rPr>
        <w:t xml:space="preserve">thus </w:t>
      </w:r>
      <w:r w:rsidRPr="00D61662">
        <w:rPr>
          <w:sz w:val="20"/>
          <w:szCs w:val="20"/>
        </w:rPr>
        <w:t>lay</w:t>
      </w:r>
      <w:r w:rsidR="0059523C">
        <w:rPr>
          <w:sz w:val="20"/>
          <w:szCs w:val="20"/>
        </w:rPr>
        <w:t>ing</w:t>
      </w:r>
      <w:r w:rsidRPr="00D61662">
        <w:rPr>
          <w:sz w:val="20"/>
          <w:szCs w:val="20"/>
        </w:rPr>
        <w:t xml:space="preserve"> down the foundation for the future legacy of the AA team.</w:t>
      </w:r>
    </w:p>
    <w:p w14:paraId="2A19BCD8" w14:textId="6D500A1F" w:rsidR="00106FB4" w:rsidRPr="00D61662" w:rsidRDefault="00FB05D9" w:rsidP="00E8150B">
      <w:pPr>
        <w:spacing w:before="240" w:after="0"/>
        <w:rPr>
          <w:i/>
          <w:sz w:val="20"/>
          <w:szCs w:val="20"/>
        </w:rPr>
      </w:pPr>
      <w:r w:rsidRPr="00D61662">
        <w:rPr>
          <w:i/>
          <w:sz w:val="20"/>
          <w:szCs w:val="20"/>
        </w:rPr>
        <w:t>Harrison Papworth &amp;Victor Munagala</w:t>
      </w:r>
      <w:r w:rsidR="00E75E0D" w:rsidRPr="00D61662">
        <w:rPr>
          <w:i/>
          <w:sz w:val="20"/>
          <w:szCs w:val="20"/>
        </w:rPr>
        <w:t xml:space="preserve">, </w:t>
      </w:r>
      <w:r w:rsidRPr="00D61662">
        <w:rPr>
          <w:i/>
          <w:sz w:val="20"/>
          <w:szCs w:val="20"/>
        </w:rPr>
        <w:t xml:space="preserve">Joint </w:t>
      </w:r>
      <w:r w:rsidR="00E75E0D" w:rsidRPr="00D61662">
        <w:rPr>
          <w:i/>
          <w:sz w:val="20"/>
          <w:szCs w:val="20"/>
        </w:rPr>
        <w:t>Head</w:t>
      </w:r>
      <w:r w:rsidRPr="00D61662">
        <w:rPr>
          <w:i/>
          <w:sz w:val="20"/>
          <w:szCs w:val="20"/>
        </w:rPr>
        <w:t>s</w:t>
      </w:r>
      <w:r w:rsidR="00E75E0D" w:rsidRPr="00D61662">
        <w:rPr>
          <w:i/>
          <w:sz w:val="20"/>
          <w:szCs w:val="20"/>
        </w:rPr>
        <w:t xml:space="preserve"> of AA</w:t>
      </w:r>
      <w:bookmarkEnd w:id="2"/>
    </w:p>
    <w:p w14:paraId="7BBB14C2" w14:textId="5ADD5828" w:rsidR="00297882" w:rsidRPr="00D61662" w:rsidRDefault="00297882" w:rsidP="00F332BF">
      <w:pPr>
        <w:widowControl/>
        <w:spacing w:line="312" w:lineRule="auto"/>
        <w:jc w:val="left"/>
        <w:rPr>
          <w:rFonts w:eastAsiaTheme="minorEastAsia"/>
          <w:b/>
          <w:color w:val="4472C4" w:themeColor="accent1"/>
          <w:spacing w:val="15"/>
          <w:sz w:val="22"/>
          <w:szCs w:val="22"/>
          <w:lang w:val="en-US"/>
        </w:rPr>
      </w:pPr>
      <w:r w:rsidRPr="00D61662">
        <w:rPr>
          <w:rFonts w:eastAsiaTheme="minorEastAsia"/>
          <w:b/>
          <w:color w:val="4472C4" w:themeColor="accent1"/>
          <w:spacing w:val="15"/>
          <w:sz w:val="22"/>
          <w:szCs w:val="22"/>
          <w:lang w:val="en-US"/>
        </w:rPr>
        <w:lastRenderedPageBreak/>
        <w:t xml:space="preserve">Risk &amp; Compliance (R&amp;C) Team </w:t>
      </w:r>
    </w:p>
    <w:p w14:paraId="413FDCB4" w14:textId="262734DB" w:rsidR="00935114" w:rsidRPr="00D61662" w:rsidRDefault="00935114" w:rsidP="008C6EE1">
      <w:pPr>
        <w:widowControl/>
        <w:spacing w:before="180"/>
        <w:rPr>
          <w:sz w:val="20"/>
          <w:szCs w:val="20"/>
        </w:rPr>
      </w:pPr>
      <w:r w:rsidRPr="00D61662">
        <w:rPr>
          <w:sz w:val="20"/>
          <w:szCs w:val="20"/>
        </w:rPr>
        <w:t xml:space="preserve">The academic year of 2018 has been fruitful for the R&amp;C team as we work towards wrapping up our keystone documents in the areas of risk management, compliance monitoring and performance evaluation. Our team has put in remarkable effort in </w:t>
      </w:r>
      <w:r w:rsidR="002D09EA">
        <w:rPr>
          <w:sz w:val="20"/>
          <w:szCs w:val="20"/>
        </w:rPr>
        <w:t>forming</w:t>
      </w:r>
      <w:r w:rsidRPr="00D61662">
        <w:rPr>
          <w:sz w:val="20"/>
          <w:szCs w:val="20"/>
        </w:rPr>
        <w:t xml:space="preserve"> these documents</w:t>
      </w:r>
      <w:r w:rsidR="002D09EA">
        <w:rPr>
          <w:sz w:val="20"/>
          <w:szCs w:val="20"/>
        </w:rPr>
        <w:t xml:space="preserve">, and </w:t>
      </w:r>
      <w:r w:rsidRPr="00D61662">
        <w:rPr>
          <w:sz w:val="20"/>
          <w:szCs w:val="20"/>
        </w:rPr>
        <w:t>progress</w:t>
      </w:r>
      <w:r w:rsidR="009A0439">
        <w:rPr>
          <w:sz w:val="20"/>
          <w:szCs w:val="20"/>
        </w:rPr>
        <w:t>ing</w:t>
      </w:r>
      <w:r w:rsidR="002D09EA">
        <w:rPr>
          <w:sz w:val="20"/>
          <w:szCs w:val="20"/>
        </w:rPr>
        <w:t xml:space="preserve"> towards making the R&amp;C team fully operational</w:t>
      </w:r>
      <w:r w:rsidRPr="00D61662">
        <w:rPr>
          <w:sz w:val="20"/>
          <w:szCs w:val="20"/>
        </w:rPr>
        <w:t xml:space="preserve">. </w:t>
      </w:r>
    </w:p>
    <w:p w14:paraId="4A02B9AF" w14:textId="404D73D2" w:rsidR="00935114" w:rsidRPr="00D61662" w:rsidRDefault="002D09EA" w:rsidP="008C6EE1">
      <w:pPr>
        <w:widowControl/>
        <w:spacing w:before="180"/>
        <w:rPr>
          <w:sz w:val="20"/>
          <w:szCs w:val="20"/>
        </w:rPr>
      </w:pPr>
      <w:r>
        <w:rPr>
          <w:sz w:val="20"/>
          <w:szCs w:val="20"/>
        </w:rPr>
        <w:t>W</w:t>
      </w:r>
      <w:r w:rsidR="00935114" w:rsidRPr="00D61662">
        <w:rPr>
          <w:sz w:val="20"/>
          <w:szCs w:val="20"/>
        </w:rPr>
        <w:t xml:space="preserve">e completed an R&amp;C Overview Document in </w:t>
      </w:r>
      <w:r w:rsidR="00316D93" w:rsidRPr="00D61662">
        <w:rPr>
          <w:sz w:val="20"/>
          <w:szCs w:val="20"/>
        </w:rPr>
        <w:t>Semester 1, 2018</w:t>
      </w:r>
      <w:r w:rsidR="00935114" w:rsidRPr="00D61662">
        <w:rPr>
          <w:sz w:val="20"/>
          <w:szCs w:val="20"/>
        </w:rPr>
        <w:t xml:space="preserve">. This document outlines the duties and procedures for which our team is responsible during the day-to-day management of the SMF. </w:t>
      </w:r>
      <w:r>
        <w:rPr>
          <w:sz w:val="20"/>
          <w:szCs w:val="20"/>
        </w:rPr>
        <w:t>F</w:t>
      </w:r>
      <w:r w:rsidR="00935114" w:rsidRPr="00D61662">
        <w:rPr>
          <w:sz w:val="20"/>
          <w:szCs w:val="20"/>
        </w:rPr>
        <w:t xml:space="preserve">rom a risk monitoring perspective, we developed a </w:t>
      </w:r>
      <w:r>
        <w:rPr>
          <w:sz w:val="20"/>
          <w:szCs w:val="20"/>
        </w:rPr>
        <w:t>R</w:t>
      </w:r>
      <w:r w:rsidR="00935114" w:rsidRPr="00D61662">
        <w:rPr>
          <w:sz w:val="20"/>
          <w:szCs w:val="20"/>
        </w:rPr>
        <w:t xml:space="preserve">isk </w:t>
      </w:r>
      <w:r>
        <w:rPr>
          <w:sz w:val="20"/>
          <w:szCs w:val="20"/>
        </w:rPr>
        <w:t>M</w:t>
      </w:r>
      <w:r w:rsidR="00935114" w:rsidRPr="00D61662">
        <w:rPr>
          <w:sz w:val="20"/>
          <w:szCs w:val="20"/>
        </w:rPr>
        <w:t xml:space="preserve">anagement </w:t>
      </w:r>
      <w:r>
        <w:rPr>
          <w:sz w:val="20"/>
          <w:szCs w:val="20"/>
        </w:rPr>
        <w:t>P</w:t>
      </w:r>
      <w:r w:rsidR="00935114" w:rsidRPr="00D61662">
        <w:rPr>
          <w:sz w:val="20"/>
          <w:szCs w:val="20"/>
        </w:rPr>
        <w:t xml:space="preserve">rocess that </w:t>
      </w:r>
      <w:r>
        <w:rPr>
          <w:sz w:val="20"/>
          <w:szCs w:val="20"/>
        </w:rPr>
        <w:t xml:space="preserve">outlines how the team will </w:t>
      </w:r>
      <w:r w:rsidR="00935114" w:rsidRPr="00D61662">
        <w:rPr>
          <w:sz w:val="20"/>
          <w:szCs w:val="20"/>
        </w:rPr>
        <w:t>identify and manage risks efficiently</w:t>
      </w:r>
      <w:r>
        <w:rPr>
          <w:sz w:val="20"/>
          <w:szCs w:val="20"/>
        </w:rPr>
        <w:t xml:space="preserve">, </w:t>
      </w:r>
      <w:r w:rsidR="00935114" w:rsidRPr="00D61662">
        <w:rPr>
          <w:sz w:val="20"/>
          <w:szCs w:val="20"/>
        </w:rPr>
        <w:t>defin</w:t>
      </w:r>
      <w:r>
        <w:rPr>
          <w:sz w:val="20"/>
          <w:szCs w:val="20"/>
        </w:rPr>
        <w:t>ing</w:t>
      </w:r>
      <w:r w:rsidR="00935114" w:rsidRPr="00D61662">
        <w:rPr>
          <w:sz w:val="20"/>
          <w:szCs w:val="20"/>
        </w:rPr>
        <w:t xml:space="preserve"> material risks as those that could impair the SMF from meeting its learning, developmental </w:t>
      </w:r>
      <w:r w:rsidR="00316D93" w:rsidRPr="00D61662">
        <w:rPr>
          <w:sz w:val="20"/>
          <w:szCs w:val="20"/>
        </w:rPr>
        <w:t xml:space="preserve">or investment </w:t>
      </w:r>
      <w:r w:rsidR="00935114" w:rsidRPr="00D61662">
        <w:rPr>
          <w:sz w:val="20"/>
          <w:szCs w:val="20"/>
        </w:rPr>
        <w:t>objective</w:t>
      </w:r>
      <w:r w:rsidR="00316D93" w:rsidRPr="00D61662">
        <w:rPr>
          <w:sz w:val="20"/>
          <w:szCs w:val="20"/>
        </w:rPr>
        <w:t xml:space="preserve">s. </w:t>
      </w:r>
      <w:r>
        <w:rPr>
          <w:sz w:val="20"/>
          <w:szCs w:val="20"/>
        </w:rPr>
        <w:t>In</w:t>
      </w:r>
      <w:r w:rsidR="00316D93" w:rsidRPr="00D61662">
        <w:rPr>
          <w:sz w:val="20"/>
          <w:szCs w:val="20"/>
        </w:rPr>
        <w:t xml:space="preserve"> </w:t>
      </w:r>
      <w:r w:rsidR="00935114" w:rsidRPr="00D61662">
        <w:rPr>
          <w:sz w:val="20"/>
          <w:szCs w:val="20"/>
        </w:rPr>
        <w:t>taking account of risks, we strive to achieve a balance between risk</w:t>
      </w:r>
      <w:r w:rsidR="00316D93" w:rsidRPr="00D61662">
        <w:rPr>
          <w:sz w:val="20"/>
          <w:szCs w:val="20"/>
        </w:rPr>
        <w:t xml:space="preserve"> </w:t>
      </w:r>
      <w:r w:rsidR="00935114" w:rsidRPr="00D61662">
        <w:rPr>
          <w:sz w:val="20"/>
          <w:szCs w:val="20"/>
        </w:rPr>
        <w:t xml:space="preserve">and return </w:t>
      </w:r>
      <w:r>
        <w:rPr>
          <w:sz w:val="20"/>
          <w:szCs w:val="20"/>
        </w:rPr>
        <w:t>in a way that is</w:t>
      </w:r>
      <w:r w:rsidR="00935114" w:rsidRPr="00D61662">
        <w:rPr>
          <w:sz w:val="20"/>
          <w:szCs w:val="20"/>
        </w:rPr>
        <w:t xml:space="preserve"> aligned to the SMF’s </w:t>
      </w:r>
      <w:r w:rsidR="00316D93" w:rsidRPr="00D61662">
        <w:rPr>
          <w:sz w:val="20"/>
          <w:szCs w:val="20"/>
        </w:rPr>
        <w:t>objectives.</w:t>
      </w:r>
      <w:r w:rsidR="00935114" w:rsidRPr="00D61662">
        <w:rPr>
          <w:sz w:val="20"/>
          <w:szCs w:val="20"/>
        </w:rPr>
        <w:t xml:space="preserve"> </w:t>
      </w:r>
      <w:r>
        <w:rPr>
          <w:sz w:val="20"/>
          <w:szCs w:val="20"/>
        </w:rPr>
        <w:t>I</w:t>
      </w:r>
      <w:r w:rsidR="00316D93" w:rsidRPr="00D61662">
        <w:rPr>
          <w:sz w:val="20"/>
          <w:szCs w:val="20"/>
        </w:rPr>
        <w:t>n regard to the monitoring of compliance matters</w:t>
      </w:r>
      <w:r w:rsidR="00935114" w:rsidRPr="00D61662">
        <w:rPr>
          <w:sz w:val="20"/>
          <w:szCs w:val="20"/>
        </w:rPr>
        <w:t xml:space="preserve">, </w:t>
      </w:r>
      <w:r>
        <w:rPr>
          <w:sz w:val="20"/>
          <w:szCs w:val="20"/>
        </w:rPr>
        <w:t>we</w:t>
      </w:r>
      <w:r w:rsidR="00935114" w:rsidRPr="00D61662">
        <w:rPr>
          <w:sz w:val="20"/>
          <w:szCs w:val="20"/>
        </w:rPr>
        <w:t xml:space="preserve"> developed a</w:t>
      </w:r>
      <w:r w:rsidR="00316D93" w:rsidRPr="00D61662">
        <w:rPr>
          <w:sz w:val="20"/>
          <w:szCs w:val="20"/>
        </w:rPr>
        <w:t>n</w:t>
      </w:r>
      <w:r w:rsidR="00935114" w:rsidRPr="00D61662">
        <w:rPr>
          <w:sz w:val="20"/>
          <w:szCs w:val="20"/>
        </w:rPr>
        <w:t xml:space="preserve"> SRI Compliance Process in </w:t>
      </w:r>
      <w:r w:rsidR="00316D93" w:rsidRPr="00D61662">
        <w:rPr>
          <w:sz w:val="20"/>
          <w:szCs w:val="20"/>
        </w:rPr>
        <w:t xml:space="preserve">Semester 2, 2018. Further details are found in the Socially Responsible Investment Report on page 13. </w:t>
      </w:r>
    </w:p>
    <w:p w14:paraId="659A55AC" w14:textId="6C2F73EF" w:rsidR="00935114" w:rsidRPr="00D61662" w:rsidRDefault="00935114" w:rsidP="008C6EE1">
      <w:pPr>
        <w:widowControl/>
        <w:spacing w:before="180"/>
        <w:rPr>
          <w:sz w:val="20"/>
          <w:szCs w:val="20"/>
        </w:rPr>
      </w:pPr>
      <w:r w:rsidRPr="00D61662">
        <w:rPr>
          <w:sz w:val="20"/>
          <w:szCs w:val="20"/>
        </w:rPr>
        <w:t>One of the key accomplish</w:t>
      </w:r>
      <w:r w:rsidR="002D09EA">
        <w:rPr>
          <w:sz w:val="20"/>
          <w:szCs w:val="20"/>
        </w:rPr>
        <w:t>ments</w:t>
      </w:r>
      <w:r w:rsidRPr="00D61662">
        <w:rPr>
          <w:sz w:val="20"/>
          <w:szCs w:val="20"/>
        </w:rPr>
        <w:t xml:space="preserve"> this year is in the performance evaluation area. With due effort, our team has built a comprehensive </w:t>
      </w:r>
      <w:r w:rsidR="002D09EA">
        <w:rPr>
          <w:sz w:val="20"/>
          <w:szCs w:val="20"/>
        </w:rPr>
        <w:t xml:space="preserve">performance measurement and </w:t>
      </w:r>
      <w:r w:rsidRPr="00D61662">
        <w:rPr>
          <w:sz w:val="20"/>
          <w:szCs w:val="20"/>
        </w:rPr>
        <w:t xml:space="preserve">attribution model which allows us to evaluate and report </w:t>
      </w:r>
      <w:r w:rsidR="002D09EA">
        <w:rPr>
          <w:sz w:val="20"/>
          <w:szCs w:val="20"/>
        </w:rPr>
        <w:t xml:space="preserve">on </w:t>
      </w:r>
      <w:r w:rsidRPr="00D61662">
        <w:rPr>
          <w:sz w:val="20"/>
          <w:szCs w:val="20"/>
        </w:rPr>
        <w:t xml:space="preserve">the Fund’s </w:t>
      </w:r>
      <w:r w:rsidR="002D09EA">
        <w:rPr>
          <w:sz w:val="20"/>
          <w:szCs w:val="20"/>
        </w:rPr>
        <w:t>investment</w:t>
      </w:r>
      <w:r w:rsidRPr="00D61662">
        <w:rPr>
          <w:sz w:val="20"/>
          <w:szCs w:val="20"/>
        </w:rPr>
        <w:t xml:space="preserve"> performance</w:t>
      </w:r>
      <w:r w:rsidR="00316D93" w:rsidRPr="00D61662">
        <w:rPr>
          <w:sz w:val="20"/>
          <w:szCs w:val="20"/>
        </w:rPr>
        <w:t xml:space="preserve">. </w:t>
      </w:r>
      <w:r w:rsidR="002D09EA">
        <w:rPr>
          <w:sz w:val="20"/>
          <w:szCs w:val="20"/>
        </w:rPr>
        <w:t xml:space="preserve">This model incorporates the value of imputation credits into the performance measurement, and </w:t>
      </w:r>
      <w:r w:rsidRPr="00D61662">
        <w:rPr>
          <w:sz w:val="20"/>
          <w:szCs w:val="20"/>
        </w:rPr>
        <w:t>review</w:t>
      </w:r>
      <w:r w:rsidR="002D09EA">
        <w:rPr>
          <w:sz w:val="20"/>
          <w:szCs w:val="20"/>
        </w:rPr>
        <w:t>s</w:t>
      </w:r>
      <w:r w:rsidRPr="00D61662">
        <w:rPr>
          <w:sz w:val="20"/>
          <w:szCs w:val="20"/>
        </w:rPr>
        <w:t xml:space="preserve"> and attribute</w:t>
      </w:r>
      <w:r w:rsidR="002D09EA">
        <w:rPr>
          <w:sz w:val="20"/>
          <w:szCs w:val="20"/>
        </w:rPr>
        <w:t>s</w:t>
      </w:r>
      <w:r w:rsidRPr="00D61662">
        <w:rPr>
          <w:sz w:val="20"/>
          <w:szCs w:val="20"/>
        </w:rPr>
        <w:t xml:space="preserve"> portfolio returns to two key sources</w:t>
      </w:r>
      <w:r w:rsidR="009A0439">
        <w:rPr>
          <w:sz w:val="20"/>
          <w:szCs w:val="20"/>
        </w:rPr>
        <w:t>:</w:t>
      </w:r>
      <w:r w:rsidR="002D09EA">
        <w:rPr>
          <w:sz w:val="20"/>
          <w:szCs w:val="20"/>
        </w:rPr>
        <w:t xml:space="preserve"> </w:t>
      </w:r>
      <w:r w:rsidRPr="00D61662">
        <w:rPr>
          <w:sz w:val="20"/>
          <w:szCs w:val="20"/>
        </w:rPr>
        <w:t xml:space="preserve">the asset allocation decisions </w:t>
      </w:r>
      <w:r w:rsidR="002D09EA">
        <w:rPr>
          <w:sz w:val="20"/>
          <w:szCs w:val="20"/>
        </w:rPr>
        <w:t>of</w:t>
      </w:r>
      <w:r w:rsidRPr="00D61662">
        <w:rPr>
          <w:sz w:val="20"/>
          <w:szCs w:val="20"/>
        </w:rPr>
        <w:t xml:space="preserve"> the AA team and </w:t>
      </w:r>
      <w:r w:rsidR="009A0439">
        <w:rPr>
          <w:sz w:val="20"/>
          <w:szCs w:val="20"/>
        </w:rPr>
        <w:t xml:space="preserve">the </w:t>
      </w:r>
      <w:r w:rsidRPr="00D61662">
        <w:rPr>
          <w:sz w:val="20"/>
          <w:szCs w:val="20"/>
        </w:rPr>
        <w:t xml:space="preserve">stock selection decisions </w:t>
      </w:r>
      <w:r w:rsidR="009A0439">
        <w:rPr>
          <w:sz w:val="20"/>
          <w:szCs w:val="20"/>
        </w:rPr>
        <w:t>of</w:t>
      </w:r>
      <w:r w:rsidR="009A0439" w:rsidRPr="00D61662">
        <w:rPr>
          <w:sz w:val="20"/>
          <w:szCs w:val="20"/>
        </w:rPr>
        <w:t xml:space="preserve"> </w:t>
      </w:r>
      <w:r w:rsidRPr="00D61662">
        <w:rPr>
          <w:sz w:val="20"/>
          <w:szCs w:val="20"/>
        </w:rPr>
        <w:t xml:space="preserve">the AAE team. </w:t>
      </w:r>
    </w:p>
    <w:p w14:paraId="1243772E" w14:textId="60698BEA" w:rsidR="00935114" w:rsidRPr="00D61662" w:rsidRDefault="002D09EA" w:rsidP="008C6EE1">
      <w:pPr>
        <w:widowControl/>
        <w:spacing w:before="180"/>
        <w:rPr>
          <w:sz w:val="20"/>
          <w:szCs w:val="20"/>
        </w:rPr>
      </w:pPr>
      <w:r>
        <w:rPr>
          <w:sz w:val="20"/>
          <w:szCs w:val="20"/>
        </w:rPr>
        <w:t>T</w:t>
      </w:r>
      <w:r w:rsidR="00935114" w:rsidRPr="00D61662">
        <w:rPr>
          <w:sz w:val="20"/>
          <w:szCs w:val="20"/>
        </w:rPr>
        <w:t xml:space="preserve">he above accomplishments </w:t>
      </w:r>
      <w:r>
        <w:rPr>
          <w:sz w:val="20"/>
          <w:szCs w:val="20"/>
        </w:rPr>
        <w:t xml:space="preserve">have </w:t>
      </w:r>
      <w:r w:rsidR="00935114" w:rsidRPr="00D61662">
        <w:rPr>
          <w:sz w:val="20"/>
          <w:szCs w:val="20"/>
        </w:rPr>
        <w:t>not come easily</w:t>
      </w:r>
      <w:r>
        <w:rPr>
          <w:sz w:val="20"/>
          <w:szCs w:val="20"/>
        </w:rPr>
        <w:t xml:space="preserve">. </w:t>
      </w:r>
      <w:r w:rsidR="00935114" w:rsidRPr="00D61662">
        <w:rPr>
          <w:sz w:val="20"/>
          <w:szCs w:val="20"/>
        </w:rPr>
        <w:t xml:space="preserve">We have spent time to learn and </w:t>
      </w:r>
      <w:r>
        <w:rPr>
          <w:sz w:val="20"/>
          <w:szCs w:val="20"/>
        </w:rPr>
        <w:t xml:space="preserve">then </w:t>
      </w:r>
      <w:r w:rsidR="00935114" w:rsidRPr="00D61662">
        <w:rPr>
          <w:sz w:val="20"/>
          <w:szCs w:val="20"/>
        </w:rPr>
        <w:t>apply risk management</w:t>
      </w:r>
      <w:r>
        <w:rPr>
          <w:sz w:val="20"/>
          <w:szCs w:val="20"/>
        </w:rPr>
        <w:t xml:space="preserve"> and performance evaluation</w:t>
      </w:r>
      <w:r w:rsidR="00935114" w:rsidRPr="00D61662">
        <w:rPr>
          <w:sz w:val="20"/>
          <w:szCs w:val="20"/>
        </w:rPr>
        <w:t xml:space="preserve"> </w:t>
      </w:r>
      <w:r>
        <w:rPr>
          <w:sz w:val="20"/>
          <w:szCs w:val="20"/>
        </w:rPr>
        <w:t>techniques</w:t>
      </w:r>
      <w:r w:rsidR="00935114" w:rsidRPr="00D61662">
        <w:rPr>
          <w:sz w:val="20"/>
          <w:szCs w:val="20"/>
        </w:rPr>
        <w:t xml:space="preserve"> through the year, </w:t>
      </w:r>
      <w:r>
        <w:rPr>
          <w:sz w:val="20"/>
          <w:szCs w:val="20"/>
        </w:rPr>
        <w:t>given</w:t>
      </w:r>
      <w:r w:rsidR="00935114" w:rsidRPr="00D61662">
        <w:rPr>
          <w:sz w:val="20"/>
          <w:szCs w:val="20"/>
        </w:rPr>
        <w:t xml:space="preserve"> not much </w:t>
      </w:r>
      <w:r>
        <w:rPr>
          <w:sz w:val="20"/>
          <w:szCs w:val="20"/>
        </w:rPr>
        <w:t>i</w:t>
      </w:r>
      <w:r w:rsidR="00935114" w:rsidRPr="00D61662">
        <w:rPr>
          <w:sz w:val="20"/>
          <w:szCs w:val="20"/>
        </w:rPr>
        <w:t>s taught</w:t>
      </w:r>
      <w:r w:rsidR="00BE62EC" w:rsidRPr="00D61662">
        <w:rPr>
          <w:sz w:val="20"/>
          <w:szCs w:val="20"/>
        </w:rPr>
        <w:t xml:space="preserve"> in conventional courses. </w:t>
      </w:r>
      <w:r w:rsidR="00935114" w:rsidRPr="00D61662">
        <w:rPr>
          <w:sz w:val="20"/>
          <w:szCs w:val="20"/>
        </w:rPr>
        <w:t>Also, it goes without saying that these accomplishments would not have been possible without the hard work</w:t>
      </w:r>
      <w:r w:rsidR="009A0439">
        <w:rPr>
          <w:sz w:val="20"/>
          <w:szCs w:val="20"/>
        </w:rPr>
        <w:t xml:space="preserve"> and</w:t>
      </w:r>
      <w:r w:rsidR="00935114" w:rsidRPr="00D61662">
        <w:rPr>
          <w:sz w:val="20"/>
          <w:szCs w:val="20"/>
        </w:rPr>
        <w:t xml:space="preserve"> rigo</w:t>
      </w:r>
      <w:r w:rsidR="00D1310B">
        <w:rPr>
          <w:sz w:val="20"/>
          <w:szCs w:val="20"/>
        </w:rPr>
        <w:t>u</w:t>
      </w:r>
      <w:r w:rsidR="00935114" w:rsidRPr="00D61662">
        <w:rPr>
          <w:sz w:val="20"/>
          <w:szCs w:val="20"/>
        </w:rPr>
        <w:t xml:space="preserve">r of the R&amp;C members. I hope and urge future </w:t>
      </w:r>
      <w:r w:rsidR="00525440">
        <w:rPr>
          <w:sz w:val="20"/>
          <w:szCs w:val="20"/>
        </w:rPr>
        <w:t xml:space="preserve">team </w:t>
      </w:r>
      <w:r w:rsidR="00935114" w:rsidRPr="00D61662">
        <w:rPr>
          <w:sz w:val="20"/>
          <w:szCs w:val="20"/>
        </w:rPr>
        <w:t xml:space="preserve">members to </w:t>
      </w:r>
      <w:r w:rsidR="009A0439">
        <w:rPr>
          <w:sz w:val="20"/>
          <w:szCs w:val="20"/>
        </w:rPr>
        <w:t>continue</w:t>
      </w:r>
      <w:r w:rsidR="00935114" w:rsidRPr="00D61662">
        <w:rPr>
          <w:sz w:val="20"/>
          <w:szCs w:val="20"/>
        </w:rPr>
        <w:t xml:space="preserve"> this spirit </w:t>
      </w:r>
      <w:r w:rsidR="00BE62EC" w:rsidRPr="00D61662">
        <w:rPr>
          <w:sz w:val="20"/>
          <w:szCs w:val="20"/>
        </w:rPr>
        <w:t>and</w:t>
      </w:r>
      <w:r w:rsidR="00935114" w:rsidRPr="00D61662">
        <w:rPr>
          <w:sz w:val="20"/>
          <w:szCs w:val="20"/>
        </w:rPr>
        <w:t xml:space="preserve"> lead the SMF to greater heights in the years to come. </w:t>
      </w:r>
    </w:p>
    <w:p w14:paraId="6D7C3380" w14:textId="4300C619" w:rsidR="00106FB4" w:rsidRPr="00D61662" w:rsidRDefault="00FB05D9" w:rsidP="00836F56">
      <w:pPr>
        <w:spacing w:before="240" w:after="0"/>
        <w:rPr>
          <w:i/>
          <w:sz w:val="20"/>
          <w:szCs w:val="20"/>
          <w:lang w:val="en-US"/>
        </w:rPr>
      </w:pPr>
      <w:r w:rsidRPr="00D61662">
        <w:rPr>
          <w:sz w:val="20"/>
          <w:szCs w:val="20"/>
        </w:rPr>
        <w:t>Zhongxi Zheng</w:t>
      </w:r>
      <w:r w:rsidR="00106FB4" w:rsidRPr="00D61662">
        <w:rPr>
          <w:i/>
          <w:sz w:val="20"/>
          <w:szCs w:val="20"/>
          <w:lang w:val="en-US"/>
        </w:rPr>
        <w:t xml:space="preserve">, </w:t>
      </w:r>
      <w:r w:rsidR="00E75E0D" w:rsidRPr="00D61662">
        <w:rPr>
          <w:i/>
          <w:sz w:val="20"/>
          <w:szCs w:val="20"/>
          <w:lang w:val="en-US"/>
        </w:rPr>
        <w:t>C</w:t>
      </w:r>
      <w:r w:rsidR="003C6CC7" w:rsidRPr="00D61662">
        <w:rPr>
          <w:i/>
          <w:sz w:val="20"/>
          <w:szCs w:val="20"/>
          <w:lang w:val="en-US"/>
        </w:rPr>
        <w:t xml:space="preserve">RO </w:t>
      </w:r>
      <w:r w:rsidR="00E75E0D" w:rsidRPr="00D61662">
        <w:rPr>
          <w:i/>
          <w:sz w:val="20"/>
          <w:szCs w:val="20"/>
          <w:lang w:val="en-US"/>
        </w:rPr>
        <w:t>and Head of R&amp;C</w:t>
      </w:r>
    </w:p>
    <w:p w14:paraId="71815004" w14:textId="2DDC67E6" w:rsidR="00E75E0D" w:rsidRPr="00D61662" w:rsidRDefault="00E75E0D" w:rsidP="00836F56">
      <w:pPr>
        <w:pStyle w:val="Heading3"/>
        <w:keepNext w:val="0"/>
        <w:keepLines w:val="0"/>
        <w:spacing w:before="480" w:after="120"/>
        <w:rPr>
          <w:lang w:val="en-US"/>
        </w:rPr>
      </w:pPr>
      <w:bookmarkStart w:id="7" w:name="_Toc530654473"/>
      <w:r w:rsidRPr="00D61662">
        <w:rPr>
          <w:lang w:val="en-US"/>
        </w:rPr>
        <w:t>Relationship Team</w:t>
      </w:r>
      <w:bookmarkEnd w:id="7"/>
    </w:p>
    <w:p w14:paraId="6A356C78" w14:textId="03E8C580" w:rsidR="00BE62EC" w:rsidRPr="00D61662" w:rsidRDefault="00BE62EC" w:rsidP="00836F56">
      <w:pPr>
        <w:widowControl/>
        <w:spacing w:before="180"/>
        <w:rPr>
          <w:sz w:val="20"/>
          <w:szCs w:val="20"/>
        </w:rPr>
      </w:pPr>
      <w:r w:rsidRPr="00D61662">
        <w:rPr>
          <w:sz w:val="20"/>
          <w:szCs w:val="20"/>
        </w:rPr>
        <w:t>The Relationship</w:t>
      </w:r>
      <w:r w:rsidR="009A0439">
        <w:rPr>
          <w:sz w:val="20"/>
          <w:szCs w:val="20"/>
        </w:rPr>
        <w:t xml:space="preserve"> role was first introduced </w:t>
      </w:r>
      <w:r w:rsidRPr="00D61662">
        <w:rPr>
          <w:sz w:val="20"/>
          <w:szCs w:val="20"/>
        </w:rPr>
        <w:t>in Semester 1, 2018</w:t>
      </w:r>
      <w:r w:rsidR="009A0439">
        <w:rPr>
          <w:sz w:val="20"/>
          <w:szCs w:val="20"/>
        </w:rPr>
        <w:t xml:space="preserve"> as</w:t>
      </w:r>
      <w:r w:rsidR="005574D6">
        <w:rPr>
          <w:sz w:val="20"/>
          <w:szCs w:val="20"/>
        </w:rPr>
        <w:t xml:space="preserve"> </w:t>
      </w:r>
      <w:r w:rsidRPr="00D61662">
        <w:rPr>
          <w:sz w:val="20"/>
          <w:szCs w:val="20"/>
        </w:rPr>
        <w:t>a component of the R&amp;C team</w:t>
      </w:r>
      <w:r w:rsidR="005574D6">
        <w:rPr>
          <w:sz w:val="20"/>
          <w:szCs w:val="20"/>
        </w:rPr>
        <w:t xml:space="preserve">, </w:t>
      </w:r>
      <w:r w:rsidR="009A0439">
        <w:rPr>
          <w:sz w:val="20"/>
          <w:szCs w:val="20"/>
        </w:rPr>
        <w:t>and became a separate group</w:t>
      </w:r>
      <w:r w:rsidRPr="00D61662">
        <w:rPr>
          <w:sz w:val="20"/>
          <w:szCs w:val="20"/>
        </w:rPr>
        <w:t xml:space="preserve"> </w:t>
      </w:r>
      <w:r w:rsidR="005574D6">
        <w:rPr>
          <w:sz w:val="20"/>
          <w:szCs w:val="20"/>
        </w:rPr>
        <w:t xml:space="preserve">during Semester 2, 2018. Its establishment </w:t>
      </w:r>
      <w:r w:rsidRPr="00D61662">
        <w:rPr>
          <w:sz w:val="20"/>
          <w:szCs w:val="20"/>
        </w:rPr>
        <w:t>as a separate team reflect</w:t>
      </w:r>
      <w:r w:rsidR="005574D6">
        <w:rPr>
          <w:sz w:val="20"/>
          <w:szCs w:val="20"/>
        </w:rPr>
        <w:t>s</w:t>
      </w:r>
      <w:r w:rsidRPr="00D61662">
        <w:rPr>
          <w:sz w:val="20"/>
          <w:szCs w:val="20"/>
        </w:rPr>
        <w:t xml:space="preserve"> the value and importance the Fund places upon internal and external communication</w:t>
      </w:r>
      <w:r w:rsidR="005574D6">
        <w:rPr>
          <w:sz w:val="20"/>
          <w:szCs w:val="20"/>
        </w:rPr>
        <w:t>,</w:t>
      </w:r>
      <w:r w:rsidRPr="00D61662">
        <w:rPr>
          <w:sz w:val="20"/>
          <w:szCs w:val="20"/>
        </w:rPr>
        <w:t xml:space="preserve"> as well as administrative support. The Relationship team has faced </w:t>
      </w:r>
      <w:r w:rsidR="009A0439">
        <w:rPr>
          <w:sz w:val="20"/>
          <w:szCs w:val="20"/>
        </w:rPr>
        <w:t>the</w:t>
      </w:r>
      <w:r w:rsidR="009A0439" w:rsidRPr="00D61662">
        <w:rPr>
          <w:sz w:val="20"/>
          <w:szCs w:val="20"/>
        </w:rPr>
        <w:t xml:space="preserve"> </w:t>
      </w:r>
      <w:r w:rsidRPr="00D61662">
        <w:rPr>
          <w:sz w:val="20"/>
          <w:szCs w:val="20"/>
        </w:rPr>
        <w:t>significant challenge of how best to engage with external parties</w:t>
      </w:r>
      <w:r w:rsidR="0055680D">
        <w:rPr>
          <w:sz w:val="20"/>
          <w:szCs w:val="20"/>
        </w:rPr>
        <w:t>,</w:t>
      </w:r>
      <w:r w:rsidRPr="00D61662">
        <w:rPr>
          <w:sz w:val="20"/>
          <w:szCs w:val="20"/>
        </w:rPr>
        <w:t xml:space="preserve"> and build strong relationships with students, alumni and industry professionals. In response, we have sought the advice of several </w:t>
      </w:r>
      <w:r w:rsidR="0055680D">
        <w:rPr>
          <w:sz w:val="20"/>
          <w:szCs w:val="20"/>
        </w:rPr>
        <w:t>professionals</w:t>
      </w:r>
      <w:r w:rsidRPr="00D61662">
        <w:rPr>
          <w:sz w:val="20"/>
          <w:szCs w:val="20"/>
        </w:rPr>
        <w:t xml:space="preserve"> who have helped us build the foundations from which we hope to create meaningful and resourceful relationships. </w:t>
      </w:r>
    </w:p>
    <w:p w14:paraId="0BDFFBA2" w14:textId="08143460" w:rsidR="00BE62EC" w:rsidRPr="00D61662" w:rsidRDefault="00BE62EC" w:rsidP="00836F56">
      <w:pPr>
        <w:widowControl/>
        <w:spacing w:before="180"/>
        <w:rPr>
          <w:sz w:val="20"/>
          <w:szCs w:val="20"/>
        </w:rPr>
      </w:pPr>
      <w:r w:rsidRPr="00D61662">
        <w:rPr>
          <w:sz w:val="20"/>
          <w:szCs w:val="20"/>
        </w:rPr>
        <w:t>The team has received advice from</w:t>
      </w:r>
      <w:r w:rsidR="00836F56">
        <w:rPr>
          <w:sz w:val="20"/>
          <w:szCs w:val="20"/>
        </w:rPr>
        <w:t xml:space="preserve"> former</w:t>
      </w:r>
      <w:r w:rsidR="001D79F2">
        <w:rPr>
          <w:sz w:val="20"/>
          <w:szCs w:val="20"/>
        </w:rPr>
        <w:t xml:space="preserve"> </w:t>
      </w:r>
      <w:r w:rsidRPr="00D61662">
        <w:rPr>
          <w:sz w:val="20"/>
          <w:szCs w:val="20"/>
        </w:rPr>
        <w:t xml:space="preserve">CBE Communications and Outreach Manager, Andrew Pearson, who </w:t>
      </w:r>
      <w:r w:rsidR="00DB199C" w:rsidRPr="00D61662">
        <w:rPr>
          <w:sz w:val="20"/>
          <w:szCs w:val="20"/>
        </w:rPr>
        <w:t xml:space="preserve">assisted </w:t>
      </w:r>
      <w:r w:rsidR="00783559">
        <w:rPr>
          <w:sz w:val="20"/>
          <w:szCs w:val="20"/>
        </w:rPr>
        <w:t xml:space="preserve">us </w:t>
      </w:r>
      <w:r w:rsidR="00DB199C" w:rsidRPr="00D61662">
        <w:rPr>
          <w:sz w:val="20"/>
          <w:szCs w:val="20"/>
        </w:rPr>
        <w:t xml:space="preserve">in understanding how different platforms can be used to reach our targeted audiences. The team was also </w:t>
      </w:r>
      <w:r w:rsidR="0055680D">
        <w:rPr>
          <w:sz w:val="20"/>
          <w:szCs w:val="20"/>
        </w:rPr>
        <w:t>aided</w:t>
      </w:r>
      <w:r w:rsidR="0055680D" w:rsidRPr="00D61662">
        <w:rPr>
          <w:sz w:val="20"/>
          <w:szCs w:val="20"/>
        </w:rPr>
        <w:t xml:space="preserve"> </w:t>
      </w:r>
      <w:r w:rsidR="00DB199C" w:rsidRPr="00D61662">
        <w:rPr>
          <w:sz w:val="20"/>
          <w:szCs w:val="20"/>
        </w:rPr>
        <w:t xml:space="preserve">greatly by the CBE Manager of Public Relations, Events and Communications, Tanya Ali, who provided advice relating to </w:t>
      </w:r>
      <w:r w:rsidR="005574D6">
        <w:rPr>
          <w:sz w:val="20"/>
          <w:szCs w:val="20"/>
        </w:rPr>
        <w:t xml:space="preserve">social media </w:t>
      </w:r>
      <w:r w:rsidR="00DB199C" w:rsidRPr="00D61662">
        <w:rPr>
          <w:sz w:val="20"/>
          <w:szCs w:val="20"/>
        </w:rPr>
        <w:t>policies and procedures. Furthermore, the team participated in media training from the</w:t>
      </w:r>
      <w:r w:rsidR="005574D6">
        <w:rPr>
          <w:sz w:val="20"/>
          <w:szCs w:val="20"/>
        </w:rPr>
        <w:t xml:space="preserve"> ANU Strategic Communications and Public Affairs, with Aaron Walker </w:t>
      </w:r>
      <w:r w:rsidR="00DB199C" w:rsidRPr="00D61662">
        <w:rPr>
          <w:sz w:val="20"/>
          <w:szCs w:val="20"/>
        </w:rPr>
        <w:t>provid</w:t>
      </w:r>
      <w:r w:rsidR="005574D6">
        <w:rPr>
          <w:sz w:val="20"/>
          <w:szCs w:val="20"/>
        </w:rPr>
        <w:t>ing</w:t>
      </w:r>
      <w:r w:rsidR="00DB199C" w:rsidRPr="00D61662">
        <w:rPr>
          <w:sz w:val="20"/>
          <w:szCs w:val="20"/>
        </w:rPr>
        <w:t xml:space="preserve"> valuable knowledge relating to the practical use of digital, written and verbal media. </w:t>
      </w:r>
    </w:p>
    <w:p w14:paraId="3048004E" w14:textId="27C9DB0E" w:rsidR="00DB199C" w:rsidRPr="00D61662" w:rsidRDefault="00DB199C" w:rsidP="00836F56">
      <w:pPr>
        <w:widowControl/>
        <w:spacing w:before="180"/>
        <w:rPr>
          <w:sz w:val="20"/>
          <w:szCs w:val="20"/>
        </w:rPr>
      </w:pPr>
      <w:r w:rsidRPr="00D61662">
        <w:rPr>
          <w:sz w:val="20"/>
          <w:szCs w:val="20"/>
        </w:rPr>
        <w:t xml:space="preserve">As a result of this advice and the efforts of Relationship team members, the SMF now possesses </w:t>
      </w:r>
      <w:r w:rsidR="00E73985" w:rsidRPr="00D61662">
        <w:rPr>
          <w:sz w:val="20"/>
          <w:szCs w:val="20"/>
        </w:rPr>
        <w:t>a</w:t>
      </w:r>
      <w:r w:rsidRPr="00D61662">
        <w:rPr>
          <w:sz w:val="20"/>
          <w:szCs w:val="20"/>
        </w:rPr>
        <w:t xml:space="preserve"> </w:t>
      </w:r>
      <w:r w:rsidR="005574D6">
        <w:rPr>
          <w:sz w:val="20"/>
          <w:szCs w:val="20"/>
        </w:rPr>
        <w:t>Social Media Policy Statement (</w:t>
      </w:r>
      <w:r w:rsidRPr="00D61662">
        <w:rPr>
          <w:sz w:val="20"/>
          <w:szCs w:val="20"/>
        </w:rPr>
        <w:t>SMPS</w:t>
      </w:r>
      <w:r w:rsidR="005574D6">
        <w:rPr>
          <w:sz w:val="20"/>
          <w:szCs w:val="20"/>
        </w:rPr>
        <w:t>)</w:t>
      </w:r>
      <w:r w:rsidR="0055680D">
        <w:rPr>
          <w:sz w:val="20"/>
          <w:szCs w:val="20"/>
        </w:rPr>
        <w:t>,</w:t>
      </w:r>
      <w:r w:rsidRPr="00D61662">
        <w:rPr>
          <w:sz w:val="20"/>
          <w:szCs w:val="20"/>
        </w:rPr>
        <w:t xml:space="preserve"> which will underpin the external engagement of the Fund moving forward. </w:t>
      </w:r>
      <w:r w:rsidR="00906876" w:rsidRPr="00D61662">
        <w:rPr>
          <w:sz w:val="20"/>
          <w:szCs w:val="20"/>
        </w:rPr>
        <w:t xml:space="preserve">The Fund also </w:t>
      </w:r>
      <w:r w:rsidR="0055680D">
        <w:rPr>
          <w:sz w:val="20"/>
          <w:szCs w:val="20"/>
        </w:rPr>
        <w:t>has</w:t>
      </w:r>
      <w:r w:rsidR="0055680D" w:rsidRPr="00D61662">
        <w:rPr>
          <w:sz w:val="20"/>
          <w:szCs w:val="20"/>
        </w:rPr>
        <w:t xml:space="preserve"> </w:t>
      </w:r>
      <w:r w:rsidR="00906876" w:rsidRPr="00D61662">
        <w:rPr>
          <w:sz w:val="20"/>
          <w:szCs w:val="20"/>
        </w:rPr>
        <w:t>a draft Facebook page and website</w:t>
      </w:r>
      <w:r w:rsidR="005574D6">
        <w:rPr>
          <w:sz w:val="20"/>
          <w:szCs w:val="20"/>
        </w:rPr>
        <w:t>,</w:t>
      </w:r>
      <w:r w:rsidR="00906876" w:rsidRPr="00D61662">
        <w:rPr>
          <w:sz w:val="20"/>
          <w:szCs w:val="20"/>
        </w:rPr>
        <w:t xml:space="preserve"> which will increase the awareness, engagement and transparency of the Fund</w:t>
      </w:r>
      <w:r w:rsidR="00BC1FAC" w:rsidRPr="00D61662">
        <w:rPr>
          <w:sz w:val="20"/>
          <w:szCs w:val="20"/>
        </w:rPr>
        <w:t xml:space="preserve"> </w:t>
      </w:r>
      <w:r w:rsidR="005574D6">
        <w:rPr>
          <w:sz w:val="20"/>
          <w:szCs w:val="20"/>
        </w:rPr>
        <w:t xml:space="preserve">when they go live </w:t>
      </w:r>
      <w:r w:rsidR="00BC1FAC" w:rsidRPr="00D61662">
        <w:rPr>
          <w:sz w:val="20"/>
          <w:szCs w:val="20"/>
        </w:rPr>
        <w:t xml:space="preserve">in Semester 1, 2019. </w:t>
      </w:r>
      <w:r w:rsidR="005574D6">
        <w:rPr>
          <w:sz w:val="20"/>
          <w:szCs w:val="20"/>
        </w:rPr>
        <w:t>On an ongoing basis</w:t>
      </w:r>
      <w:r w:rsidR="00906876" w:rsidRPr="00D61662">
        <w:rPr>
          <w:sz w:val="20"/>
          <w:szCs w:val="20"/>
        </w:rPr>
        <w:t>, the Relationship team has worked diligently to create external reports</w:t>
      </w:r>
      <w:r w:rsidR="0055680D">
        <w:rPr>
          <w:sz w:val="20"/>
          <w:szCs w:val="20"/>
        </w:rPr>
        <w:t>,</w:t>
      </w:r>
      <w:r w:rsidR="00906876" w:rsidRPr="00D61662">
        <w:rPr>
          <w:sz w:val="20"/>
          <w:szCs w:val="20"/>
        </w:rPr>
        <w:t xml:space="preserve"> as well as internal documents </w:t>
      </w:r>
      <w:r w:rsidR="0055680D">
        <w:rPr>
          <w:sz w:val="20"/>
          <w:szCs w:val="20"/>
        </w:rPr>
        <w:t>to</w:t>
      </w:r>
      <w:r w:rsidR="0055680D" w:rsidRPr="00D61662">
        <w:rPr>
          <w:sz w:val="20"/>
          <w:szCs w:val="20"/>
        </w:rPr>
        <w:t xml:space="preserve"> </w:t>
      </w:r>
      <w:r w:rsidR="00906876" w:rsidRPr="00D61662">
        <w:rPr>
          <w:sz w:val="20"/>
          <w:szCs w:val="20"/>
        </w:rPr>
        <w:t xml:space="preserve">ensure the </w:t>
      </w:r>
      <w:r w:rsidR="00BC1FAC" w:rsidRPr="00D61662">
        <w:rPr>
          <w:sz w:val="20"/>
          <w:szCs w:val="20"/>
        </w:rPr>
        <w:t>smooth-running</w:t>
      </w:r>
      <w:r w:rsidR="00906876" w:rsidRPr="00D61662">
        <w:rPr>
          <w:sz w:val="20"/>
          <w:szCs w:val="20"/>
        </w:rPr>
        <w:t xml:space="preserve"> of the Fund</w:t>
      </w:r>
      <w:r w:rsidR="005574D6">
        <w:rPr>
          <w:sz w:val="20"/>
          <w:szCs w:val="20"/>
        </w:rPr>
        <w:t xml:space="preserve">. </w:t>
      </w:r>
    </w:p>
    <w:p w14:paraId="7753BF2B" w14:textId="23A3CCD9" w:rsidR="00BE62EC" w:rsidRPr="00D61662" w:rsidRDefault="00906876" w:rsidP="00836F56">
      <w:pPr>
        <w:widowControl/>
        <w:spacing w:before="180"/>
        <w:rPr>
          <w:sz w:val="20"/>
          <w:szCs w:val="20"/>
        </w:rPr>
      </w:pPr>
      <w:r w:rsidRPr="00D61662">
        <w:rPr>
          <w:sz w:val="20"/>
          <w:szCs w:val="20"/>
        </w:rPr>
        <w:t xml:space="preserve">The foundation the team has built during this year will continue the legacy of the </w:t>
      </w:r>
      <w:r w:rsidR="0055680D">
        <w:rPr>
          <w:sz w:val="20"/>
          <w:szCs w:val="20"/>
        </w:rPr>
        <w:t>SMF</w:t>
      </w:r>
      <w:r w:rsidR="00E73985">
        <w:rPr>
          <w:sz w:val="20"/>
          <w:szCs w:val="20"/>
        </w:rPr>
        <w:t xml:space="preserve"> and</w:t>
      </w:r>
      <w:r w:rsidRPr="00D61662">
        <w:rPr>
          <w:sz w:val="20"/>
          <w:szCs w:val="20"/>
        </w:rPr>
        <w:t xml:space="preserve"> allow future cohorts to </w:t>
      </w:r>
      <w:r w:rsidR="0055680D">
        <w:rPr>
          <w:sz w:val="20"/>
          <w:szCs w:val="20"/>
        </w:rPr>
        <w:t>productively</w:t>
      </w:r>
      <w:r w:rsidR="0055680D" w:rsidRPr="00D61662">
        <w:rPr>
          <w:sz w:val="20"/>
          <w:szCs w:val="20"/>
        </w:rPr>
        <w:t xml:space="preserve"> </w:t>
      </w:r>
      <w:r w:rsidRPr="00D61662">
        <w:rPr>
          <w:sz w:val="20"/>
          <w:szCs w:val="20"/>
        </w:rPr>
        <w:t xml:space="preserve">engage with external parties. The Relationship team welcomes two new members in Semester 1, 2019 as </w:t>
      </w:r>
      <w:r w:rsidR="005574D6">
        <w:rPr>
          <w:sz w:val="20"/>
          <w:szCs w:val="20"/>
        </w:rPr>
        <w:t>R</w:t>
      </w:r>
      <w:r w:rsidRPr="00D61662">
        <w:rPr>
          <w:sz w:val="20"/>
          <w:szCs w:val="20"/>
        </w:rPr>
        <w:t xml:space="preserve">elationship </w:t>
      </w:r>
      <w:r w:rsidR="005574D6">
        <w:rPr>
          <w:sz w:val="20"/>
          <w:szCs w:val="20"/>
        </w:rPr>
        <w:t>O</w:t>
      </w:r>
      <w:r w:rsidRPr="00D61662">
        <w:rPr>
          <w:sz w:val="20"/>
          <w:szCs w:val="20"/>
        </w:rPr>
        <w:t xml:space="preserve">fficers. The input of these new members will be invaluable in furthering the progress </w:t>
      </w:r>
      <w:r w:rsidR="005574D6">
        <w:rPr>
          <w:sz w:val="20"/>
          <w:szCs w:val="20"/>
        </w:rPr>
        <w:t xml:space="preserve">of </w:t>
      </w:r>
      <w:r w:rsidRPr="00D61662">
        <w:rPr>
          <w:sz w:val="20"/>
          <w:szCs w:val="20"/>
        </w:rPr>
        <w:t xml:space="preserve">the team. </w:t>
      </w:r>
    </w:p>
    <w:p w14:paraId="20BDAF68" w14:textId="0DAB408F" w:rsidR="003C6CC7" w:rsidRPr="00D61662" w:rsidRDefault="003C6CC7" w:rsidP="001D79F2">
      <w:pPr>
        <w:spacing w:before="240" w:after="0"/>
        <w:rPr>
          <w:i/>
          <w:sz w:val="20"/>
          <w:szCs w:val="20"/>
          <w:lang w:val="en-US"/>
        </w:rPr>
      </w:pPr>
      <w:r w:rsidRPr="00D61662">
        <w:rPr>
          <w:i/>
          <w:sz w:val="20"/>
          <w:szCs w:val="20"/>
          <w:lang w:val="en-US"/>
        </w:rPr>
        <w:t>Rory Roche &amp; Saurav Patel, Relationship Officers</w:t>
      </w:r>
    </w:p>
    <w:p w14:paraId="2A014D07" w14:textId="77777777" w:rsidR="00CB5266" w:rsidRDefault="00CB5266">
      <w:pPr>
        <w:widowControl/>
        <w:spacing w:line="312" w:lineRule="auto"/>
        <w:jc w:val="left"/>
        <w:rPr>
          <w:rFonts w:eastAsiaTheme="minorEastAsia"/>
          <w:b/>
          <w:color w:val="4472C4" w:themeColor="accent1"/>
          <w:spacing w:val="15"/>
          <w:lang w:eastAsia="zh-CN"/>
        </w:rPr>
      </w:pPr>
      <w:bookmarkStart w:id="8" w:name="_Toc524277821"/>
      <w:r>
        <w:rPr>
          <w:lang w:eastAsia="zh-CN"/>
        </w:rPr>
        <w:br w:type="page"/>
      </w:r>
    </w:p>
    <w:p w14:paraId="22FC47E2" w14:textId="432CB9E0" w:rsidR="003C7F2B" w:rsidRPr="00D61662" w:rsidRDefault="002E2767" w:rsidP="00FC4A8F">
      <w:pPr>
        <w:pStyle w:val="Heading1"/>
        <w:keepNext w:val="0"/>
        <w:keepLines w:val="0"/>
        <w:spacing w:before="360" w:after="120"/>
        <w:rPr>
          <w:sz w:val="24"/>
          <w:szCs w:val="24"/>
          <w:lang w:eastAsia="zh-CN"/>
        </w:rPr>
      </w:pPr>
      <w:bookmarkStart w:id="9" w:name="_Toc530654474"/>
      <w:r>
        <w:rPr>
          <w:sz w:val="24"/>
          <w:szCs w:val="24"/>
          <w:lang w:eastAsia="zh-CN"/>
        </w:rPr>
        <w:lastRenderedPageBreak/>
        <w:t xml:space="preserve">AAE Portfolio Changes </w:t>
      </w:r>
      <w:bookmarkEnd w:id="8"/>
      <w:bookmarkEnd w:id="9"/>
    </w:p>
    <w:p w14:paraId="63705A48" w14:textId="23559014" w:rsidR="009541AE" w:rsidRPr="00D61662" w:rsidRDefault="009C3207" w:rsidP="00FC4A8F">
      <w:pPr>
        <w:widowControl/>
        <w:spacing w:before="180"/>
        <w:rPr>
          <w:sz w:val="20"/>
          <w:lang w:eastAsia="zh-CN"/>
        </w:rPr>
      </w:pPr>
      <w:r w:rsidRPr="00D61662">
        <w:rPr>
          <w:sz w:val="20"/>
          <w:lang w:eastAsia="zh-CN"/>
        </w:rPr>
        <w:t xml:space="preserve">The Active Australian Equities team was proud to </w:t>
      </w:r>
      <w:r w:rsidR="009541AE" w:rsidRPr="00D61662">
        <w:rPr>
          <w:sz w:val="20"/>
          <w:lang w:eastAsia="zh-CN"/>
        </w:rPr>
        <w:t xml:space="preserve">add additional investments to the SMF Portfolio during Semester 2, 2018. </w:t>
      </w:r>
      <w:r w:rsidRPr="00D61662">
        <w:rPr>
          <w:sz w:val="20"/>
          <w:lang w:eastAsia="zh-CN"/>
        </w:rPr>
        <w:t xml:space="preserve">These </w:t>
      </w:r>
      <w:r w:rsidR="009541AE" w:rsidRPr="00D61662">
        <w:rPr>
          <w:sz w:val="20"/>
          <w:lang w:eastAsia="zh-CN"/>
        </w:rPr>
        <w:t xml:space="preserve">investments will advance our fund’s core investment objectives and improve the long-term risk-return trade-off of our portfolio. The Fund purchased Bingo Industries (ASX: BIN) and additional units in Telstra (ASX: TLS) which were funded by the partial reduction in the iShares Core S&amp;P/ASX200 ETF. </w:t>
      </w:r>
    </w:p>
    <w:p w14:paraId="3F4F2307" w14:textId="589A09C7" w:rsidR="009C3207" w:rsidRPr="00D61662" w:rsidRDefault="009541AE" w:rsidP="00FC4A8F">
      <w:pPr>
        <w:widowControl/>
        <w:spacing w:before="180"/>
        <w:rPr>
          <w:sz w:val="20"/>
          <w:lang w:eastAsia="zh-CN"/>
        </w:rPr>
      </w:pPr>
      <w:r w:rsidRPr="00D61662">
        <w:rPr>
          <w:sz w:val="20"/>
          <w:lang w:eastAsia="zh-CN"/>
        </w:rPr>
        <w:t xml:space="preserve">Both investments were endorsed by the SMF team, Convenors and the IAC, and were </w:t>
      </w:r>
      <w:r w:rsidR="009C3207" w:rsidRPr="00D61662">
        <w:rPr>
          <w:sz w:val="20"/>
          <w:lang w:eastAsia="zh-CN"/>
        </w:rPr>
        <w:t xml:space="preserve">subsequently implemented with a target weight of </w:t>
      </w:r>
      <w:r w:rsidRPr="00D61662">
        <w:rPr>
          <w:sz w:val="20"/>
          <w:lang w:eastAsia="zh-CN"/>
        </w:rPr>
        <w:t>10</w:t>
      </w:r>
      <w:r w:rsidR="009C3207" w:rsidRPr="00D61662">
        <w:rPr>
          <w:sz w:val="20"/>
          <w:lang w:eastAsia="zh-CN"/>
        </w:rPr>
        <w:t xml:space="preserve">% </w:t>
      </w:r>
      <w:r w:rsidRPr="00D61662">
        <w:rPr>
          <w:sz w:val="20"/>
          <w:lang w:eastAsia="zh-CN"/>
        </w:rPr>
        <w:t>for Bingo Industries and an additional 3</w:t>
      </w:r>
      <w:r w:rsidR="009C3207" w:rsidRPr="00D61662">
        <w:rPr>
          <w:sz w:val="20"/>
          <w:lang w:eastAsia="zh-CN"/>
        </w:rPr>
        <w:t>% for Telstra</w:t>
      </w:r>
      <w:r w:rsidR="0003467F">
        <w:rPr>
          <w:sz w:val="20"/>
          <w:lang w:eastAsia="zh-CN"/>
        </w:rPr>
        <w:t>,</w:t>
      </w:r>
      <w:r w:rsidRPr="00D61662">
        <w:rPr>
          <w:sz w:val="20"/>
          <w:lang w:eastAsia="zh-CN"/>
        </w:rPr>
        <w:t xml:space="preserve"> which brings its target weight to 9%. </w:t>
      </w:r>
      <w:r w:rsidR="009C3207" w:rsidRPr="00D61662">
        <w:rPr>
          <w:sz w:val="20"/>
          <w:lang w:eastAsia="zh-CN"/>
        </w:rPr>
        <w:t xml:space="preserve">The weightings assigned to these investments were based on the attractiveness of their risk-return profiles, the SRI policy of the fund, and the advice provided by members of the IAC. </w:t>
      </w:r>
      <w:r w:rsidRPr="00D61662">
        <w:rPr>
          <w:sz w:val="20"/>
          <w:lang w:eastAsia="zh-CN"/>
        </w:rPr>
        <w:t xml:space="preserve">These </w:t>
      </w:r>
      <w:r w:rsidR="0003467F">
        <w:rPr>
          <w:sz w:val="20"/>
          <w:lang w:eastAsia="zh-CN"/>
        </w:rPr>
        <w:t>stocks,</w:t>
      </w:r>
      <w:r w:rsidR="0003467F" w:rsidRPr="0003467F">
        <w:rPr>
          <w:sz w:val="20"/>
          <w:lang w:eastAsia="zh-CN"/>
        </w:rPr>
        <w:t xml:space="preserve"> </w:t>
      </w:r>
      <w:r w:rsidR="0003467F">
        <w:rPr>
          <w:sz w:val="20"/>
          <w:lang w:eastAsia="zh-CN"/>
        </w:rPr>
        <w:t>which</w:t>
      </w:r>
      <w:r w:rsidR="0003467F" w:rsidRPr="00D61662">
        <w:rPr>
          <w:sz w:val="20"/>
          <w:lang w:eastAsia="zh-CN"/>
        </w:rPr>
        <w:t xml:space="preserve"> are further elaborated on below</w:t>
      </w:r>
      <w:r w:rsidR="0003467F">
        <w:rPr>
          <w:sz w:val="20"/>
          <w:lang w:eastAsia="zh-CN"/>
        </w:rPr>
        <w:t>,</w:t>
      </w:r>
      <w:r w:rsidR="0003467F" w:rsidRPr="00D61662">
        <w:rPr>
          <w:sz w:val="20"/>
          <w:lang w:eastAsia="zh-CN"/>
        </w:rPr>
        <w:t xml:space="preserve"> </w:t>
      </w:r>
      <w:r w:rsidRPr="00D61662">
        <w:rPr>
          <w:sz w:val="20"/>
          <w:lang w:eastAsia="zh-CN"/>
        </w:rPr>
        <w:t xml:space="preserve">combine </w:t>
      </w:r>
      <w:r w:rsidR="0003467F">
        <w:rPr>
          <w:sz w:val="20"/>
          <w:lang w:eastAsia="zh-CN"/>
        </w:rPr>
        <w:t xml:space="preserve">with </w:t>
      </w:r>
      <w:r w:rsidR="0003467F" w:rsidRPr="00D61662">
        <w:rPr>
          <w:sz w:val="20"/>
          <w:lang w:eastAsia="zh-CN"/>
        </w:rPr>
        <w:t>Rio Tinto (ASX: RIO)</w:t>
      </w:r>
      <w:r w:rsidR="0003467F">
        <w:rPr>
          <w:sz w:val="20"/>
          <w:lang w:eastAsia="zh-CN"/>
        </w:rPr>
        <w:t xml:space="preserve"> </w:t>
      </w:r>
      <w:r w:rsidRPr="00D61662">
        <w:rPr>
          <w:sz w:val="20"/>
          <w:lang w:eastAsia="zh-CN"/>
        </w:rPr>
        <w:t xml:space="preserve">to form the AAE component of the SMF portfolio. </w:t>
      </w:r>
    </w:p>
    <w:p w14:paraId="28DA3A3A" w14:textId="77777777" w:rsidR="0070408B" w:rsidRPr="00D61662" w:rsidRDefault="0070408B" w:rsidP="00CB5266">
      <w:pPr>
        <w:keepNext/>
        <w:keepLines/>
        <w:tabs>
          <w:tab w:val="left" w:pos="220"/>
          <w:tab w:val="left" w:pos="720"/>
        </w:tabs>
        <w:spacing w:before="240" w:after="0"/>
        <w:outlineLvl w:val="1"/>
        <w:rPr>
          <w:b/>
          <w:color w:val="4472C4"/>
          <w:spacing w:val="15"/>
          <w:sz w:val="20"/>
          <w:szCs w:val="22"/>
          <w:lang w:eastAsia="zh-CN"/>
        </w:rPr>
      </w:pPr>
      <w:bookmarkStart w:id="10" w:name="_Toc530654475"/>
      <w:bookmarkStart w:id="11" w:name="_Toc524277822"/>
      <w:r w:rsidRPr="00D61662">
        <w:rPr>
          <w:b/>
          <w:color w:val="4472C4"/>
          <w:spacing w:val="15"/>
          <w:sz w:val="22"/>
          <w:szCs w:val="22"/>
          <w:lang w:eastAsia="zh-CN"/>
        </w:rPr>
        <w:t>Bingo Industries</w:t>
      </w:r>
      <w:bookmarkEnd w:id="10"/>
      <w:r w:rsidRPr="00D61662">
        <w:rPr>
          <w:b/>
          <w:color w:val="4472C4"/>
          <w:spacing w:val="15"/>
          <w:sz w:val="22"/>
          <w:szCs w:val="22"/>
          <w:lang w:eastAsia="zh-CN"/>
        </w:rPr>
        <w:t xml:space="preserve"> </w:t>
      </w:r>
    </w:p>
    <w:p w14:paraId="56F879D8" w14:textId="163B5E56" w:rsidR="0070408B" w:rsidRPr="00D61662" w:rsidRDefault="0070408B" w:rsidP="00FC4A8F">
      <w:pPr>
        <w:widowControl/>
        <w:spacing w:before="180"/>
        <w:rPr>
          <w:sz w:val="20"/>
          <w:lang w:eastAsia="zh-CN"/>
        </w:rPr>
      </w:pPr>
      <w:r w:rsidRPr="00D61662">
        <w:rPr>
          <w:sz w:val="20"/>
          <w:lang w:eastAsia="zh-CN"/>
        </w:rPr>
        <w:t>The first investment recommendation</w:t>
      </w:r>
      <w:r w:rsidR="0003467F">
        <w:rPr>
          <w:sz w:val="20"/>
          <w:lang w:eastAsia="zh-CN"/>
        </w:rPr>
        <w:t xml:space="preserve"> of Semester 2, 2018</w:t>
      </w:r>
      <w:r w:rsidRPr="00D61662">
        <w:rPr>
          <w:sz w:val="20"/>
          <w:lang w:eastAsia="zh-CN"/>
        </w:rPr>
        <w:t xml:space="preserve"> was Bingo Industries</w:t>
      </w:r>
      <w:r w:rsidR="0003467F">
        <w:rPr>
          <w:sz w:val="20"/>
          <w:lang w:eastAsia="zh-CN"/>
        </w:rPr>
        <w:t>,</w:t>
      </w:r>
      <w:r w:rsidRPr="00D61662">
        <w:rPr>
          <w:sz w:val="20"/>
          <w:lang w:eastAsia="zh-CN"/>
        </w:rPr>
        <w:t xml:space="preserve"> which represented an investment with a high margin of safety and allowed the Fund to diversify into the waste management industry. The investment thesis was formed on the company’s operations and core values</w:t>
      </w:r>
      <w:r w:rsidR="00D86DEF">
        <w:rPr>
          <w:sz w:val="20"/>
          <w:lang w:eastAsia="zh-CN"/>
        </w:rPr>
        <w:t>,</w:t>
      </w:r>
      <w:r w:rsidRPr="00D61662">
        <w:rPr>
          <w:sz w:val="20"/>
          <w:lang w:eastAsia="zh-CN"/>
        </w:rPr>
        <w:t xml:space="preserve"> which are consistent with our SRI policy and objectives. With experienced management and good internal control, Bingo Industries has outperformed its competitors in managing operating efficiency and growth, both organically and through effective acquisitions of similar businesses.  In addition, with its high</w:t>
      </w:r>
      <w:r w:rsidR="00F868C2">
        <w:rPr>
          <w:sz w:val="20"/>
          <w:lang w:eastAsia="zh-CN"/>
        </w:rPr>
        <w:t>ly</w:t>
      </w:r>
      <w:r w:rsidRPr="00D61662">
        <w:rPr>
          <w:sz w:val="20"/>
          <w:lang w:eastAsia="zh-CN"/>
        </w:rPr>
        <w:t xml:space="preserve"> successful tendering rate and </w:t>
      </w:r>
      <w:r w:rsidRPr="002E2767">
        <w:rPr>
          <w:sz w:val="20"/>
          <w:lang w:eastAsia="zh-CN"/>
        </w:rPr>
        <w:t>limitation</w:t>
      </w:r>
      <w:r w:rsidR="00D86DEF" w:rsidRPr="002E2767">
        <w:rPr>
          <w:sz w:val="20"/>
          <w:lang w:eastAsia="zh-CN"/>
        </w:rPr>
        <w:t>s on</w:t>
      </w:r>
      <w:r w:rsidRPr="002E2767">
        <w:rPr>
          <w:sz w:val="20"/>
          <w:lang w:eastAsia="zh-CN"/>
        </w:rPr>
        <w:t xml:space="preserve"> market entry, we believe Bingo Industries will be a valuable addition to the SMF portfolio in the long run.</w:t>
      </w:r>
      <w:r w:rsidR="0070714A" w:rsidRPr="002E2767">
        <w:rPr>
          <w:sz w:val="20"/>
          <w:lang w:eastAsia="zh-CN"/>
        </w:rPr>
        <w:t xml:space="preserve"> This long-term focus is particularly important </w:t>
      </w:r>
      <w:r w:rsidR="003D23A9" w:rsidRPr="002E2767">
        <w:rPr>
          <w:sz w:val="20"/>
          <w:lang w:eastAsia="zh-CN"/>
        </w:rPr>
        <w:t>when assessing the significant fall in share price since our investment in the company,</w:t>
      </w:r>
      <w:r w:rsidR="0070714A" w:rsidRPr="002E2767">
        <w:rPr>
          <w:sz w:val="20"/>
          <w:lang w:eastAsia="zh-CN"/>
        </w:rPr>
        <w:t xml:space="preserve"> with several large institutional investors ceasing to be substantial shareholders</w:t>
      </w:r>
      <w:r w:rsidR="00A1165E" w:rsidRPr="002E2767">
        <w:rPr>
          <w:sz w:val="20"/>
          <w:lang w:eastAsia="zh-CN"/>
        </w:rPr>
        <w:t xml:space="preserve">. </w:t>
      </w:r>
      <w:r w:rsidR="0070714A" w:rsidRPr="002E2767">
        <w:rPr>
          <w:sz w:val="20"/>
          <w:lang w:eastAsia="zh-CN"/>
        </w:rPr>
        <w:t>The SMF takes the position that the fundamental drivers of future cash flows have not changed</w:t>
      </w:r>
      <w:r w:rsidR="003D23A9" w:rsidRPr="002E2767">
        <w:rPr>
          <w:sz w:val="20"/>
          <w:lang w:eastAsia="zh-CN"/>
        </w:rPr>
        <w:t>,</w:t>
      </w:r>
      <w:r w:rsidR="0070714A" w:rsidRPr="002E2767">
        <w:rPr>
          <w:sz w:val="20"/>
          <w:lang w:eastAsia="zh-CN"/>
        </w:rPr>
        <w:t xml:space="preserve"> and thus we believe that its share price will return to its long-term intrinsic value in accordance with our investment thesis.</w:t>
      </w:r>
    </w:p>
    <w:p w14:paraId="2ADB6F7D" w14:textId="77777777" w:rsidR="009541AE" w:rsidRPr="00D61662" w:rsidRDefault="009541AE" w:rsidP="00CB5266">
      <w:pPr>
        <w:keepNext/>
        <w:keepLines/>
        <w:tabs>
          <w:tab w:val="left" w:pos="220"/>
          <w:tab w:val="left" w:pos="720"/>
        </w:tabs>
        <w:spacing w:before="240" w:after="0"/>
        <w:outlineLvl w:val="1"/>
        <w:rPr>
          <w:b/>
          <w:color w:val="4472C4"/>
          <w:spacing w:val="15"/>
          <w:sz w:val="20"/>
          <w:szCs w:val="22"/>
          <w:lang w:eastAsia="zh-CN"/>
        </w:rPr>
      </w:pPr>
      <w:bookmarkStart w:id="12" w:name="_Toc530654476"/>
      <w:r w:rsidRPr="00D61662">
        <w:rPr>
          <w:b/>
          <w:color w:val="4472C4"/>
          <w:spacing w:val="15"/>
          <w:sz w:val="22"/>
          <w:szCs w:val="22"/>
          <w:lang w:eastAsia="zh-CN"/>
        </w:rPr>
        <w:t>Telstra</w:t>
      </w:r>
      <w:bookmarkEnd w:id="11"/>
      <w:bookmarkEnd w:id="12"/>
    </w:p>
    <w:p w14:paraId="193FF58A" w14:textId="1CA2DD0B" w:rsidR="009541AE" w:rsidRPr="00D61662" w:rsidRDefault="003A5F77" w:rsidP="00FC4A8F">
      <w:pPr>
        <w:widowControl/>
        <w:spacing w:before="180"/>
        <w:rPr>
          <w:sz w:val="20"/>
          <w:lang w:eastAsia="zh-CN"/>
        </w:rPr>
      </w:pPr>
      <w:r>
        <w:rPr>
          <w:sz w:val="20"/>
          <w:lang w:eastAsia="zh-CN"/>
        </w:rPr>
        <w:t>T</w:t>
      </w:r>
      <w:r w:rsidR="009541AE" w:rsidRPr="00D61662">
        <w:rPr>
          <w:sz w:val="20"/>
          <w:lang w:eastAsia="zh-CN"/>
        </w:rPr>
        <w:t xml:space="preserve">he weighting of Telstra in the AAE portfolio was increased </w:t>
      </w:r>
      <w:r>
        <w:rPr>
          <w:sz w:val="20"/>
          <w:lang w:eastAsia="zh-CN"/>
        </w:rPr>
        <w:t xml:space="preserve">in Semester 2 </w:t>
      </w:r>
      <w:r w:rsidR="009541AE" w:rsidRPr="00D61662">
        <w:rPr>
          <w:sz w:val="20"/>
          <w:lang w:eastAsia="zh-CN"/>
        </w:rPr>
        <w:t xml:space="preserve">to reflect our </w:t>
      </w:r>
      <w:r w:rsidR="00095843">
        <w:rPr>
          <w:sz w:val="20"/>
          <w:lang w:eastAsia="zh-CN"/>
        </w:rPr>
        <w:t>strengthened</w:t>
      </w:r>
      <w:r w:rsidR="00095843" w:rsidRPr="00D61662">
        <w:rPr>
          <w:sz w:val="20"/>
          <w:lang w:eastAsia="zh-CN"/>
        </w:rPr>
        <w:t xml:space="preserve"> </w:t>
      </w:r>
      <w:r w:rsidR="009541AE" w:rsidRPr="00D61662">
        <w:rPr>
          <w:sz w:val="20"/>
          <w:lang w:eastAsia="zh-CN"/>
        </w:rPr>
        <w:t>confidence in the company’s direction</w:t>
      </w:r>
      <w:r w:rsidR="00095843">
        <w:rPr>
          <w:sz w:val="20"/>
          <w:lang w:eastAsia="zh-CN"/>
        </w:rPr>
        <w:t>,</w:t>
      </w:r>
      <w:r w:rsidR="009541AE" w:rsidRPr="00D61662">
        <w:rPr>
          <w:sz w:val="20"/>
          <w:lang w:eastAsia="zh-CN"/>
        </w:rPr>
        <w:t xml:space="preserve"> and </w:t>
      </w:r>
      <w:r w:rsidR="00095843">
        <w:rPr>
          <w:sz w:val="20"/>
          <w:lang w:eastAsia="zh-CN"/>
        </w:rPr>
        <w:t xml:space="preserve">our </w:t>
      </w:r>
      <w:r w:rsidR="009541AE" w:rsidRPr="00D61662">
        <w:rPr>
          <w:sz w:val="20"/>
          <w:lang w:eastAsia="zh-CN"/>
        </w:rPr>
        <w:t xml:space="preserve">updated projections </w:t>
      </w:r>
      <w:r>
        <w:rPr>
          <w:sz w:val="20"/>
          <w:lang w:eastAsia="zh-CN"/>
        </w:rPr>
        <w:t>highlighting</w:t>
      </w:r>
      <w:r w:rsidRPr="00D61662">
        <w:rPr>
          <w:sz w:val="20"/>
          <w:lang w:eastAsia="zh-CN"/>
        </w:rPr>
        <w:t xml:space="preserve"> </w:t>
      </w:r>
      <w:r w:rsidR="009541AE" w:rsidRPr="00D61662">
        <w:rPr>
          <w:sz w:val="20"/>
          <w:lang w:eastAsia="zh-CN"/>
        </w:rPr>
        <w:t xml:space="preserve">reduced downside risk. </w:t>
      </w:r>
      <w:r w:rsidR="00E57BEE" w:rsidRPr="00D61662">
        <w:rPr>
          <w:sz w:val="20"/>
          <w:lang w:eastAsia="zh-CN"/>
        </w:rPr>
        <w:t xml:space="preserve">The initial recommendation </w:t>
      </w:r>
      <w:r>
        <w:rPr>
          <w:sz w:val="20"/>
          <w:lang w:eastAsia="zh-CN"/>
        </w:rPr>
        <w:t xml:space="preserve">in Semester 1, 2018 </w:t>
      </w:r>
      <w:r w:rsidR="00E57BEE" w:rsidRPr="00D61662">
        <w:rPr>
          <w:sz w:val="20"/>
          <w:lang w:eastAsia="zh-CN"/>
        </w:rPr>
        <w:t xml:space="preserve">was formed on the belief that Telstra had been too heavily discounted </w:t>
      </w:r>
      <w:r w:rsidR="00095843">
        <w:rPr>
          <w:sz w:val="20"/>
          <w:lang w:eastAsia="zh-CN"/>
        </w:rPr>
        <w:t>after a battering of bad press at the time,</w:t>
      </w:r>
      <w:r w:rsidR="00E57BEE" w:rsidRPr="00D61662">
        <w:rPr>
          <w:sz w:val="20"/>
          <w:lang w:eastAsia="zh-CN"/>
        </w:rPr>
        <w:t xml:space="preserve"> and that the company’s new reinvestment strategy </w:t>
      </w:r>
      <w:r w:rsidR="00E57BEE" w:rsidRPr="00D61662">
        <w:rPr>
          <w:sz w:val="20"/>
          <w:lang w:val="en-US" w:eastAsia="zh-CN"/>
        </w:rPr>
        <w:t xml:space="preserve">(moving towards technology and cybersecurity fields) </w:t>
      </w:r>
      <w:r w:rsidR="00E57BEE" w:rsidRPr="00D61662">
        <w:rPr>
          <w:sz w:val="20"/>
          <w:lang w:eastAsia="zh-CN"/>
        </w:rPr>
        <w:t>was not priced into the market. In the subsequent period since the initial investment, d</w:t>
      </w:r>
      <w:r w:rsidR="009541AE" w:rsidRPr="00D61662">
        <w:rPr>
          <w:sz w:val="20"/>
          <w:lang w:eastAsia="zh-CN"/>
        </w:rPr>
        <w:t xml:space="preserve">evelopments such as the release of the 2018 </w:t>
      </w:r>
      <w:r w:rsidR="0070408B" w:rsidRPr="00D61662">
        <w:rPr>
          <w:sz w:val="20"/>
          <w:lang w:eastAsia="zh-CN"/>
        </w:rPr>
        <w:t xml:space="preserve">financial </w:t>
      </w:r>
      <w:r w:rsidR="009541AE" w:rsidRPr="00D61662">
        <w:rPr>
          <w:sz w:val="20"/>
          <w:lang w:eastAsia="zh-CN"/>
        </w:rPr>
        <w:t xml:space="preserve">results </w:t>
      </w:r>
      <w:r w:rsidR="00095843">
        <w:rPr>
          <w:sz w:val="20"/>
          <w:lang w:eastAsia="zh-CN"/>
        </w:rPr>
        <w:t xml:space="preserve">further </w:t>
      </w:r>
      <w:r w:rsidR="009541AE" w:rsidRPr="00D61662">
        <w:rPr>
          <w:sz w:val="20"/>
          <w:lang w:eastAsia="zh-CN"/>
        </w:rPr>
        <w:t>increased our confidence in Telstra</w:t>
      </w:r>
      <w:r>
        <w:rPr>
          <w:sz w:val="20"/>
          <w:lang w:eastAsia="zh-CN"/>
        </w:rPr>
        <w:t>,</w:t>
      </w:r>
      <w:r w:rsidR="009541AE" w:rsidRPr="00D61662">
        <w:rPr>
          <w:sz w:val="20"/>
          <w:lang w:eastAsia="zh-CN"/>
        </w:rPr>
        <w:t xml:space="preserve"> as we saw the</w:t>
      </w:r>
      <w:r w:rsidR="0070408B" w:rsidRPr="00D61662">
        <w:rPr>
          <w:sz w:val="20"/>
          <w:lang w:eastAsia="zh-CN"/>
        </w:rPr>
        <w:t xml:space="preserve"> company’s </w:t>
      </w:r>
      <w:r w:rsidR="009541AE" w:rsidRPr="00D61662">
        <w:rPr>
          <w:sz w:val="20"/>
          <w:lang w:eastAsia="zh-CN"/>
        </w:rPr>
        <w:t xml:space="preserve">turnaround strategy begin to materialise. Market </w:t>
      </w:r>
      <w:r w:rsidR="0070408B" w:rsidRPr="00D61662">
        <w:rPr>
          <w:sz w:val="20"/>
          <w:lang w:eastAsia="zh-CN"/>
        </w:rPr>
        <w:t xml:space="preserve">perceptions are </w:t>
      </w:r>
      <w:r w:rsidR="00095843">
        <w:rPr>
          <w:sz w:val="20"/>
          <w:lang w:eastAsia="zh-CN"/>
        </w:rPr>
        <w:t xml:space="preserve">also </w:t>
      </w:r>
      <w:r w:rsidR="0070408B" w:rsidRPr="00D61662">
        <w:rPr>
          <w:sz w:val="20"/>
          <w:lang w:eastAsia="zh-CN"/>
        </w:rPr>
        <w:t xml:space="preserve">becoming more </w:t>
      </w:r>
      <w:r w:rsidR="009541AE" w:rsidRPr="00D61662">
        <w:rPr>
          <w:sz w:val="20"/>
          <w:lang w:eastAsia="zh-CN"/>
        </w:rPr>
        <w:t xml:space="preserve">optimistic on the </w:t>
      </w:r>
      <w:r w:rsidR="00E57BEE" w:rsidRPr="00D61662">
        <w:rPr>
          <w:sz w:val="20"/>
          <w:lang w:eastAsia="zh-CN"/>
        </w:rPr>
        <w:t>company and are more closely aligning with the Fund</w:t>
      </w:r>
      <w:r>
        <w:rPr>
          <w:sz w:val="20"/>
          <w:lang w:eastAsia="zh-CN"/>
        </w:rPr>
        <w:t>’</w:t>
      </w:r>
      <w:r w:rsidR="00E57BEE" w:rsidRPr="00D61662">
        <w:rPr>
          <w:sz w:val="20"/>
          <w:lang w:eastAsia="zh-CN"/>
        </w:rPr>
        <w:t>s</w:t>
      </w:r>
      <w:r w:rsidR="00095843">
        <w:rPr>
          <w:sz w:val="20"/>
          <w:lang w:eastAsia="zh-CN"/>
        </w:rPr>
        <w:t xml:space="preserve"> views, although we believe the company continues to be undervalued</w:t>
      </w:r>
      <w:r w:rsidR="00333D13">
        <w:rPr>
          <w:sz w:val="20"/>
          <w:lang w:eastAsia="zh-CN"/>
        </w:rPr>
        <w:t xml:space="preserve"> overall</w:t>
      </w:r>
      <w:r w:rsidR="009541AE" w:rsidRPr="00D61662">
        <w:rPr>
          <w:sz w:val="20"/>
          <w:lang w:eastAsia="zh-CN"/>
        </w:rPr>
        <w:t xml:space="preserve">. </w:t>
      </w:r>
      <w:r w:rsidR="00E57BEE" w:rsidRPr="00D61662">
        <w:rPr>
          <w:sz w:val="20"/>
          <w:lang w:eastAsia="zh-CN"/>
        </w:rPr>
        <w:t>Furthermore,</w:t>
      </w:r>
      <w:r w:rsidR="00381A29">
        <w:rPr>
          <w:sz w:val="20"/>
          <w:lang w:eastAsia="zh-CN"/>
        </w:rPr>
        <w:t xml:space="preserve"> due to Telstra’s high SRI values,</w:t>
      </w:r>
      <w:r w:rsidR="00E57BEE" w:rsidRPr="00D61662">
        <w:rPr>
          <w:sz w:val="20"/>
          <w:lang w:eastAsia="zh-CN"/>
        </w:rPr>
        <w:t xml:space="preserve"> the additional investment allows greater</w:t>
      </w:r>
      <w:r w:rsidR="009541AE" w:rsidRPr="00D61662">
        <w:rPr>
          <w:sz w:val="20"/>
          <w:lang w:eastAsia="zh-CN"/>
        </w:rPr>
        <w:t xml:space="preserve"> flexibility in meeting the </w:t>
      </w:r>
      <w:r w:rsidR="00E57BEE" w:rsidRPr="00D61662">
        <w:rPr>
          <w:sz w:val="20"/>
          <w:lang w:eastAsia="zh-CN"/>
        </w:rPr>
        <w:t>SRI targets in the AAE portfolio when</w:t>
      </w:r>
      <w:r w:rsidR="009541AE" w:rsidRPr="00D61662">
        <w:rPr>
          <w:sz w:val="20"/>
          <w:lang w:eastAsia="zh-CN"/>
        </w:rPr>
        <w:t xml:space="preserve"> introducing new stocks.</w:t>
      </w:r>
    </w:p>
    <w:p w14:paraId="0DEA4A0F" w14:textId="77777777" w:rsidR="009541AE" w:rsidRPr="00D61662" w:rsidRDefault="009541AE" w:rsidP="00CB5266">
      <w:pPr>
        <w:rPr>
          <w:sz w:val="20"/>
          <w:lang w:eastAsia="zh-CN"/>
        </w:rPr>
      </w:pPr>
    </w:p>
    <w:p w14:paraId="1C7ECEDC" w14:textId="77777777" w:rsidR="003C6CC7" w:rsidRPr="00D61662" w:rsidRDefault="003C6CC7" w:rsidP="00AE1CA5">
      <w:pPr>
        <w:pStyle w:val="Heading1"/>
        <w:rPr>
          <w:sz w:val="24"/>
          <w:szCs w:val="24"/>
          <w:lang w:eastAsia="zh-CN"/>
        </w:rPr>
      </w:pPr>
    </w:p>
    <w:p w14:paraId="71509C82" w14:textId="77777777" w:rsidR="003C6CC7" w:rsidRPr="00D61662" w:rsidRDefault="003C6CC7" w:rsidP="009823DC">
      <w:pPr>
        <w:pStyle w:val="Heading1"/>
        <w:rPr>
          <w:sz w:val="24"/>
          <w:szCs w:val="24"/>
          <w:lang w:eastAsia="zh-CN"/>
        </w:rPr>
      </w:pPr>
    </w:p>
    <w:p w14:paraId="276BDB17" w14:textId="77777777" w:rsidR="003C6CC7" w:rsidRPr="00D61662" w:rsidRDefault="003C6CC7" w:rsidP="002D09EA">
      <w:pPr>
        <w:pStyle w:val="Heading1"/>
        <w:rPr>
          <w:sz w:val="24"/>
          <w:szCs w:val="24"/>
          <w:lang w:eastAsia="zh-CN"/>
        </w:rPr>
      </w:pPr>
    </w:p>
    <w:p w14:paraId="54D0FCE5" w14:textId="77777777" w:rsidR="003C6CC7" w:rsidRPr="00D61662" w:rsidRDefault="003C6CC7" w:rsidP="00525440">
      <w:pPr>
        <w:pStyle w:val="Heading1"/>
        <w:rPr>
          <w:sz w:val="24"/>
          <w:szCs w:val="24"/>
          <w:lang w:eastAsia="zh-CN"/>
        </w:rPr>
      </w:pPr>
    </w:p>
    <w:p w14:paraId="63E2267D" w14:textId="695B59F2" w:rsidR="003C6CC7" w:rsidRPr="00D61662" w:rsidRDefault="003C6CC7" w:rsidP="005574D6">
      <w:pPr>
        <w:pStyle w:val="Heading1"/>
        <w:rPr>
          <w:sz w:val="24"/>
          <w:szCs w:val="24"/>
          <w:lang w:eastAsia="zh-CN"/>
        </w:rPr>
      </w:pPr>
    </w:p>
    <w:p w14:paraId="70969119" w14:textId="5B495368" w:rsidR="003C6CC7" w:rsidRPr="00D61662" w:rsidRDefault="003C6CC7" w:rsidP="005574D6">
      <w:pPr>
        <w:rPr>
          <w:lang w:eastAsia="zh-CN"/>
        </w:rPr>
      </w:pPr>
    </w:p>
    <w:p w14:paraId="2711A934" w14:textId="6B95035C" w:rsidR="003C6CC7" w:rsidRPr="00D61662" w:rsidRDefault="003C6CC7">
      <w:pPr>
        <w:rPr>
          <w:lang w:eastAsia="zh-CN"/>
        </w:rPr>
      </w:pPr>
    </w:p>
    <w:p w14:paraId="4EAEC799" w14:textId="48FA850D" w:rsidR="003C6CC7" w:rsidRPr="00D61662" w:rsidRDefault="003C6CC7">
      <w:pPr>
        <w:rPr>
          <w:lang w:eastAsia="zh-CN"/>
        </w:rPr>
      </w:pPr>
    </w:p>
    <w:p w14:paraId="4DCF1F36" w14:textId="1DED2C24" w:rsidR="003C7F2B" w:rsidRPr="00D61662" w:rsidRDefault="003C7F2B">
      <w:pPr>
        <w:rPr>
          <w:lang w:eastAsia="zh-CN"/>
        </w:rPr>
      </w:pPr>
    </w:p>
    <w:p w14:paraId="4779AE20" w14:textId="33C06AB2" w:rsidR="002E2767" w:rsidRPr="00D61662" w:rsidRDefault="002E2767" w:rsidP="002E2767">
      <w:pPr>
        <w:pStyle w:val="Heading1"/>
        <w:rPr>
          <w:sz w:val="24"/>
          <w:szCs w:val="24"/>
          <w:lang w:eastAsia="zh-CN"/>
        </w:rPr>
      </w:pPr>
      <w:bookmarkStart w:id="13" w:name="_Toc530654477"/>
      <w:r>
        <w:rPr>
          <w:sz w:val="24"/>
          <w:szCs w:val="24"/>
          <w:lang w:eastAsia="zh-CN"/>
        </w:rPr>
        <w:lastRenderedPageBreak/>
        <w:t>P</w:t>
      </w:r>
      <w:r w:rsidRPr="00282C8D">
        <w:rPr>
          <w:sz w:val="24"/>
          <w:szCs w:val="24"/>
          <w:lang w:eastAsia="zh-CN"/>
        </w:rPr>
        <w:t>ortfolio Overview</w:t>
      </w:r>
    </w:p>
    <w:p w14:paraId="2219E355" w14:textId="77777777" w:rsidR="002E2767" w:rsidRPr="00D61662" w:rsidRDefault="002E2767" w:rsidP="002E2767">
      <w:pPr>
        <w:widowControl/>
        <w:spacing w:before="180"/>
        <w:rPr>
          <w:sz w:val="20"/>
          <w:szCs w:val="20"/>
          <w:lang w:val="en-US"/>
        </w:rPr>
      </w:pPr>
      <w:r>
        <w:rPr>
          <w:sz w:val="20"/>
          <w:szCs w:val="20"/>
        </w:rPr>
        <w:t xml:space="preserve">We report portfolio weights at 13 November 2018 (see Figure 2), comparing with those at 10 April 2018 when the SMF funds were </w:t>
      </w:r>
      <w:r w:rsidRPr="00067E6C">
        <w:rPr>
          <w:sz w:val="20"/>
          <w:szCs w:val="20"/>
        </w:rPr>
        <w:t>initial</w:t>
      </w:r>
      <w:r>
        <w:rPr>
          <w:sz w:val="20"/>
          <w:szCs w:val="20"/>
        </w:rPr>
        <w:t>ly</w:t>
      </w:r>
      <w:r w:rsidRPr="00067E6C">
        <w:rPr>
          <w:sz w:val="20"/>
          <w:szCs w:val="20"/>
        </w:rPr>
        <w:t xml:space="preserve"> invest</w:t>
      </w:r>
      <w:r>
        <w:rPr>
          <w:sz w:val="20"/>
          <w:szCs w:val="20"/>
        </w:rPr>
        <w:t>ed</w:t>
      </w:r>
      <w:r w:rsidRPr="00067E6C">
        <w:rPr>
          <w:sz w:val="20"/>
          <w:szCs w:val="20"/>
        </w:rPr>
        <w:t xml:space="preserve"> in the reference portfolio </w:t>
      </w:r>
      <w:r>
        <w:rPr>
          <w:sz w:val="20"/>
          <w:szCs w:val="20"/>
        </w:rPr>
        <w:t xml:space="preserve">(see </w:t>
      </w:r>
      <w:r w:rsidRPr="00067E6C">
        <w:rPr>
          <w:sz w:val="20"/>
          <w:szCs w:val="20"/>
        </w:rPr>
        <w:t>Figure 1</w:t>
      </w:r>
      <w:r>
        <w:rPr>
          <w:sz w:val="20"/>
          <w:szCs w:val="20"/>
        </w:rPr>
        <w:t>). Ch</w:t>
      </w:r>
      <w:r w:rsidRPr="00067E6C">
        <w:rPr>
          <w:sz w:val="20"/>
          <w:szCs w:val="20"/>
        </w:rPr>
        <w:t xml:space="preserve">anges </w:t>
      </w:r>
      <w:r>
        <w:rPr>
          <w:sz w:val="20"/>
          <w:szCs w:val="20"/>
        </w:rPr>
        <w:t xml:space="preserve">over this period reflect the combination of active stock </w:t>
      </w:r>
      <w:r w:rsidRPr="00067E6C">
        <w:rPr>
          <w:sz w:val="20"/>
          <w:szCs w:val="20"/>
        </w:rPr>
        <w:t>investments in the AAE portfolio</w:t>
      </w:r>
      <w:r>
        <w:rPr>
          <w:sz w:val="20"/>
          <w:szCs w:val="20"/>
        </w:rPr>
        <w:t>, and changes in weights due to market movements</w:t>
      </w:r>
      <w:r w:rsidRPr="00067E6C">
        <w:rPr>
          <w:sz w:val="20"/>
          <w:szCs w:val="20"/>
        </w:rPr>
        <w:t xml:space="preserve">. </w:t>
      </w:r>
      <w:r>
        <w:rPr>
          <w:sz w:val="20"/>
          <w:szCs w:val="20"/>
        </w:rPr>
        <w:t xml:space="preserve">With regard to </w:t>
      </w:r>
      <w:r w:rsidRPr="00067E6C">
        <w:rPr>
          <w:sz w:val="20"/>
          <w:szCs w:val="20"/>
        </w:rPr>
        <w:t xml:space="preserve">the </w:t>
      </w:r>
      <w:r>
        <w:rPr>
          <w:sz w:val="20"/>
          <w:szCs w:val="20"/>
        </w:rPr>
        <w:t xml:space="preserve">AAE portfolio, after adding target </w:t>
      </w:r>
      <w:r w:rsidRPr="00067E6C">
        <w:rPr>
          <w:sz w:val="20"/>
          <w:szCs w:val="20"/>
        </w:rPr>
        <w:t xml:space="preserve">positions </w:t>
      </w:r>
      <w:r>
        <w:rPr>
          <w:sz w:val="20"/>
          <w:szCs w:val="20"/>
        </w:rPr>
        <w:t>of 6% in</w:t>
      </w:r>
      <w:r w:rsidRPr="00067E6C">
        <w:rPr>
          <w:sz w:val="20"/>
          <w:szCs w:val="20"/>
        </w:rPr>
        <w:t xml:space="preserve"> Telstra and </w:t>
      </w:r>
      <w:r>
        <w:rPr>
          <w:sz w:val="20"/>
          <w:szCs w:val="20"/>
        </w:rPr>
        <w:t xml:space="preserve">3% in </w:t>
      </w:r>
      <w:r w:rsidRPr="00067E6C">
        <w:rPr>
          <w:sz w:val="20"/>
          <w:szCs w:val="20"/>
        </w:rPr>
        <w:t xml:space="preserve">Rio Tinto </w:t>
      </w:r>
      <w:r>
        <w:rPr>
          <w:sz w:val="20"/>
          <w:szCs w:val="20"/>
        </w:rPr>
        <w:t xml:space="preserve">during </w:t>
      </w:r>
      <w:r w:rsidRPr="00067E6C">
        <w:rPr>
          <w:sz w:val="20"/>
          <w:szCs w:val="20"/>
        </w:rPr>
        <w:t xml:space="preserve">Semester 1, </w:t>
      </w:r>
      <w:r>
        <w:rPr>
          <w:sz w:val="20"/>
          <w:szCs w:val="20"/>
        </w:rPr>
        <w:t xml:space="preserve">a 10% position </w:t>
      </w:r>
      <w:r w:rsidRPr="00067E6C">
        <w:rPr>
          <w:sz w:val="20"/>
          <w:szCs w:val="20"/>
        </w:rPr>
        <w:t xml:space="preserve">in Bingo Industries and </w:t>
      </w:r>
      <w:r>
        <w:rPr>
          <w:sz w:val="20"/>
          <w:szCs w:val="20"/>
        </w:rPr>
        <w:t xml:space="preserve">an increase </w:t>
      </w:r>
      <w:r w:rsidRPr="00067E6C">
        <w:rPr>
          <w:sz w:val="20"/>
          <w:szCs w:val="20"/>
        </w:rPr>
        <w:t xml:space="preserve">in </w:t>
      </w:r>
      <w:r>
        <w:rPr>
          <w:sz w:val="20"/>
          <w:szCs w:val="20"/>
        </w:rPr>
        <w:t xml:space="preserve">the </w:t>
      </w:r>
      <w:r w:rsidRPr="00067E6C">
        <w:rPr>
          <w:sz w:val="20"/>
          <w:szCs w:val="20"/>
        </w:rPr>
        <w:t>Telstra</w:t>
      </w:r>
      <w:r>
        <w:rPr>
          <w:sz w:val="20"/>
          <w:szCs w:val="20"/>
        </w:rPr>
        <w:t xml:space="preserve"> weighting to 9%</w:t>
      </w:r>
      <w:r w:rsidRPr="00067E6C">
        <w:rPr>
          <w:sz w:val="20"/>
          <w:szCs w:val="20"/>
        </w:rPr>
        <w:t xml:space="preserve"> </w:t>
      </w:r>
      <w:r>
        <w:rPr>
          <w:sz w:val="20"/>
          <w:szCs w:val="20"/>
        </w:rPr>
        <w:t xml:space="preserve">were endorsed by the IAC during Semester 2 and </w:t>
      </w:r>
      <w:r w:rsidRPr="00067E6C">
        <w:rPr>
          <w:sz w:val="20"/>
          <w:szCs w:val="20"/>
        </w:rPr>
        <w:t>executed on 8 October 2018</w:t>
      </w:r>
      <w:r>
        <w:rPr>
          <w:sz w:val="20"/>
          <w:szCs w:val="20"/>
        </w:rPr>
        <w:t xml:space="preserve">. All positions were </w:t>
      </w:r>
      <w:r w:rsidRPr="00067E6C">
        <w:rPr>
          <w:sz w:val="20"/>
          <w:szCs w:val="20"/>
        </w:rPr>
        <w:t xml:space="preserve">funded from the partial disposal of the </w:t>
      </w:r>
      <w:r w:rsidRPr="00067E6C">
        <w:rPr>
          <w:sz w:val="20"/>
          <w:szCs w:val="20"/>
          <w:lang w:val="en-US"/>
        </w:rPr>
        <w:t>S&amp;P/ASX200 ETF.</w:t>
      </w:r>
      <w:r>
        <w:rPr>
          <w:sz w:val="20"/>
          <w:szCs w:val="20"/>
          <w:lang w:val="en-US"/>
        </w:rPr>
        <w:t xml:space="preserve"> </w:t>
      </w:r>
      <w:r>
        <w:rPr>
          <w:sz w:val="20"/>
          <w:szCs w:val="20"/>
        </w:rPr>
        <w:t>In addition</w:t>
      </w:r>
      <w:r w:rsidRPr="00D61662">
        <w:rPr>
          <w:sz w:val="20"/>
          <w:szCs w:val="20"/>
        </w:rPr>
        <w:t>, the recent volatility of equity markets has contributed to minor deviations in asset weightings</w:t>
      </w:r>
      <w:r>
        <w:rPr>
          <w:sz w:val="20"/>
          <w:szCs w:val="20"/>
        </w:rPr>
        <w:t>,</w:t>
      </w:r>
      <w:r w:rsidRPr="00D61662">
        <w:rPr>
          <w:sz w:val="20"/>
          <w:szCs w:val="20"/>
        </w:rPr>
        <w:t xml:space="preserve"> which are continually monitored to ensure compliance with the </w:t>
      </w:r>
      <w:r>
        <w:rPr>
          <w:sz w:val="20"/>
          <w:szCs w:val="20"/>
        </w:rPr>
        <w:t>Charter and Governance Structure (</w:t>
      </w:r>
      <w:r w:rsidRPr="00D61662">
        <w:rPr>
          <w:sz w:val="20"/>
          <w:szCs w:val="20"/>
        </w:rPr>
        <w:t>CGS</w:t>
      </w:r>
      <w:r>
        <w:rPr>
          <w:sz w:val="20"/>
          <w:szCs w:val="20"/>
        </w:rPr>
        <w:t>)</w:t>
      </w:r>
      <w:r w:rsidRPr="00D61662">
        <w:rPr>
          <w:sz w:val="20"/>
          <w:szCs w:val="20"/>
        </w:rPr>
        <w:t>.</w:t>
      </w:r>
      <w:r>
        <w:rPr>
          <w:sz w:val="20"/>
          <w:szCs w:val="20"/>
        </w:rPr>
        <w:t xml:space="preserve"> </w:t>
      </w:r>
    </w:p>
    <w:p w14:paraId="56330852" w14:textId="77777777" w:rsidR="002E2767" w:rsidRPr="00D61662" w:rsidRDefault="002E2767" w:rsidP="002E2767">
      <w:pPr>
        <w:pStyle w:val="TableFigure"/>
        <w:spacing w:before="360" w:after="40"/>
        <w:rPr>
          <w:sz w:val="20"/>
          <w:szCs w:val="20"/>
          <w:lang w:val="en-US"/>
        </w:rPr>
      </w:pPr>
      <w:r w:rsidRPr="005028A0">
        <w:rPr>
          <w:sz w:val="20"/>
          <w:szCs w:val="20"/>
          <w:lang w:val="en-US" w:eastAsia="zh-CN"/>
        </w:rPr>
        <w:t xml:space="preserve">Figure 1: </w:t>
      </w:r>
      <w:r w:rsidRPr="005028A0">
        <w:rPr>
          <w:sz w:val="20"/>
          <w:szCs w:val="20"/>
          <w:lang w:val="en-US"/>
        </w:rPr>
        <w:t>Asset Allocation as at 10/4/2018</w:t>
      </w:r>
    </w:p>
    <w:p w14:paraId="7ED326D3" w14:textId="77777777" w:rsidR="002E2767" w:rsidRDefault="002E2767" w:rsidP="002E2767">
      <w:pPr>
        <w:pStyle w:val="TableFigure"/>
        <w:jc w:val="center"/>
        <w:rPr>
          <w:sz w:val="20"/>
          <w:szCs w:val="20"/>
          <w:lang w:val="en-US" w:eastAsia="zh-CN"/>
        </w:rPr>
      </w:pPr>
      <w:r>
        <w:rPr>
          <w:noProof/>
          <w:lang w:eastAsia="en-AU"/>
        </w:rPr>
        <w:drawing>
          <wp:anchor distT="0" distB="0" distL="114300" distR="114300" simplePos="0" relativeHeight="251694080" behindDoc="0" locked="0" layoutInCell="1" allowOverlap="1" wp14:anchorId="30278B93" wp14:editId="78224CC2">
            <wp:simplePos x="0" y="0"/>
            <wp:positionH relativeFrom="margin">
              <wp:align>right</wp:align>
            </wp:positionH>
            <wp:positionV relativeFrom="paragraph">
              <wp:posOffset>52705</wp:posOffset>
            </wp:positionV>
            <wp:extent cx="6087110" cy="2730500"/>
            <wp:effectExtent l="0" t="0" r="8890" b="12700"/>
            <wp:wrapNone/>
            <wp:docPr id="7" name="Chart 7">
              <a:extLst xmlns:a="http://schemas.openxmlformats.org/drawingml/2006/main">
                <a:ext uri="{FF2B5EF4-FFF2-40B4-BE49-F238E27FC236}">
                  <a16:creationId xmlns:a16="http://schemas.microsoft.com/office/drawing/2014/main" id="{73655BCF-A08C-4588-ACD9-F6CC04042F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5856238" w14:textId="77777777" w:rsidR="002E2767" w:rsidRDefault="002E2767" w:rsidP="002E2767">
      <w:pPr>
        <w:pStyle w:val="TableFigure"/>
        <w:jc w:val="center"/>
        <w:rPr>
          <w:sz w:val="20"/>
          <w:szCs w:val="20"/>
          <w:lang w:val="en-US" w:eastAsia="zh-CN"/>
        </w:rPr>
      </w:pPr>
    </w:p>
    <w:p w14:paraId="6915B1AB" w14:textId="77777777" w:rsidR="002E2767" w:rsidRDefault="002E2767" w:rsidP="002E2767">
      <w:pPr>
        <w:pStyle w:val="TableFigure"/>
        <w:jc w:val="center"/>
        <w:rPr>
          <w:sz w:val="20"/>
          <w:szCs w:val="20"/>
          <w:lang w:val="en-US" w:eastAsia="zh-CN"/>
        </w:rPr>
      </w:pPr>
    </w:p>
    <w:p w14:paraId="004DD739" w14:textId="77777777" w:rsidR="002E2767" w:rsidRDefault="002E2767" w:rsidP="002E2767">
      <w:pPr>
        <w:pStyle w:val="TableFigure"/>
        <w:jc w:val="center"/>
        <w:rPr>
          <w:sz w:val="20"/>
          <w:szCs w:val="20"/>
          <w:lang w:val="en-US" w:eastAsia="zh-CN"/>
        </w:rPr>
      </w:pPr>
    </w:p>
    <w:p w14:paraId="454660FA" w14:textId="77777777" w:rsidR="002E2767" w:rsidRDefault="002E2767" w:rsidP="002E2767">
      <w:pPr>
        <w:pStyle w:val="TableFigure"/>
        <w:jc w:val="center"/>
        <w:rPr>
          <w:sz w:val="20"/>
          <w:szCs w:val="20"/>
          <w:lang w:val="en-US" w:eastAsia="zh-CN"/>
        </w:rPr>
      </w:pPr>
    </w:p>
    <w:p w14:paraId="3803244C" w14:textId="77777777" w:rsidR="002E2767" w:rsidRDefault="002E2767" w:rsidP="002E2767">
      <w:pPr>
        <w:pStyle w:val="TableFigure"/>
        <w:jc w:val="center"/>
        <w:rPr>
          <w:sz w:val="20"/>
          <w:szCs w:val="20"/>
          <w:lang w:val="en-US" w:eastAsia="zh-CN"/>
        </w:rPr>
      </w:pPr>
    </w:p>
    <w:p w14:paraId="6B9458CA" w14:textId="77777777" w:rsidR="002E2767" w:rsidRDefault="002E2767" w:rsidP="002E2767">
      <w:pPr>
        <w:pStyle w:val="TableFigure"/>
        <w:jc w:val="center"/>
        <w:rPr>
          <w:sz w:val="20"/>
          <w:szCs w:val="20"/>
          <w:lang w:val="en-US" w:eastAsia="zh-CN"/>
        </w:rPr>
      </w:pPr>
    </w:p>
    <w:p w14:paraId="351F2DC7" w14:textId="77777777" w:rsidR="002E2767" w:rsidRDefault="002E2767" w:rsidP="002E2767">
      <w:pPr>
        <w:pStyle w:val="TableFigure"/>
        <w:jc w:val="center"/>
        <w:rPr>
          <w:sz w:val="20"/>
          <w:szCs w:val="20"/>
          <w:lang w:val="en-US" w:eastAsia="zh-CN"/>
        </w:rPr>
      </w:pPr>
    </w:p>
    <w:p w14:paraId="082BF075" w14:textId="77777777" w:rsidR="002E2767" w:rsidRDefault="002E2767" w:rsidP="002E2767">
      <w:pPr>
        <w:pStyle w:val="TableFigure"/>
        <w:jc w:val="center"/>
        <w:rPr>
          <w:sz w:val="20"/>
          <w:szCs w:val="20"/>
          <w:lang w:val="en-US" w:eastAsia="zh-CN"/>
        </w:rPr>
      </w:pPr>
    </w:p>
    <w:p w14:paraId="18B45EB8" w14:textId="77777777" w:rsidR="002E2767" w:rsidRDefault="002E2767" w:rsidP="002E2767">
      <w:pPr>
        <w:pStyle w:val="TableFigure"/>
        <w:jc w:val="center"/>
        <w:rPr>
          <w:sz w:val="20"/>
          <w:szCs w:val="20"/>
          <w:lang w:val="en-US" w:eastAsia="zh-CN"/>
        </w:rPr>
      </w:pPr>
    </w:p>
    <w:p w14:paraId="5AA284BF" w14:textId="77777777" w:rsidR="002E2767" w:rsidRDefault="002E2767" w:rsidP="002E2767">
      <w:pPr>
        <w:pStyle w:val="TableFigure"/>
        <w:jc w:val="center"/>
        <w:rPr>
          <w:sz w:val="20"/>
          <w:szCs w:val="20"/>
          <w:lang w:val="en-US" w:eastAsia="zh-CN"/>
        </w:rPr>
      </w:pPr>
    </w:p>
    <w:p w14:paraId="27CB6D4D" w14:textId="77777777" w:rsidR="002E2767" w:rsidRDefault="002E2767" w:rsidP="002E2767">
      <w:pPr>
        <w:pStyle w:val="TableFigure"/>
        <w:jc w:val="center"/>
        <w:rPr>
          <w:sz w:val="20"/>
          <w:szCs w:val="20"/>
          <w:lang w:val="en-US" w:eastAsia="zh-CN"/>
        </w:rPr>
      </w:pPr>
    </w:p>
    <w:p w14:paraId="422CFB9D" w14:textId="77777777" w:rsidR="002E2767" w:rsidRPr="00D61662" w:rsidRDefault="002E2767" w:rsidP="002E2767">
      <w:pPr>
        <w:pStyle w:val="TableFigure"/>
        <w:jc w:val="center"/>
        <w:rPr>
          <w:sz w:val="20"/>
          <w:szCs w:val="20"/>
          <w:lang w:val="en-US" w:eastAsia="zh-CN"/>
        </w:rPr>
      </w:pPr>
    </w:p>
    <w:p w14:paraId="52BD8B4E" w14:textId="77777777" w:rsidR="002E2767" w:rsidRPr="00D61662" w:rsidRDefault="002E2767" w:rsidP="002E2767">
      <w:pPr>
        <w:pStyle w:val="TableFigure"/>
        <w:spacing w:before="240" w:after="40"/>
        <w:rPr>
          <w:sz w:val="20"/>
          <w:szCs w:val="20"/>
          <w:lang w:val="en-US" w:eastAsia="zh-CN"/>
        </w:rPr>
      </w:pPr>
      <w:r w:rsidRPr="00186A59">
        <w:rPr>
          <w:noProof/>
          <w:lang w:eastAsia="en-AU"/>
        </w:rPr>
        <w:drawing>
          <wp:anchor distT="0" distB="0" distL="114300" distR="114300" simplePos="0" relativeHeight="251695104" behindDoc="0" locked="0" layoutInCell="1" allowOverlap="1" wp14:anchorId="56E79DD2" wp14:editId="0E9E5822">
            <wp:simplePos x="0" y="0"/>
            <wp:positionH relativeFrom="margin">
              <wp:align>right</wp:align>
            </wp:positionH>
            <wp:positionV relativeFrom="paragraph">
              <wp:posOffset>252729</wp:posOffset>
            </wp:positionV>
            <wp:extent cx="6087533" cy="3026833"/>
            <wp:effectExtent l="0" t="0" r="8890" b="2540"/>
            <wp:wrapNone/>
            <wp:docPr id="8" name="Chart 8">
              <a:extLst xmlns:a="http://schemas.openxmlformats.org/drawingml/2006/main">
                <a:ext uri="{FF2B5EF4-FFF2-40B4-BE49-F238E27FC236}">
                  <a16:creationId xmlns:a16="http://schemas.microsoft.com/office/drawing/2014/main" id="{56C25EEF-9375-47BE-B837-6AFBE8DF73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186A59">
        <w:rPr>
          <w:sz w:val="20"/>
          <w:szCs w:val="20"/>
          <w:lang w:val="en-US" w:eastAsia="zh-CN"/>
        </w:rPr>
        <w:t>Figure 2: Asset Allocation as at 13/11/2018</w:t>
      </w:r>
    </w:p>
    <w:p w14:paraId="4C95FDEF" w14:textId="77777777" w:rsidR="002E2767" w:rsidRPr="00D61662" w:rsidRDefault="002E2767" w:rsidP="002E2767">
      <w:pPr>
        <w:pStyle w:val="TableFigure"/>
        <w:jc w:val="center"/>
        <w:rPr>
          <w:sz w:val="20"/>
          <w:szCs w:val="20"/>
          <w:lang w:val="en-US" w:eastAsia="zh-CN"/>
        </w:rPr>
      </w:pPr>
    </w:p>
    <w:p w14:paraId="313BA86B" w14:textId="77777777" w:rsidR="002E2767" w:rsidRPr="00D61662" w:rsidRDefault="002E2767" w:rsidP="002E2767">
      <w:pPr>
        <w:spacing w:before="180" w:after="0"/>
        <w:rPr>
          <w:sz w:val="20"/>
          <w:szCs w:val="20"/>
        </w:rPr>
      </w:pPr>
      <w:r w:rsidRPr="00D61662">
        <w:rPr>
          <w:sz w:val="22"/>
          <w:szCs w:val="22"/>
          <w:lang w:val="en-US"/>
        </w:rPr>
        <w:br/>
      </w:r>
    </w:p>
    <w:p w14:paraId="58B8EE9B" w14:textId="77777777" w:rsidR="002E2767" w:rsidRPr="00D61662" w:rsidRDefault="002E2767" w:rsidP="002E2767">
      <w:pPr>
        <w:widowControl/>
        <w:jc w:val="left"/>
        <w:rPr>
          <w:sz w:val="20"/>
          <w:szCs w:val="20"/>
        </w:rPr>
      </w:pPr>
      <w:r w:rsidRPr="00D61662">
        <w:rPr>
          <w:sz w:val="20"/>
          <w:szCs w:val="20"/>
        </w:rPr>
        <w:br w:type="page"/>
      </w:r>
    </w:p>
    <w:p w14:paraId="49A69310" w14:textId="77777777" w:rsidR="002E2767" w:rsidRPr="00D61662" w:rsidRDefault="002E2767" w:rsidP="002E2767">
      <w:pPr>
        <w:widowControl/>
        <w:spacing w:before="180"/>
        <w:rPr>
          <w:sz w:val="20"/>
          <w:szCs w:val="20"/>
        </w:rPr>
      </w:pPr>
      <w:r w:rsidRPr="00D61662">
        <w:rPr>
          <w:sz w:val="20"/>
          <w:szCs w:val="20"/>
        </w:rPr>
        <w:lastRenderedPageBreak/>
        <w:t xml:space="preserve">Figure 3 presents the Fund’s </w:t>
      </w:r>
      <w:r>
        <w:rPr>
          <w:sz w:val="20"/>
          <w:szCs w:val="20"/>
        </w:rPr>
        <w:t>i</w:t>
      </w:r>
      <w:r w:rsidRPr="00D61662">
        <w:rPr>
          <w:sz w:val="20"/>
          <w:szCs w:val="20"/>
        </w:rPr>
        <w:t>nvestments and their performance from 1</w:t>
      </w:r>
      <w:r>
        <w:rPr>
          <w:sz w:val="20"/>
          <w:szCs w:val="20"/>
        </w:rPr>
        <w:t>0</w:t>
      </w:r>
      <w:r w:rsidRPr="00D61662">
        <w:rPr>
          <w:sz w:val="20"/>
          <w:szCs w:val="20"/>
        </w:rPr>
        <w:t xml:space="preserve"> April 2018 to </w:t>
      </w:r>
      <w:r>
        <w:rPr>
          <w:sz w:val="20"/>
          <w:szCs w:val="20"/>
        </w:rPr>
        <w:t>13</w:t>
      </w:r>
      <w:r w:rsidRPr="00D61662">
        <w:rPr>
          <w:sz w:val="20"/>
          <w:szCs w:val="20"/>
        </w:rPr>
        <w:t xml:space="preserve"> November 2018</w:t>
      </w:r>
      <w:r>
        <w:rPr>
          <w:sz w:val="20"/>
          <w:szCs w:val="20"/>
        </w:rPr>
        <w:t>. Over this period, the</w:t>
      </w:r>
      <w:r w:rsidRPr="00D61662">
        <w:rPr>
          <w:sz w:val="20"/>
          <w:szCs w:val="20"/>
        </w:rPr>
        <w:t xml:space="preserve"> SMF portfolio return</w:t>
      </w:r>
      <w:r>
        <w:rPr>
          <w:sz w:val="20"/>
          <w:szCs w:val="20"/>
        </w:rPr>
        <w:t xml:space="preserve"> was</w:t>
      </w:r>
      <w:r w:rsidRPr="00D61662">
        <w:rPr>
          <w:sz w:val="20"/>
          <w:szCs w:val="20"/>
        </w:rPr>
        <w:t xml:space="preserve"> </w:t>
      </w:r>
      <w:r>
        <w:rPr>
          <w:sz w:val="20"/>
          <w:szCs w:val="20"/>
        </w:rPr>
        <w:t>2.24</w:t>
      </w:r>
      <w:r w:rsidRPr="00D61662">
        <w:rPr>
          <w:sz w:val="20"/>
          <w:szCs w:val="20"/>
        </w:rPr>
        <w:t>%</w:t>
      </w:r>
      <w:r>
        <w:rPr>
          <w:sz w:val="20"/>
          <w:szCs w:val="20"/>
        </w:rPr>
        <w:t>, as estimated by the change in the value of the portfolio adjusted for accrued franking credits</w:t>
      </w:r>
      <w:r w:rsidRPr="00D61662">
        <w:rPr>
          <w:sz w:val="20"/>
          <w:szCs w:val="20"/>
        </w:rPr>
        <w:t xml:space="preserve">. </w:t>
      </w:r>
      <w:r>
        <w:rPr>
          <w:sz w:val="20"/>
          <w:szCs w:val="20"/>
        </w:rPr>
        <w:t xml:space="preserve">(Note: There were no cash inflows or outflows over the period.) This was about 1.4% less than the SMF return target of around 3.6% (6.3% p.a.) over the period, calculated as the sum of the distribution rate of 4.5% p.a. and realised inflation of about 1.8% p.a. </w:t>
      </w:r>
      <w:r w:rsidRPr="00D61662">
        <w:rPr>
          <w:sz w:val="20"/>
          <w:szCs w:val="20"/>
        </w:rPr>
        <w:t xml:space="preserve">The recent volatility in equity markets and the SMF’s high level of exposure to equities </w:t>
      </w:r>
      <w:r>
        <w:rPr>
          <w:sz w:val="20"/>
          <w:szCs w:val="20"/>
        </w:rPr>
        <w:t>(about 80%</w:t>
      </w:r>
      <w:r w:rsidRPr="00D61662">
        <w:rPr>
          <w:sz w:val="20"/>
          <w:szCs w:val="20"/>
        </w:rPr>
        <w:t xml:space="preserve">) negatively impacted </w:t>
      </w:r>
      <w:r>
        <w:rPr>
          <w:sz w:val="20"/>
          <w:szCs w:val="20"/>
        </w:rPr>
        <w:t xml:space="preserve">on </w:t>
      </w:r>
      <w:r w:rsidRPr="00D61662">
        <w:rPr>
          <w:sz w:val="20"/>
          <w:szCs w:val="20"/>
        </w:rPr>
        <w:t>the portfolio</w:t>
      </w:r>
      <w:r>
        <w:rPr>
          <w:sz w:val="20"/>
          <w:szCs w:val="20"/>
        </w:rPr>
        <w:t xml:space="preserve"> over the period</w:t>
      </w:r>
      <w:r w:rsidRPr="00D61662">
        <w:rPr>
          <w:sz w:val="20"/>
          <w:szCs w:val="20"/>
        </w:rPr>
        <w:t xml:space="preserve">. </w:t>
      </w:r>
      <w:r>
        <w:rPr>
          <w:sz w:val="20"/>
          <w:szCs w:val="20"/>
        </w:rPr>
        <w:t xml:space="preserve">The SMF portfolio also underperformed the reference portfolio by -0.41%, which is discussed further over the page. The reference portfolio return is also adjusted for franking credits available from the benchmark ETFs. </w:t>
      </w:r>
      <w:r w:rsidRPr="00D61662">
        <w:rPr>
          <w:sz w:val="20"/>
          <w:szCs w:val="20"/>
        </w:rPr>
        <w:t xml:space="preserve">As a long-term investor driven by an objective of maintaining the real value of the portfolio </w:t>
      </w:r>
      <w:r>
        <w:rPr>
          <w:sz w:val="20"/>
          <w:szCs w:val="20"/>
        </w:rPr>
        <w:t>to</w:t>
      </w:r>
      <w:r w:rsidRPr="00D61662">
        <w:rPr>
          <w:sz w:val="20"/>
          <w:szCs w:val="20"/>
        </w:rPr>
        <w:t xml:space="preserve"> </w:t>
      </w:r>
      <w:r>
        <w:rPr>
          <w:sz w:val="20"/>
          <w:szCs w:val="20"/>
        </w:rPr>
        <w:t xml:space="preserve">provide </w:t>
      </w:r>
      <w:r w:rsidRPr="00D61662">
        <w:rPr>
          <w:sz w:val="20"/>
          <w:szCs w:val="20"/>
        </w:rPr>
        <w:t>philanthropic funding in perpetuity</w:t>
      </w:r>
      <w:r>
        <w:rPr>
          <w:sz w:val="20"/>
          <w:szCs w:val="20"/>
        </w:rPr>
        <w:t>,</w:t>
      </w:r>
      <w:r w:rsidRPr="00D61662">
        <w:rPr>
          <w:sz w:val="20"/>
          <w:szCs w:val="20"/>
        </w:rPr>
        <w:t xml:space="preserve"> these results are assessed with a long-term mindset. Despite the lower than expected returns, we remain confident our portfolio is positioned to achieve our long-term objectives. </w:t>
      </w:r>
    </w:p>
    <w:p w14:paraId="1664B617" w14:textId="77777777" w:rsidR="002E2767" w:rsidRPr="00F80A16" w:rsidRDefault="002E2767" w:rsidP="002E2767">
      <w:pPr>
        <w:pStyle w:val="TableFigure"/>
        <w:spacing w:before="240" w:after="80"/>
        <w:jc w:val="left"/>
        <w:rPr>
          <w:sz w:val="20"/>
          <w:szCs w:val="20"/>
          <w:lang w:val="en-US"/>
        </w:rPr>
      </w:pPr>
      <w:r w:rsidRPr="00D61662">
        <w:rPr>
          <w:sz w:val="20"/>
          <w:szCs w:val="20"/>
          <w:lang w:val="en-US"/>
        </w:rPr>
        <w:t xml:space="preserve">Figure 3: Portfolio </w:t>
      </w:r>
      <w:r w:rsidRPr="00F80A16">
        <w:rPr>
          <w:sz w:val="20"/>
          <w:szCs w:val="20"/>
          <w:lang w:val="en-US"/>
        </w:rPr>
        <w:t xml:space="preserve">Structure </w:t>
      </w:r>
      <w:r>
        <w:rPr>
          <w:sz w:val="20"/>
          <w:szCs w:val="20"/>
          <w:lang w:val="en-US"/>
        </w:rPr>
        <w:t xml:space="preserve">and Performance: 10 April 2018 to </w:t>
      </w:r>
      <w:r w:rsidRPr="00F80A16">
        <w:rPr>
          <w:sz w:val="20"/>
          <w:szCs w:val="20"/>
          <w:lang w:val="en-US"/>
        </w:rPr>
        <w:t xml:space="preserve">13 November </w:t>
      </w:r>
      <w:r>
        <w:rPr>
          <w:sz w:val="20"/>
          <w:szCs w:val="20"/>
          <w:lang w:val="en-US"/>
        </w:rPr>
        <w:t>2018</w:t>
      </w:r>
    </w:p>
    <w:tbl>
      <w:tblPr>
        <w:tblStyle w:val="TableGrid"/>
        <w:tblW w:w="9445" w:type="dxa"/>
        <w:tblInd w:w="-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2515"/>
        <w:gridCol w:w="2160"/>
        <w:gridCol w:w="1170"/>
        <w:gridCol w:w="1260"/>
        <w:gridCol w:w="1076"/>
        <w:gridCol w:w="1264"/>
      </w:tblGrid>
      <w:tr w:rsidR="002E2767" w:rsidRPr="00F80A16" w14:paraId="38BC8857" w14:textId="77777777" w:rsidTr="002E2767">
        <w:tc>
          <w:tcPr>
            <w:tcW w:w="2515" w:type="dxa"/>
            <w:shd w:val="clear" w:color="auto" w:fill="DEEAF6"/>
            <w:vAlign w:val="center"/>
          </w:tcPr>
          <w:p w14:paraId="30AA4BB3" w14:textId="77777777" w:rsidR="002E2767" w:rsidRPr="00461063" w:rsidRDefault="002E2767" w:rsidP="002E2767">
            <w:pPr>
              <w:widowControl/>
              <w:spacing w:before="40" w:after="40"/>
              <w:jc w:val="left"/>
              <w:rPr>
                <w:b/>
                <w:sz w:val="19"/>
                <w:szCs w:val="19"/>
                <w:lang w:eastAsia="zh-CN"/>
              </w:rPr>
            </w:pPr>
            <w:r w:rsidRPr="00461063">
              <w:rPr>
                <w:b/>
                <w:sz w:val="19"/>
                <w:szCs w:val="19"/>
                <w:lang w:val="en-US"/>
              </w:rPr>
              <w:t>Portfolio Component</w:t>
            </w:r>
          </w:p>
        </w:tc>
        <w:tc>
          <w:tcPr>
            <w:tcW w:w="2160" w:type="dxa"/>
            <w:shd w:val="clear" w:color="auto" w:fill="DEEAF6"/>
            <w:vAlign w:val="center"/>
          </w:tcPr>
          <w:p w14:paraId="1026E67A" w14:textId="77777777" w:rsidR="002E2767" w:rsidRPr="00461063" w:rsidRDefault="002E2767" w:rsidP="002E2767">
            <w:pPr>
              <w:widowControl/>
              <w:spacing w:before="40" w:after="40"/>
              <w:jc w:val="center"/>
              <w:rPr>
                <w:b/>
                <w:sz w:val="19"/>
                <w:szCs w:val="19"/>
                <w:lang w:eastAsia="zh-CN"/>
              </w:rPr>
            </w:pPr>
            <w:r w:rsidRPr="00461063">
              <w:rPr>
                <w:b/>
                <w:sz w:val="19"/>
                <w:szCs w:val="19"/>
                <w:lang w:val="en-US"/>
              </w:rPr>
              <w:t>Benchmark ETF</w:t>
            </w:r>
          </w:p>
        </w:tc>
        <w:tc>
          <w:tcPr>
            <w:tcW w:w="1170" w:type="dxa"/>
            <w:shd w:val="clear" w:color="auto" w:fill="DEEAF6"/>
            <w:vAlign w:val="center"/>
          </w:tcPr>
          <w:p w14:paraId="3F647EA2" w14:textId="77777777" w:rsidR="002E2767" w:rsidRPr="00461063" w:rsidRDefault="002E2767" w:rsidP="002E2767">
            <w:pPr>
              <w:widowControl/>
              <w:spacing w:before="40" w:after="40"/>
              <w:jc w:val="center"/>
              <w:rPr>
                <w:b/>
                <w:sz w:val="19"/>
                <w:szCs w:val="19"/>
                <w:lang w:eastAsia="zh-CN"/>
              </w:rPr>
            </w:pPr>
            <w:r w:rsidRPr="00461063">
              <w:rPr>
                <w:b/>
                <w:sz w:val="19"/>
                <w:szCs w:val="19"/>
                <w:lang w:val="en-US"/>
              </w:rPr>
              <w:t>Opening Balance (10/4/2018)</w:t>
            </w:r>
          </w:p>
        </w:tc>
        <w:tc>
          <w:tcPr>
            <w:tcW w:w="1260" w:type="dxa"/>
            <w:shd w:val="clear" w:color="auto" w:fill="DEEAF6"/>
            <w:vAlign w:val="center"/>
          </w:tcPr>
          <w:p w14:paraId="0D5ADC0E" w14:textId="77777777" w:rsidR="002E2767" w:rsidRPr="00461063" w:rsidRDefault="002E2767" w:rsidP="002E2767">
            <w:pPr>
              <w:widowControl/>
              <w:spacing w:before="40" w:after="40"/>
              <w:jc w:val="center"/>
              <w:rPr>
                <w:b/>
                <w:sz w:val="19"/>
                <w:szCs w:val="19"/>
                <w:lang w:eastAsia="zh-CN"/>
              </w:rPr>
            </w:pPr>
            <w:r w:rsidRPr="00461063">
              <w:rPr>
                <w:b/>
                <w:sz w:val="19"/>
                <w:szCs w:val="19"/>
                <w:lang w:val="en-US"/>
              </w:rPr>
              <w:t>Closing Balance (13/11/2018)</w:t>
            </w:r>
          </w:p>
        </w:tc>
        <w:tc>
          <w:tcPr>
            <w:tcW w:w="1076" w:type="dxa"/>
            <w:shd w:val="clear" w:color="auto" w:fill="DEEAF6"/>
          </w:tcPr>
          <w:p w14:paraId="71B8B856" w14:textId="77777777" w:rsidR="002E2767" w:rsidRPr="00461063" w:rsidRDefault="002E2767" w:rsidP="002E2767">
            <w:pPr>
              <w:widowControl/>
              <w:spacing w:before="120" w:after="40"/>
              <w:jc w:val="center"/>
              <w:rPr>
                <w:b/>
                <w:sz w:val="19"/>
                <w:szCs w:val="19"/>
                <w:lang w:val="en-US"/>
              </w:rPr>
            </w:pPr>
            <w:r>
              <w:rPr>
                <w:b/>
                <w:sz w:val="19"/>
                <w:szCs w:val="19"/>
                <w:lang w:val="en-US"/>
              </w:rPr>
              <w:t>Reference Portfolio</w:t>
            </w:r>
          </w:p>
        </w:tc>
        <w:tc>
          <w:tcPr>
            <w:tcW w:w="1264" w:type="dxa"/>
            <w:shd w:val="clear" w:color="auto" w:fill="DEEAF6"/>
            <w:vAlign w:val="center"/>
          </w:tcPr>
          <w:p w14:paraId="56849E5F" w14:textId="77777777" w:rsidR="002E2767" w:rsidRPr="00461063" w:rsidRDefault="002E2767" w:rsidP="002E2767">
            <w:pPr>
              <w:widowControl/>
              <w:spacing w:before="40" w:after="40"/>
              <w:jc w:val="center"/>
              <w:rPr>
                <w:b/>
                <w:sz w:val="19"/>
                <w:szCs w:val="19"/>
                <w:lang w:eastAsia="zh-CN"/>
              </w:rPr>
            </w:pPr>
            <w:r>
              <w:rPr>
                <w:b/>
                <w:sz w:val="19"/>
                <w:szCs w:val="19"/>
                <w:lang w:val="en-US"/>
              </w:rPr>
              <w:t xml:space="preserve">SMF </w:t>
            </w:r>
            <w:r w:rsidRPr="00461063">
              <w:rPr>
                <w:b/>
                <w:sz w:val="19"/>
                <w:szCs w:val="19"/>
                <w:lang w:val="en-US"/>
              </w:rPr>
              <w:t>Portfolio (13/11/2018)</w:t>
            </w:r>
          </w:p>
        </w:tc>
      </w:tr>
      <w:tr w:rsidR="002E2767" w:rsidRPr="00F80A16" w14:paraId="1AD8A487" w14:textId="77777777" w:rsidTr="002E2767">
        <w:tc>
          <w:tcPr>
            <w:tcW w:w="2515" w:type="dxa"/>
            <w:shd w:val="clear" w:color="auto" w:fill="DEEAF6"/>
            <w:vAlign w:val="center"/>
          </w:tcPr>
          <w:p w14:paraId="33C745AD" w14:textId="77777777" w:rsidR="002E2767" w:rsidRPr="00461063" w:rsidRDefault="002E2767" w:rsidP="002E2767">
            <w:pPr>
              <w:widowControl/>
              <w:spacing w:before="40" w:after="40"/>
              <w:jc w:val="center"/>
              <w:rPr>
                <w:b/>
                <w:sz w:val="19"/>
                <w:szCs w:val="19"/>
                <w:lang w:eastAsia="zh-CN"/>
              </w:rPr>
            </w:pPr>
          </w:p>
        </w:tc>
        <w:tc>
          <w:tcPr>
            <w:tcW w:w="2160" w:type="dxa"/>
            <w:shd w:val="clear" w:color="auto" w:fill="DEEAF6"/>
            <w:vAlign w:val="center"/>
          </w:tcPr>
          <w:p w14:paraId="7EC8D00A" w14:textId="77777777" w:rsidR="002E2767" w:rsidRPr="00461063" w:rsidRDefault="002E2767" w:rsidP="002E2767">
            <w:pPr>
              <w:widowControl/>
              <w:spacing w:before="40" w:after="40"/>
              <w:jc w:val="center"/>
              <w:rPr>
                <w:b/>
                <w:sz w:val="19"/>
                <w:szCs w:val="19"/>
                <w:lang w:eastAsia="zh-CN"/>
              </w:rPr>
            </w:pPr>
          </w:p>
        </w:tc>
        <w:tc>
          <w:tcPr>
            <w:tcW w:w="1170" w:type="dxa"/>
            <w:shd w:val="clear" w:color="auto" w:fill="DEEAF6"/>
            <w:vAlign w:val="center"/>
          </w:tcPr>
          <w:p w14:paraId="78E219CC" w14:textId="77777777" w:rsidR="002E2767" w:rsidRPr="00461063" w:rsidRDefault="002E2767" w:rsidP="002E2767">
            <w:pPr>
              <w:widowControl/>
              <w:spacing w:before="40" w:after="40"/>
              <w:jc w:val="center"/>
              <w:rPr>
                <w:b/>
                <w:sz w:val="19"/>
                <w:szCs w:val="19"/>
                <w:lang w:eastAsia="zh-CN"/>
              </w:rPr>
            </w:pPr>
            <w:r w:rsidRPr="00461063">
              <w:rPr>
                <w:b/>
                <w:sz w:val="19"/>
                <w:szCs w:val="19"/>
                <w:lang w:val="en-US"/>
              </w:rPr>
              <w:t>$</w:t>
            </w:r>
          </w:p>
        </w:tc>
        <w:tc>
          <w:tcPr>
            <w:tcW w:w="1260" w:type="dxa"/>
            <w:shd w:val="clear" w:color="auto" w:fill="DEEAF6"/>
            <w:vAlign w:val="center"/>
          </w:tcPr>
          <w:p w14:paraId="1504A537" w14:textId="77777777" w:rsidR="002E2767" w:rsidRPr="00461063" w:rsidRDefault="002E2767" w:rsidP="002E2767">
            <w:pPr>
              <w:widowControl/>
              <w:spacing w:before="40" w:after="40"/>
              <w:jc w:val="center"/>
              <w:rPr>
                <w:b/>
                <w:sz w:val="19"/>
                <w:szCs w:val="19"/>
                <w:lang w:eastAsia="zh-CN"/>
              </w:rPr>
            </w:pPr>
            <w:r w:rsidRPr="00461063">
              <w:rPr>
                <w:b/>
                <w:sz w:val="19"/>
                <w:szCs w:val="19"/>
                <w:lang w:val="en-US"/>
              </w:rPr>
              <w:t>$</w:t>
            </w:r>
          </w:p>
        </w:tc>
        <w:tc>
          <w:tcPr>
            <w:tcW w:w="1076" w:type="dxa"/>
            <w:shd w:val="clear" w:color="auto" w:fill="DEEAF6"/>
          </w:tcPr>
          <w:p w14:paraId="6E42FD6E" w14:textId="77777777" w:rsidR="002E2767" w:rsidRPr="00461063" w:rsidRDefault="002E2767" w:rsidP="002E2767">
            <w:pPr>
              <w:widowControl/>
              <w:spacing w:before="40" w:after="40"/>
              <w:jc w:val="center"/>
              <w:rPr>
                <w:b/>
                <w:sz w:val="19"/>
                <w:szCs w:val="19"/>
                <w:lang w:val="en-US"/>
              </w:rPr>
            </w:pPr>
            <w:r w:rsidRPr="00461063">
              <w:rPr>
                <w:b/>
                <w:sz w:val="19"/>
                <w:szCs w:val="19"/>
                <w:lang w:val="en-US"/>
              </w:rPr>
              <w:t>%</w:t>
            </w:r>
          </w:p>
        </w:tc>
        <w:tc>
          <w:tcPr>
            <w:tcW w:w="1264" w:type="dxa"/>
            <w:shd w:val="clear" w:color="auto" w:fill="DEEAF6"/>
            <w:vAlign w:val="center"/>
          </w:tcPr>
          <w:p w14:paraId="1B01459F" w14:textId="77777777" w:rsidR="002E2767" w:rsidRPr="00461063" w:rsidRDefault="002E2767" w:rsidP="002E2767">
            <w:pPr>
              <w:widowControl/>
              <w:spacing w:before="40" w:after="40"/>
              <w:jc w:val="center"/>
              <w:rPr>
                <w:b/>
                <w:sz w:val="19"/>
                <w:szCs w:val="19"/>
                <w:lang w:eastAsia="zh-CN"/>
              </w:rPr>
            </w:pPr>
            <w:r w:rsidRPr="00461063">
              <w:rPr>
                <w:b/>
                <w:sz w:val="19"/>
                <w:szCs w:val="19"/>
                <w:lang w:val="en-US"/>
              </w:rPr>
              <w:t>%</w:t>
            </w:r>
          </w:p>
        </w:tc>
      </w:tr>
      <w:tr w:rsidR="002E2767" w:rsidRPr="00F80A16" w14:paraId="53A78F88" w14:textId="77777777" w:rsidTr="002E2767">
        <w:tc>
          <w:tcPr>
            <w:tcW w:w="4675" w:type="dxa"/>
            <w:gridSpan w:val="2"/>
            <w:vAlign w:val="center"/>
          </w:tcPr>
          <w:p w14:paraId="042C98A0" w14:textId="77777777" w:rsidR="002E2767" w:rsidRPr="00461063" w:rsidRDefault="002E2767" w:rsidP="002E2767">
            <w:pPr>
              <w:widowControl/>
              <w:spacing w:before="40" w:after="40"/>
              <w:jc w:val="left"/>
              <w:rPr>
                <w:b/>
                <w:i/>
                <w:sz w:val="19"/>
                <w:szCs w:val="19"/>
                <w:lang w:eastAsia="zh-CN"/>
              </w:rPr>
            </w:pPr>
            <w:r>
              <w:rPr>
                <w:b/>
                <w:sz w:val="20"/>
                <w:szCs w:val="20"/>
                <w:lang w:val="en-US"/>
              </w:rPr>
              <w:t xml:space="preserve">ASSET VALUES AND </w:t>
            </w:r>
            <w:r w:rsidRPr="00F876EB">
              <w:rPr>
                <w:b/>
                <w:sz w:val="20"/>
                <w:szCs w:val="20"/>
                <w:lang w:val="en-US"/>
              </w:rPr>
              <w:t>WEIGHTS</w:t>
            </w:r>
          </w:p>
        </w:tc>
        <w:tc>
          <w:tcPr>
            <w:tcW w:w="1170" w:type="dxa"/>
            <w:vAlign w:val="center"/>
          </w:tcPr>
          <w:p w14:paraId="3DE7F3D6" w14:textId="77777777" w:rsidR="002E2767" w:rsidRPr="00461063" w:rsidRDefault="002E2767" w:rsidP="002E2767">
            <w:pPr>
              <w:widowControl/>
              <w:spacing w:before="40" w:after="40"/>
              <w:jc w:val="center"/>
              <w:rPr>
                <w:b/>
                <w:i/>
                <w:sz w:val="19"/>
                <w:szCs w:val="19"/>
                <w:lang w:eastAsia="zh-CN"/>
              </w:rPr>
            </w:pPr>
          </w:p>
        </w:tc>
        <w:tc>
          <w:tcPr>
            <w:tcW w:w="1260" w:type="dxa"/>
            <w:vAlign w:val="center"/>
          </w:tcPr>
          <w:p w14:paraId="06823E0D" w14:textId="77777777" w:rsidR="002E2767" w:rsidRPr="00461063" w:rsidRDefault="002E2767" w:rsidP="002E2767">
            <w:pPr>
              <w:widowControl/>
              <w:spacing w:before="40" w:after="40"/>
              <w:jc w:val="center"/>
              <w:rPr>
                <w:b/>
                <w:i/>
                <w:sz w:val="19"/>
                <w:szCs w:val="19"/>
                <w:lang w:eastAsia="zh-CN"/>
              </w:rPr>
            </w:pPr>
          </w:p>
        </w:tc>
        <w:tc>
          <w:tcPr>
            <w:tcW w:w="1076" w:type="dxa"/>
          </w:tcPr>
          <w:p w14:paraId="4D931C03" w14:textId="77777777" w:rsidR="002E2767" w:rsidRPr="00461063" w:rsidRDefault="002E2767" w:rsidP="002E2767">
            <w:pPr>
              <w:widowControl/>
              <w:spacing w:before="40" w:after="40"/>
              <w:jc w:val="center"/>
              <w:rPr>
                <w:b/>
                <w:i/>
                <w:sz w:val="19"/>
                <w:szCs w:val="19"/>
                <w:lang w:eastAsia="zh-CN"/>
              </w:rPr>
            </w:pPr>
          </w:p>
        </w:tc>
        <w:tc>
          <w:tcPr>
            <w:tcW w:w="1264" w:type="dxa"/>
            <w:vAlign w:val="center"/>
          </w:tcPr>
          <w:p w14:paraId="1FA68E23" w14:textId="77777777" w:rsidR="002E2767" w:rsidRPr="00461063" w:rsidRDefault="002E2767" w:rsidP="002E2767">
            <w:pPr>
              <w:widowControl/>
              <w:spacing w:before="40" w:after="40"/>
              <w:jc w:val="center"/>
              <w:rPr>
                <w:b/>
                <w:i/>
                <w:sz w:val="19"/>
                <w:szCs w:val="19"/>
                <w:lang w:eastAsia="zh-CN"/>
              </w:rPr>
            </w:pPr>
          </w:p>
        </w:tc>
      </w:tr>
      <w:tr w:rsidR="002E2767" w:rsidRPr="00F80A16" w14:paraId="1DCE4B4C" w14:textId="77777777" w:rsidTr="002E2767">
        <w:tc>
          <w:tcPr>
            <w:tcW w:w="2515" w:type="dxa"/>
            <w:vAlign w:val="center"/>
          </w:tcPr>
          <w:p w14:paraId="5E3A44CC" w14:textId="77777777" w:rsidR="002E2767" w:rsidRPr="00461063" w:rsidRDefault="002E2767" w:rsidP="002E2767">
            <w:pPr>
              <w:widowControl/>
              <w:spacing w:before="40" w:after="40"/>
              <w:jc w:val="left"/>
              <w:rPr>
                <w:b/>
                <w:i/>
                <w:sz w:val="19"/>
                <w:szCs w:val="19"/>
                <w:lang w:eastAsia="zh-CN"/>
              </w:rPr>
            </w:pPr>
            <w:r w:rsidRPr="00461063">
              <w:rPr>
                <w:b/>
                <w:i/>
                <w:sz w:val="19"/>
                <w:szCs w:val="19"/>
                <w:lang w:val="en-US"/>
              </w:rPr>
              <w:t>Australian Equities</w:t>
            </w:r>
          </w:p>
        </w:tc>
        <w:tc>
          <w:tcPr>
            <w:tcW w:w="2160" w:type="dxa"/>
            <w:vAlign w:val="center"/>
          </w:tcPr>
          <w:p w14:paraId="7C6E31A1" w14:textId="77777777" w:rsidR="002E2767" w:rsidRPr="00461063" w:rsidRDefault="002E2767" w:rsidP="002E2767">
            <w:pPr>
              <w:widowControl/>
              <w:spacing w:before="40" w:after="40"/>
              <w:jc w:val="center"/>
              <w:rPr>
                <w:b/>
                <w:i/>
                <w:sz w:val="19"/>
                <w:szCs w:val="19"/>
                <w:lang w:eastAsia="zh-CN"/>
              </w:rPr>
            </w:pPr>
          </w:p>
        </w:tc>
        <w:tc>
          <w:tcPr>
            <w:tcW w:w="1170" w:type="dxa"/>
            <w:vAlign w:val="center"/>
          </w:tcPr>
          <w:p w14:paraId="2A72E06E" w14:textId="77777777" w:rsidR="002E2767" w:rsidRPr="00461063" w:rsidRDefault="002E2767" w:rsidP="002E2767">
            <w:pPr>
              <w:widowControl/>
              <w:spacing w:before="40" w:after="40"/>
              <w:jc w:val="center"/>
              <w:rPr>
                <w:b/>
                <w:i/>
                <w:sz w:val="19"/>
                <w:szCs w:val="19"/>
                <w:lang w:eastAsia="zh-CN"/>
              </w:rPr>
            </w:pPr>
          </w:p>
        </w:tc>
        <w:tc>
          <w:tcPr>
            <w:tcW w:w="1260" w:type="dxa"/>
            <w:vAlign w:val="center"/>
          </w:tcPr>
          <w:p w14:paraId="1418A804" w14:textId="77777777" w:rsidR="002E2767" w:rsidRPr="00461063" w:rsidRDefault="002E2767" w:rsidP="002E2767">
            <w:pPr>
              <w:widowControl/>
              <w:spacing w:before="40" w:after="40"/>
              <w:jc w:val="center"/>
              <w:rPr>
                <w:b/>
                <w:i/>
                <w:sz w:val="19"/>
                <w:szCs w:val="19"/>
                <w:lang w:eastAsia="zh-CN"/>
              </w:rPr>
            </w:pPr>
          </w:p>
        </w:tc>
        <w:tc>
          <w:tcPr>
            <w:tcW w:w="1076" w:type="dxa"/>
          </w:tcPr>
          <w:p w14:paraId="10F262F2" w14:textId="77777777" w:rsidR="002E2767" w:rsidRPr="00461063" w:rsidRDefault="002E2767" w:rsidP="002E2767">
            <w:pPr>
              <w:widowControl/>
              <w:spacing w:before="40" w:after="40"/>
              <w:jc w:val="center"/>
              <w:rPr>
                <w:b/>
                <w:i/>
                <w:sz w:val="19"/>
                <w:szCs w:val="19"/>
                <w:lang w:eastAsia="zh-CN"/>
              </w:rPr>
            </w:pPr>
          </w:p>
        </w:tc>
        <w:tc>
          <w:tcPr>
            <w:tcW w:w="1264" w:type="dxa"/>
            <w:vAlign w:val="center"/>
          </w:tcPr>
          <w:p w14:paraId="3DCA87F3" w14:textId="77777777" w:rsidR="002E2767" w:rsidRPr="00461063" w:rsidRDefault="002E2767" w:rsidP="002E2767">
            <w:pPr>
              <w:widowControl/>
              <w:spacing w:before="40" w:after="40"/>
              <w:jc w:val="center"/>
              <w:rPr>
                <w:b/>
                <w:i/>
                <w:sz w:val="19"/>
                <w:szCs w:val="19"/>
                <w:lang w:eastAsia="zh-CN"/>
              </w:rPr>
            </w:pPr>
          </w:p>
        </w:tc>
      </w:tr>
      <w:tr w:rsidR="002E2767" w:rsidRPr="00F80A16" w14:paraId="5F2779F0" w14:textId="77777777" w:rsidTr="002E2767">
        <w:tc>
          <w:tcPr>
            <w:tcW w:w="2515" w:type="dxa"/>
            <w:vAlign w:val="center"/>
          </w:tcPr>
          <w:p w14:paraId="0E2B6A2B" w14:textId="77777777" w:rsidR="002E2767" w:rsidRPr="00461063" w:rsidRDefault="002E2767" w:rsidP="002E2767">
            <w:pPr>
              <w:widowControl/>
              <w:spacing w:before="40" w:after="40"/>
              <w:jc w:val="left"/>
              <w:rPr>
                <w:sz w:val="19"/>
                <w:szCs w:val="19"/>
                <w:lang w:eastAsia="zh-CN"/>
              </w:rPr>
            </w:pPr>
            <w:r w:rsidRPr="00461063">
              <w:rPr>
                <w:sz w:val="19"/>
                <w:szCs w:val="19"/>
                <w:lang w:val="en-US"/>
              </w:rPr>
              <w:t>iShares Core S&amp;P/ASX 200</w:t>
            </w:r>
          </w:p>
        </w:tc>
        <w:tc>
          <w:tcPr>
            <w:tcW w:w="2160" w:type="dxa"/>
            <w:vAlign w:val="center"/>
          </w:tcPr>
          <w:p w14:paraId="3294B901" w14:textId="77777777" w:rsidR="002E2767" w:rsidRPr="00461063" w:rsidRDefault="002E2767" w:rsidP="002E2767">
            <w:pPr>
              <w:widowControl/>
              <w:spacing w:before="40" w:after="40"/>
              <w:jc w:val="center"/>
              <w:rPr>
                <w:sz w:val="19"/>
                <w:szCs w:val="19"/>
                <w:lang w:eastAsia="zh-CN"/>
              </w:rPr>
            </w:pPr>
          </w:p>
        </w:tc>
        <w:tc>
          <w:tcPr>
            <w:tcW w:w="1170" w:type="dxa"/>
            <w:vAlign w:val="center"/>
          </w:tcPr>
          <w:p w14:paraId="0E8A3CD9" w14:textId="77777777" w:rsidR="002E2767" w:rsidRPr="00461063" w:rsidRDefault="002E2767" w:rsidP="002E2767">
            <w:pPr>
              <w:widowControl/>
              <w:spacing w:before="40" w:after="40"/>
              <w:jc w:val="center"/>
              <w:rPr>
                <w:sz w:val="19"/>
                <w:szCs w:val="19"/>
                <w:lang w:eastAsia="zh-CN"/>
              </w:rPr>
            </w:pPr>
            <w:r w:rsidRPr="00461063">
              <w:rPr>
                <w:sz w:val="19"/>
                <w:szCs w:val="19"/>
              </w:rPr>
              <w:t>372,114</w:t>
            </w:r>
          </w:p>
        </w:tc>
        <w:tc>
          <w:tcPr>
            <w:tcW w:w="1260" w:type="dxa"/>
            <w:vAlign w:val="center"/>
          </w:tcPr>
          <w:p w14:paraId="684D105E" w14:textId="77777777" w:rsidR="002E2767" w:rsidRPr="00461063" w:rsidRDefault="002E2767" w:rsidP="002E2767">
            <w:pPr>
              <w:widowControl/>
              <w:spacing w:before="40" w:after="40"/>
              <w:jc w:val="center"/>
              <w:rPr>
                <w:sz w:val="19"/>
                <w:szCs w:val="19"/>
              </w:rPr>
            </w:pPr>
            <w:r w:rsidRPr="00461063">
              <w:rPr>
                <w:sz w:val="19"/>
                <w:szCs w:val="19"/>
              </w:rPr>
              <w:t xml:space="preserve">306,335 </w:t>
            </w:r>
          </w:p>
        </w:tc>
        <w:tc>
          <w:tcPr>
            <w:tcW w:w="1076" w:type="dxa"/>
          </w:tcPr>
          <w:p w14:paraId="6F79E78C" w14:textId="77777777" w:rsidR="002E2767" w:rsidRPr="00461063" w:rsidRDefault="002E2767" w:rsidP="002E2767">
            <w:pPr>
              <w:widowControl/>
              <w:spacing w:before="40" w:after="40"/>
              <w:jc w:val="center"/>
              <w:rPr>
                <w:sz w:val="19"/>
                <w:szCs w:val="19"/>
                <w:lang w:val="en-US"/>
              </w:rPr>
            </w:pPr>
          </w:p>
        </w:tc>
        <w:tc>
          <w:tcPr>
            <w:tcW w:w="1264" w:type="dxa"/>
            <w:vAlign w:val="center"/>
          </w:tcPr>
          <w:p w14:paraId="32B4DA4D" w14:textId="77777777" w:rsidR="002E2767" w:rsidRPr="00461063" w:rsidRDefault="002E2767" w:rsidP="002E2767">
            <w:pPr>
              <w:widowControl/>
              <w:spacing w:before="40" w:after="40"/>
              <w:jc w:val="center"/>
              <w:rPr>
                <w:sz w:val="19"/>
                <w:szCs w:val="19"/>
                <w:lang w:eastAsia="zh-CN"/>
              </w:rPr>
            </w:pPr>
            <w:r w:rsidRPr="00461063">
              <w:rPr>
                <w:sz w:val="19"/>
                <w:szCs w:val="19"/>
                <w:lang w:val="en-US"/>
              </w:rPr>
              <w:t>48.5</w:t>
            </w:r>
          </w:p>
        </w:tc>
      </w:tr>
      <w:tr w:rsidR="002E2767" w:rsidRPr="00F80A16" w14:paraId="04A36027" w14:textId="77777777" w:rsidTr="002E2767">
        <w:tc>
          <w:tcPr>
            <w:tcW w:w="2515" w:type="dxa"/>
            <w:vAlign w:val="center"/>
          </w:tcPr>
          <w:p w14:paraId="087DCE59" w14:textId="77777777" w:rsidR="002E2767" w:rsidRPr="00461063" w:rsidRDefault="002E2767" w:rsidP="002E2767">
            <w:pPr>
              <w:widowControl/>
              <w:spacing w:before="40" w:after="40"/>
              <w:jc w:val="left"/>
              <w:rPr>
                <w:sz w:val="19"/>
                <w:szCs w:val="19"/>
                <w:lang w:eastAsia="zh-CN"/>
              </w:rPr>
            </w:pPr>
            <w:r w:rsidRPr="00461063">
              <w:rPr>
                <w:sz w:val="19"/>
                <w:szCs w:val="19"/>
                <w:lang w:val="en-US"/>
              </w:rPr>
              <w:t>Telstra</w:t>
            </w:r>
          </w:p>
        </w:tc>
        <w:tc>
          <w:tcPr>
            <w:tcW w:w="2160" w:type="dxa"/>
            <w:vAlign w:val="center"/>
          </w:tcPr>
          <w:p w14:paraId="5D61DDDC" w14:textId="77777777" w:rsidR="002E2767" w:rsidRPr="00461063" w:rsidRDefault="002E2767" w:rsidP="002E2767">
            <w:pPr>
              <w:widowControl/>
              <w:spacing w:before="40" w:after="40"/>
              <w:jc w:val="center"/>
              <w:rPr>
                <w:sz w:val="19"/>
                <w:szCs w:val="19"/>
                <w:lang w:eastAsia="zh-CN"/>
              </w:rPr>
            </w:pPr>
            <w:r w:rsidRPr="00461063">
              <w:rPr>
                <w:sz w:val="19"/>
                <w:szCs w:val="19"/>
                <w:lang w:val="en-US"/>
              </w:rPr>
              <w:t>-</w:t>
            </w:r>
          </w:p>
        </w:tc>
        <w:tc>
          <w:tcPr>
            <w:tcW w:w="1170" w:type="dxa"/>
            <w:vAlign w:val="center"/>
          </w:tcPr>
          <w:p w14:paraId="0E891D3D" w14:textId="77777777" w:rsidR="002E2767" w:rsidRPr="00461063" w:rsidRDefault="002E2767" w:rsidP="002E2767">
            <w:pPr>
              <w:widowControl/>
              <w:spacing w:before="40" w:after="40"/>
              <w:jc w:val="center"/>
              <w:rPr>
                <w:sz w:val="19"/>
                <w:szCs w:val="19"/>
                <w:lang w:eastAsia="zh-CN"/>
              </w:rPr>
            </w:pPr>
            <w:r w:rsidRPr="00461063">
              <w:rPr>
                <w:sz w:val="19"/>
                <w:szCs w:val="19"/>
              </w:rPr>
              <w:t>-</w:t>
            </w:r>
          </w:p>
        </w:tc>
        <w:tc>
          <w:tcPr>
            <w:tcW w:w="1260" w:type="dxa"/>
            <w:vAlign w:val="center"/>
          </w:tcPr>
          <w:p w14:paraId="3D33583F" w14:textId="77777777" w:rsidR="002E2767" w:rsidRPr="00461063" w:rsidRDefault="002E2767" w:rsidP="002E2767">
            <w:pPr>
              <w:widowControl/>
              <w:spacing w:before="40" w:after="40"/>
              <w:jc w:val="center"/>
              <w:rPr>
                <w:sz w:val="19"/>
                <w:szCs w:val="19"/>
              </w:rPr>
            </w:pPr>
            <w:r w:rsidRPr="00461063">
              <w:rPr>
                <w:sz w:val="19"/>
                <w:szCs w:val="19"/>
              </w:rPr>
              <w:t xml:space="preserve">27,379 </w:t>
            </w:r>
          </w:p>
        </w:tc>
        <w:tc>
          <w:tcPr>
            <w:tcW w:w="1076" w:type="dxa"/>
          </w:tcPr>
          <w:p w14:paraId="75CD2D5E" w14:textId="77777777" w:rsidR="002E2767" w:rsidRPr="00461063" w:rsidRDefault="002E2767" w:rsidP="002E2767">
            <w:pPr>
              <w:widowControl/>
              <w:spacing w:before="40" w:after="40"/>
              <w:jc w:val="center"/>
              <w:rPr>
                <w:sz w:val="19"/>
                <w:szCs w:val="19"/>
                <w:lang w:val="en-US"/>
              </w:rPr>
            </w:pPr>
          </w:p>
        </w:tc>
        <w:tc>
          <w:tcPr>
            <w:tcW w:w="1264" w:type="dxa"/>
            <w:vAlign w:val="center"/>
          </w:tcPr>
          <w:p w14:paraId="5B527019" w14:textId="77777777" w:rsidR="002E2767" w:rsidRPr="00461063" w:rsidRDefault="002E2767" w:rsidP="002E2767">
            <w:pPr>
              <w:widowControl/>
              <w:spacing w:before="40" w:after="40"/>
              <w:jc w:val="center"/>
              <w:rPr>
                <w:sz w:val="19"/>
                <w:szCs w:val="19"/>
                <w:lang w:eastAsia="zh-CN"/>
              </w:rPr>
            </w:pPr>
            <w:r w:rsidRPr="00461063">
              <w:rPr>
                <w:sz w:val="19"/>
                <w:szCs w:val="19"/>
                <w:lang w:val="en-US"/>
              </w:rPr>
              <w:t>4.3</w:t>
            </w:r>
          </w:p>
        </w:tc>
      </w:tr>
      <w:tr w:rsidR="002E2767" w:rsidRPr="00F80A16" w14:paraId="45D162ED" w14:textId="77777777" w:rsidTr="002E2767">
        <w:tc>
          <w:tcPr>
            <w:tcW w:w="2515" w:type="dxa"/>
            <w:vAlign w:val="center"/>
          </w:tcPr>
          <w:p w14:paraId="0AAC6F52" w14:textId="77777777" w:rsidR="002E2767" w:rsidRPr="00461063" w:rsidRDefault="002E2767" w:rsidP="002E2767">
            <w:pPr>
              <w:widowControl/>
              <w:spacing w:before="40" w:after="40"/>
              <w:jc w:val="left"/>
              <w:rPr>
                <w:sz w:val="19"/>
                <w:szCs w:val="19"/>
                <w:lang w:val="en-US"/>
              </w:rPr>
            </w:pPr>
            <w:r w:rsidRPr="00461063">
              <w:rPr>
                <w:sz w:val="19"/>
                <w:szCs w:val="19"/>
                <w:lang w:val="en-US"/>
              </w:rPr>
              <w:t>Rio Tinto</w:t>
            </w:r>
          </w:p>
        </w:tc>
        <w:tc>
          <w:tcPr>
            <w:tcW w:w="2160" w:type="dxa"/>
            <w:vAlign w:val="center"/>
          </w:tcPr>
          <w:p w14:paraId="14374447" w14:textId="77777777" w:rsidR="002E2767" w:rsidRPr="00461063" w:rsidRDefault="002E2767" w:rsidP="002E2767">
            <w:pPr>
              <w:widowControl/>
              <w:spacing w:before="40" w:after="40"/>
              <w:jc w:val="center"/>
              <w:rPr>
                <w:sz w:val="19"/>
                <w:szCs w:val="19"/>
                <w:lang w:val="en-US"/>
              </w:rPr>
            </w:pPr>
            <w:r w:rsidRPr="00461063">
              <w:rPr>
                <w:sz w:val="19"/>
                <w:szCs w:val="19"/>
                <w:lang w:val="en-US"/>
              </w:rPr>
              <w:t>-</w:t>
            </w:r>
          </w:p>
        </w:tc>
        <w:tc>
          <w:tcPr>
            <w:tcW w:w="1170" w:type="dxa"/>
            <w:vAlign w:val="center"/>
          </w:tcPr>
          <w:p w14:paraId="27432712" w14:textId="77777777" w:rsidR="002E2767" w:rsidRPr="00461063" w:rsidRDefault="002E2767" w:rsidP="002E2767">
            <w:pPr>
              <w:widowControl/>
              <w:spacing w:before="40" w:after="40"/>
              <w:jc w:val="center"/>
              <w:rPr>
                <w:sz w:val="19"/>
                <w:szCs w:val="19"/>
              </w:rPr>
            </w:pPr>
            <w:r w:rsidRPr="00461063">
              <w:rPr>
                <w:sz w:val="19"/>
                <w:szCs w:val="19"/>
              </w:rPr>
              <w:t>-</w:t>
            </w:r>
          </w:p>
        </w:tc>
        <w:tc>
          <w:tcPr>
            <w:tcW w:w="1260" w:type="dxa"/>
            <w:vAlign w:val="center"/>
          </w:tcPr>
          <w:p w14:paraId="563E97C2" w14:textId="77777777" w:rsidR="002E2767" w:rsidRPr="00461063" w:rsidRDefault="002E2767" w:rsidP="002E2767">
            <w:pPr>
              <w:widowControl/>
              <w:spacing w:before="40" w:after="40"/>
              <w:jc w:val="center"/>
              <w:rPr>
                <w:sz w:val="19"/>
                <w:szCs w:val="19"/>
              </w:rPr>
            </w:pPr>
            <w:r w:rsidRPr="00461063">
              <w:rPr>
                <w:sz w:val="19"/>
                <w:szCs w:val="19"/>
              </w:rPr>
              <w:t xml:space="preserve">9,178 </w:t>
            </w:r>
          </w:p>
        </w:tc>
        <w:tc>
          <w:tcPr>
            <w:tcW w:w="1076" w:type="dxa"/>
          </w:tcPr>
          <w:p w14:paraId="3A50CC7C" w14:textId="77777777" w:rsidR="002E2767" w:rsidRPr="00461063" w:rsidRDefault="002E2767" w:rsidP="002E2767">
            <w:pPr>
              <w:widowControl/>
              <w:spacing w:before="40" w:after="40"/>
              <w:jc w:val="center"/>
              <w:rPr>
                <w:sz w:val="19"/>
                <w:szCs w:val="19"/>
                <w:lang w:val="en-US"/>
              </w:rPr>
            </w:pPr>
          </w:p>
        </w:tc>
        <w:tc>
          <w:tcPr>
            <w:tcW w:w="1264" w:type="dxa"/>
            <w:vAlign w:val="center"/>
          </w:tcPr>
          <w:p w14:paraId="48C1972D" w14:textId="77777777" w:rsidR="002E2767" w:rsidRPr="00461063" w:rsidRDefault="002E2767" w:rsidP="002E2767">
            <w:pPr>
              <w:widowControl/>
              <w:spacing w:before="40" w:after="40"/>
              <w:jc w:val="center"/>
              <w:rPr>
                <w:sz w:val="19"/>
                <w:szCs w:val="19"/>
                <w:lang w:val="en-US"/>
              </w:rPr>
            </w:pPr>
            <w:r w:rsidRPr="00461063">
              <w:rPr>
                <w:sz w:val="19"/>
                <w:szCs w:val="19"/>
                <w:lang w:val="en-US"/>
              </w:rPr>
              <w:t>1.5</w:t>
            </w:r>
          </w:p>
        </w:tc>
      </w:tr>
      <w:tr w:rsidR="002E2767" w:rsidRPr="00F80A16" w14:paraId="5E60DC07" w14:textId="77777777" w:rsidTr="002E2767">
        <w:tc>
          <w:tcPr>
            <w:tcW w:w="2515" w:type="dxa"/>
            <w:tcBorders>
              <w:bottom w:val="single" w:sz="4" w:space="0" w:color="auto"/>
            </w:tcBorders>
            <w:vAlign w:val="center"/>
          </w:tcPr>
          <w:p w14:paraId="0CCD062D" w14:textId="77777777" w:rsidR="002E2767" w:rsidRPr="00461063" w:rsidRDefault="002E2767" w:rsidP="002E2767">
            <w:pPr>
              <w:widowControl/>
              <w:spacing w:before="40" w:after="40"/>
              <w:jc w:val="left"/>
              <w:rPr>
                <w:sz w:val="19"/>
                <w:szCs w:val="19"/>
                <w:lang w:eastAsia="zh-CN"/>
              </w:rPr>
            </w:pPr>
            <w:r w:rsidRPr="00461063">
              <w:rPr>
                <w:sz w:val="19"/>
                <w:szCs w:val="19"/>
                <w:lang w:val="en-US"/>
              </w:rPr>
              <w:t xml:space="preserve">Bingo Industries </w:t>
            </w:r>
          </w:p>
        </w:tc>
        <w:tc>
          <w:tcPr>
            <w:tcW w:w="2160" w:type="dxa"/>
            <w:tcBorders>
              <w:bottom w:val="single" w:sz="4" w:space="0" w:color="auto"/>
            </w:tcBorders>
            <w:vAlign w:val="center"/>
          </w:tcPr>
          <w:p w14:paraId="3072AB4A" w14:textId="77777777" w:rsidR="002E2767" w:rsidRPr="00461063" w:rsidRDefault="002E2767" w:rsidP="002E2767">
            <w:pPr>
              <w:widowControl/>
              <w:spacing w:before="40" w:after="40"/>
              <w:jc w:val="center"/>
              <w:rPr>
                <w:sz w:val="19"/>
                <w:szCs w:val="19"/>
                <w:lang w:eastAsia="zh-CN"/>
              </w:rPr>
            </w:pPr>
            <w:r w:rsidRPr="00461063">
              <w:rPr>
                <w:sz w:val="19"/>
                <w:szCs w:val="19"/>
                <w:lang w:val="en-US"/>
              </w:rPr>
              <w:t>-</w:t>
            </w:r>
          </w:p>
        </w:tc>
        <w:tc>
          <w:tcPr>
            <w:tcW w:w="1170" w:type="dxa"/>
            <w:tcBorders>
              <w:bottom w:val="single" w:sz="4" w:space="0" w:color="auto"/>
            </w:tcBorders>
            <w:vAlign w:val="center"/>
          </w:tcPr>
          <w:p w14:paraId="3A21FF8A" w14:textId="77777777" w:rsidR="002E2767" w:rsidRPr="00461063" w:rsidRDefault="002E2767" w:rsidP="002E2767">
            <w:pPr>
              <w:widowControl/>
              <w:spacing w:before="40" w:after="40"/>
              <w:jc w:val="center"/>
              <w:rPr>
                <w:sz w:val="19"/>
                <w:szCs w:val="19"/>
                <w:lang w:eastAsia="zh-CN"/>
              </w:rPr>
            </w:pPr>
            <w:r w:rsidRPr="00461063">
              <w:rPr>
                <w:sz w:val="19"/>
                <w:szCs w:val="19"/>
              </w:rPr>
              <w:t>-</w:t>
            </w:r>
          </w:p>
        </w:tc>
        <w:tc>
          <w:tcPr>
            <w:tcW w:w="1260" w:type="dxa"/>
            <w:tcBorders>
              <w:bottom w:val="single" w:sz="4" w:space="0" w:color="auto"/>
            </w:tcBorders>
            <w:vAlign w:val="center"/>
          </w:tcPr>
          <w:p w14:paraId="455519D0" w14:textId="77777777" w:rsidR="002E2767" w:rsidRPr="00461063" w:rsidRDefault="002E2767" w:rsidP="002E2767">
            <w:pPr>
              <w:widowControl/>
              <w:spacing w:before="40" w:after="40"/>
              <w:jc w:val="center"/>
              <w:rPr>
                <w:sz w:val="19"/>
                <w:szCs w:val="19"/>
              </w:rPr>
            </w:pPr>
            <w:r w:rsidRPr="00461063">
              <w:rPr>
                <w:sz w:val="19"/>
                <w:szCs w:val="19"/>
              </w:rPr>
              <w:t xml:space="preserve">25,597 </w:t>
            </w:r>
          </w:p>
        </w:tc>
        <w:tc>
          <w:tcPr>
            <w:tcW w:w="1076" w:type="dxa"/>
            <w:tcBorders>
              <w:bottom w:val="single" w:sz="4" w:space="0" w:color="auto"/>
            </w:tcBorders>
          </w:tcPr>
          <w:p w14:paraId="6CCC21BE" w14:textId="77777777" w:rsidR="002E2767" w:rsidRPr="00461063" w:rsidRDefault="002E2767" w:rsidP="002E2767">
            <w:pPr>
              <w:widowControl/>
              <w:spacing w:before="40" w:after="40"/>
              <w:jc w:val="center"/>
              <w:rPr>
                <w:sz w:val="19"/>
                <w:szCs w:val="19"/>
                <w:lang w:val="en-US"/>
              </w:rPr>
            </w:pPr>
          </w:p>
        </w:tc>
        <w:tc>
          <w:tcPr>
            <w:tcW w:w="1264" w:type="dxa"/>
            <w:tcBorders>
              <w:bottom w:val="single" w:sz="4" w:space="0" w:color="auto"/>
            </w:tcBorders>
            <w:vAlign w:val="center"/>
          </w:tcPr>
          <w:p w14:paraId="6E37666A" w14:textId="77777777" w:rsidR="002E2767" w:rsidRPr="00461063" w:rsidRDefault="002E2767" w:rsidP="002E2767">
            <w:pPr>
              <w:widowControl/>
              <w:spacing w:before="40" w:after="40"/>
              <w:jc w:val="center"/>
              <w:rPr>
                <w:sz w:val="19"/>
                <w:szCs w:val="19"/>
                <w:lang w:eastAsia="zh-CN"/>
              </w:rPr>
            </w:pPr>
            <w:r w:rsidRPr="00461063">
              <w:rPr>
                <w:sz w:val="19"/>
                <w:szCs w:val="19"/>
                <w:lang w:val="en-US"/>
              </w:rPr>
              <w:t>4.1</w:t>
            </w:r>
          </w:p>
        </w:tc>
      </w:tr>
      <w:tr w:rsidR="002E2767" w:rsidRPr="00F80A16" w14:paraId="115A67B7" w14:textId="77777777" w:rsidTr="002E2767">
        <w:tc>
          <w:tcPr>
            <w:tcW w:w="2515" w:type="dxa"/>
            <w:tcBorders>
              <w:top w:val="single" w:sz="4" w:space="0" w:color="auto"/>
              <w:bottom w:val="single" w:sz="4" w:space="0" w:color="auto"/>
            </w:tcBorders>
            <w:vAlign w:val="center"/>
          </w:tcPr>
          <w:p w14:paraId="44E5EB8F" w14:textId="77777777" w:rsidR="002E2767" w:rsidRPr="00461063" w:rsidRDefault="002E2767" w:rsidP="002E2767">
            <w:pPr>
              <w:widowControl/>
              <w:spacing w:before="40" w:after="40"/>
              <w:jc w:val="left"/>
              <w:rPr>
                <w:b/>
                <w:i/>
                <w:sz w:val="19"/>
                <w:szCs w:val="19"/>
                <w:lang w:eastAsia="zh-CN"/>
              </w:rPr>
            </w:pPr>
            <w:r w:rsidRPr="00461063">
              <w:rPr>
                <w:b/>
                <w:i/>
                <w:sz w:val="19"/>
                <w:szCs w:val="19"/>
                <w:lang w:eastAsia="zh-CN"/>
              </w:rPr>
              <w:t>Total Australian Equities</w:t>
            </w:r>
          </w:p>
        </w:tc>
        <w:tc>
          <w:tcPr>
            <w:tcW w:w="2160" w:type="dxa"/>
            <w:tcBorders>
              <w:top w:val="single" w:sz="4" w:space="0" w:color="auto"/>
              <w:bottom w:val="single" w:sz="4" w:space="0" w:color="auto"/>
            </w:tcBorders>
            <w:vAlign w:val="center"/>
          </w:tcPr>
          <w:p w14:paraId="438A9FD2" w14:textId="77777777" w:rsidR="002E2767" w:rsidRPr="00461063" w:rsidRDefault="002E2767" w:rsidP="002E2767">
            <w:pPr>
              <w:widowControl/>
              <w:spacing w:before="40" w:after="40"/>
              <w:jc w:val="center"/>
              <w:rPr>
                <w:sz w:val="19"/>
                <w:szCs w:val="19"/>
                <w:lang w:eastAsia="zh-CN"/>
              </w:rPr>
            </w:pPr>
            <w:r w:rsidRPr="00461063">
              <w:rPr>
                <w:sz w:val="19"/>
                <w:szCs w:val="19"/>
                <w:lang w:val="en-US"/>
              </w:rPr>
              <w:t>iShares Core    S&amp;P/ASX 200</w:t>
            </w:r>
          </w:p>
        </w:tc>
        <w:tc>
          <w:tcPr>
            <w:tcW w:w="1170" w:type="dxa"/>
            <w:tcBorders>
              <w:top w:val="single" w:sz="4" w:space="0" w:color="auto"/>
              <w:bottom w:val="single" w:sz="4" w:space="0" w:color="auto"/>
            </w:tcBorders>
            <w:vAlign w:val="center"/>
          </w:tcPr>
          <w:p w14:paraId="38221115" w14:textId="77777777" w:rsidR="002E2767" w:rsidRPr="00461063" w:rsidRDefault="002E2767" w:rsidP="002E2767">
            <w:pPr>
              <w:widowControl/>
              <w:spacing w:before="40" w:after="40"/>
              <w:jc w:val="center"/>
              <w:rPr>
                <w:b/>
                <w:i/>
                <w:sz w:val="19"/>
                <w:szCs w:val="19"/>
                <w:lang w:eastAsia="zh-CN"/>
              </w:rPr>
            </w:pPr>
          </w:p>
        </w:tc>
        <w:tc>
          <w:tcPr>
            <w:tcW w:w="1260" w:type="dxa"/>
            <w:tcBorders>
              <w:top w:val="single" w:sz="4" w:space="0" w:color="auto"/>
              <w:bottom w:val="single" w:sz="4" w:space="0" w:color="auto"/>
            </w:tcBorders>
            <w:vAlign w:val="center"/>
          </w:tcPr>
          <w:p w14:paraId="0DF62BA6" w14:textId="77777777" w:rsidR="002E2767" w:rsidRPr="00461063" w:rsidRDefault="002E2767" w:rsidP="002E2767">
            <w:pPr>
              <w:widowControl/>
              <w:spacing w:before="40" w:after="40"/>
              <w:jc w:val="center"/>
              <w:rPr>
                <w:b/>
                <w:i/>
                <w:sz w:val="19"/>
                <w:szCs w:val="19"/>
                <w:lang w:eastAsia="zh-CN"/>
              </w:rPr>
            </w:pPr>
          </w:p>
        </w:tc>
        <w:tc>
          <w:tcPr>
            <w:tcW w:w="1076" w:type="dxa"/>
            <w:tcBorders>
              <w:top w:val="single" w:sz="4" w:space="0" w:color="auto"/>
              <w:bottom w:val="single" w:sz="4" w:space="0" w:color="auto"/>
            </w:tcBorders>
            <w:vAlign w:val="center"/>
          </w:tcPr>
          <w:p w14:paraId="37F52AB0" w14:textId="77777777" w:rsidR="002E2767" w:rsidRPr="00461063" w:rsidRDefault="002E2767" w:rsidP="002E2767">
            <w:pPr>
              <w:widowControl/>
              <w:spacing w:before="40" w:after="40"/>
              <w:jc w:val="center"/>
              <w:rPr>
                <w:b/>
                <w:i/>
                <w:sz w:val="19"/>
                <w:szCs w:val="19"/>
                <w:lang w:eastAsia="zh-CN"/>
              </w:rPr>
            </w:pPr>
            <w:r w:rsidRPr="00461063">
              <w:rPr>
                <w:b/>
                <w:i/>
                <w:sz w:val="19"/>
                <w:szCs w:val="19"/>
                <w:lang w:eastAsia="zh-CN"/>
              </w:rPr>
              <w:t>60</w:t>
            </w:r>
          </w:p>
        </w:tc>
        <w:tc>
          <w:tcPr>
            <w:tcW w:w="1264" w:type="dxa"/>
            <w:tcBorders>
              <w:top w:val="single" w:sz="4" w:space="0" w:color="auto"/>
              <w:bottom w:val="single" w:sz="4" w:space="0" w:color="auto"/>
            </w:tcBorders>
            <w:vAlign w:val="center"/>
          </w:tcPr>
          <w:p w14:paraId="5373824B" w14:textId="77777777" w:rsidR="002E2767" w:rsidRPr="00461063" w:rsidRDefault="002E2767" w:rsidP="002E2767">
            <w:pPr>
              <w:widowControl/>
              <w:spacing w:before="40" w:after="40"/>
              <w:jc w:val="center"/>
              <w:rPr>
                <w:b/>
                <w:i/>
                <w:sz w:val="19"/>
                <w:szCs w:val="19"/>
                <w:lang w:eastAsia="zh-CN"/>
              </w:rPr>
            </w:pPr>
            <w:r w:rsidRPr="00461063">
              <w:rPr>
                <w:b/>
                <w:i/>
                <w:sz w:val="19"/>
                <w:szCs w:val="19"/>
                <w:lang w:eastAsia="zh-CN"/>
              </w:rPr>
              <w:t>58.4</w:t>
            </w:r>
          </w:p>
        </w:tc>
      </w:tr>
      <w:tr w:rsidR="002E2767" w:rsidRPr="00F80A16" w14:paraId="312306E1" w14:textId="77777777" w:rsidTr="002E2767">
        <w:tc>
          <w:tcPr>
            <w:tcW w:w="2515" w:type="dxa"/>
            <w:tcBorders>
              <w:top w:val="single" w:sz="4" w:space="0" w:color="auto"/>
            </w:tcBorders>
            <w:vAlign w:val="center"/>
          </w:tcPr>
          <w:p w14:paraId="5449A39B" w14:textId="77777777" w:rsidR="002E2767" w:rsidRPr="00ED25CF" w:rsidRDefault="002E2767" w:rsidP="002E2767">
            <w:pPr>
              <w:widowControl/>
              <w:spacing w:before="40" w:after="40"/>
              <w:jc w:val="left"/>
              <w:rPr>
                <w:sz w:val="6"/>
                <w:szCs w:val="6"/>
                <w:lang w:eastAsia="zh-CN"/>
              </w:rPr>
            </w:pPr>
          </w:p>
        </w:tc>
        <w:tc>
          <w:tcPr>
            <w:tcW w:w="2160" w:type="dxa"/>
            <w:tcBorders>
              <w:top w:val="single" w:sz="4" w:space="0" w:color="auto"/>
            </w:tcBorders>
            <w:vAlign w:val="center"/>
          </w:tcPr>
          <w:p w14:paraId="28166021" w14:textId="77777777" w:rsidR="002E2767" w:rsidRPr="00ED25CF" w:rsidRDefault="002E2767" w:rsidP="002E2767">
            <w:pPr>
              <w:widowControl/>
              <w:spacing w:before="40" w:after="40"/>
              <w:jc w:val="center"/>
              <w:rPr>
                <w:sz w:val="6"/>
                <w:szCs w:val="6"/>
                <w:lang w:eastAsia="zh-CN"/>
              </w:rPr>
            </w:pPr>
          </w:p>
        </w:tc>
        <w:tc>
          <w:tcPr>
            <w:tcW w:w="1170" w:type="dxa"/>
            <w:tcBorders>
              <w:top w:val="single" w:sz="4" w:space="0" w:color="auto"/>
            </w:tcBorders>
            <w:vAlign w:val="center"/>
          </w:tcPr>
          <w:p w14:paraId="7D729E43" w14:textId="77777777" w:rsidR="002E2767" w:rsidRPr="00ED25CF" w:rsidRDefault="002E2767" w:rsidP="002E2767">
            <w:pPr>
              <w:widowControl/>
              <w:spacing w:before="40" w:after="40"/>
              <w:jc w:val="center"/>
              <w:rPr>
                <w:sz w:val="6"/>
                <w:szCs w:val="6"/>
                <w:lang w:eastAsia="zh-CN"/>
              </w:rPr>
            </w:pPr>
          </w:p>
        </w:tc>
        <w:tc>
          <w:tcPr>
            <w:tcW w:w="1260" w:type="dxa"/>
            <w:tcBorders>
              <w:top w:val="single" w:sz="4" w:space="0" w:color="auto"/>
            </w:tcBorders>
            <w:vAlign w:val="center"/>
          </w:tcPr>
          <w:p w14:paraId="312E6D19" w14:textId="77777777" w:rsidR="002E2767" w:rsidRPr="00ED25CF" w:rsidRDefault="002E2767" w:rsidP="002E2767">
            <w:pPr>
              <w:widowControl/>
              <w:spacing w:before="40" w:after="40"/>
              <w:jc w:val="center"/>
              <w:rPr>
                <w:sz w:val="6"/>
                <w:szCs w:val="6"/>
                <w:lang w:eastAsia="zh-CN"/>
              </w:rPr>
            </w:pPr>
          </w:p>
        </w:tc>
        <w:tc>
          <w:tcPr>
            <w:tcW w:w="1076" w:type="dxa"/>
            <w:tcBorders>
              <w:top w:val="single" w:sz="4" w:space="0" w:color="auto"/>
            </w:tcBorders>
          </w:tcPr>
          <w:p w14:paraId="5D1C1C31" w14:textId="77777777" w:rsidR="002E2767" w:rsidRPr="00ED25CF" w:rsidRDefault="002E2767" w:rsidP="002E2767">
            <w:pPr>
              <w:widowControl/>
              <w:spacing w:before="40" w:after="40"/>
              <w:jc w:val="center"/>
              <w:rPr>
                <w:sz w:val="6"/>
                <w:szCs w:val="6"/>
                <w:lang w:eastAsia="zh-CN"/>
              </w:rPr>
            </w:pPr>
          </w:p>
        </w:tc>
        <w:tc>
          <w:tcPr>
            <w:tcW w:w="1264" w:type="dxa"/>
            <w:tcBorders>
              <w:top w:val="single" w:sz="4" w:space="0" w:color="auto"/>
            </w:tcBorders>
            <w:vAlign w:val="center"/>
          </w:tcPr>
          <w:p w14:paraId="1A7261EA" w14:textId="77777777" w:rsidR="002E2767" w:rsidRPr="00ED25CF" w:rsidRDefault="002E2767" w:rsidP="002E2767">
            <w:pPr>
              <w:widowControl/>
              <w:spacing w:before="40" w:after="40"/>
              <w:jc w:val="center"/>
              <w:rPr>
                <w:sz w:val="6"/>
                <w:szCs w:val="6"/>
                <w:lang w:eastAsia="zh-CN"/>
              </w:rPr>
            </w:pPr>
          </w:p>
        </w:tc>
      </w:tr>
      <w:tr w:rsidR="002E2767" w:rsidRPr="00F80A16" w14:paraId="65AD331D" w14:textId="77777777" w:rsidTr="002E2767">
        <w:tc>
          <w:tcPr>
            <w:tcW w:w="2515" w:type="dxa"/>
            <w:vAlign w:val="center"/>
          </w:tcPr>
          <w:p w14:paraId="27CBBA69" w14:textId="77777777" w:rsidR="002E2767" w:rsidRPr="00461063" w:rsidRDefault="002E2767" w:rsidP="002E2767">
            <w:pPr>
              <w:widowControl/>
              <w:spacing w:before="40" w:after="40"/>
              <w:jc w:val="left"/>
              <w:rPr>
                <w:b/>
                <w:i/>
                <w:sz w:val="19"/>
                <w:szCs w:val="19"/>
                <w:lang w:eastAsia="zh-CN"/>
              </w:rPr>
            </w:pPr>
            <w:r w:rsidRPr="00461063">
              <w:rPr>
                <w:b/>
                <w:i/>
                <w:sz w:val="19"/>
                <w:szCs w:val="19"/>
                <w:lang w:eastAsia="zh-CN"/>
              </w:rPr>
              <w:t>International Equities</w:t>
            </w:r>
          </w:p>
        </w:tc>
        <w:tc>
          <w:tcPr>
            <w:tcW w:w="2160" w:type="dxa"/>
            <w:vAlign w:val="center"/>
          </w:tcPr>
          <w:p w14:paraId="4DBB0B5C" w14:textId="77777777" w:rsidR="002E2767" w:rsidRPr="00461063" w:rsidRDefault="002E2767" w:rsidP="002E2767">
            <w:pPr>
              <w:widowControl/>
              <w:spacing w:before="40" w:after="40"/>
              <w:jc w:val="center"/>
              <w:rPr>
                <w:b/>
                <w:i/>
                <w:sz w:val="19"/>
                <w:szCs w:val="19"/>
                <w:lang w:eastAsia="zh-CN"/>
              </w:rPr>
            </w:pPr>
          </w:p>
        </w:tc>
        <w:tc>
          <w:tcPr>
            <w:tcW w:w="1170" w:type="dxa"/>
            <w:vAlign w:val="center"/>
          </w:tcPr>
          <w:p w14:paraId="1BAFB1A0" w14:textId="77777777" w:rsidR="002E2767" w:rsidRPr="00461063" w:rsidRDefault="002E2767" w:rsidP="002E2767">
            <w:pPr>
              <w:widowControl/>
              <w:spacing w:before="40" w:after="40"/>
              <w:jc w:val="center"/>
              <w:rPr>
                <w:b/>
                <w:i/>
                <w:sz w:val="19"/>
                <w:szCs w:val="19"/>
                <w:lang w:eastAsia="zh-CN"/>
              </w:rPr>
            </w:pPr>
          </w:p>
        </w:tc>
        <w:tc>
          <w:tcPr>
            <w:tcW w:w="1260" w:type="dxa"/>
            <w:vAlign w:val="center"/>
          </w:tcPr>
          <w:p w14:paraId="3E3DFB80" w14:textId="77777777" w:rsidR="002E2767" w:rsidRPr="00461063" w:rsidRDefault="002E2767" w:rsidP="002E2767">
            <w:pPr>
              <w:widowControl/>
              <w:spacing w:before="40" w:after="40"/>
              <w:jc w:val="center"/>
              <w:rPr>
                <w:b/>
                <w:i/>
                <w:sz w:val="19"/>
                <w:szCs w:val="19"/>
                <w:lang w:eastAsia="zh-CN"/>
              </w:rPr>
            </w:pPr>
          </w:p>
        </w:tc>
        <w:tc>
          <w:tcPr>
            <w:tcW w:w="1076" w:type="dxa"/>
          </w:tcPr>
          <w:p w14:paraId="6AE63610" w14:textId="77777777" w:rsidR="002E2767" w:rsidRPr="00461063" w:rsidRDefault="002E2767" w:rsidP="002E2767">
            <w:pPr>
              <w:widowControl/>
              <w:spacing w:before="40" w:after="40"/>
              <w:jc w:val="center"/>
              <w:rPr>
                <w:b/>
                <w:i/>
                <w:sz w:val="19"/>
                <w:szCs w:val="19"/>
                <w:lang w:eastAsia="zh-CN"/>
              </w:rPr>
            </w:pPr>
          </w:p>
        </w:tc>
        <w:tc>
          <w:tcPr>
            <w:tcW w:w="1264" w:type="dxa"/>
            <w:vAlign w:val="center"/>
          </w:tcPr>
          <w:p w14:paraId="1CB4F87A" w14:textId="77777777" w:rsidR="002E2767" w:rsidRPr="00461063" w:rsidRDefault="002E2767" w:rsidP="002E2767">
            <w:pPr>
              <w:widowControl/>
              <w:spacing w:before="40" w:after="40"/>
              <w:jc w:val="center"/>
              <w:rPr>
                <w:b/>
                <w:i/>
                <w:sz w:val="19"/>
                <w:szCs w:val="19"/>
                <w:lang w:eastAsia="zh-CN"/>
              </w:rPr>
            </w:pPr>
          </w:p>
        </w:tc>
      </w:tr>
      <w:tr w:rsidR="002E2767" w:rsidRPr="00F80A16" w14:paraId="3BD71AFF" w14:textId="77777777" w:rsidTr="002E2767">
        <w:tc>
          <w:tcPr>
            <w:tcW w:w="2515" w:type="dxa"/>
            <w:vAlign w:val="center"/>
          </w:tcPr>
          <w:p w14:paraId="408ED4B9" w14:textId="77777777" w:rsidR="002E2767" w:rsidRPr="00461063" w:rsidRDefault="002E2767" w:rsidP="002E2767">
            <w:pPr>
              <w:widowControl/>
              <w:spacing w:before="40" w:after="40"/>
              <w:jc w:val="left"/>
              <w:rPr>
                <w:sz w:val="19"/>
                <w:szCs w:val="19"/>
                <w:lang w:eastAsia="zh-CN"/>
              </w:rPr>
            </w:pPr>
            <w:r w:rsidRPr="00461063">
              <w:rPr>
                <w:sz w:val="19"/>
                <w:szCs w:val="19"/>
                <w:lang w:val="en-US"/>
              </w:rPr>
              <w:t>International Equities, Unhedged</w:t>
            </w:r>
          </w:p>
        </w:tc>
        <w:tc>
          <w:tcPr>
            <w:tcW w:w="2160" w:type="dxa"/>
            <w:vAlign w:val="center"/>
          </w:tcPr>
          <w:p w14:paraId="42839A58" w14:textId="77777777" w:rsidR="002E2767" w:rsidRPr="00461063" w:rsidRDefault="002E2767" w:rsidP="002E2767">
            <w:pPr>
              <w:widowControl/>
              <w:spacing w:before="40" w:after="40"/>
              <w:jc w:val="center"/>
              <w:rPr>
                <w:sz w:val="19"/>
                <w:szCs w:val="19"/>
                <w:lang w:eastAsia="zh-CN"/>
              </w:rPr>
            </w:pPr>
            <w:r w:rsidRPr="00461063">
              <w:rPr>
                <w:sz w:val="19"/>
                <w:szCs w:val="19"/>
                <w:lang w:val="en-US"/>
              </w:rPr>
              <w:t>Vanguard International Shares Index</w:t>
            </w:r>
          </w:p>
        </w:tc>
        <w:tc>
          <w:tcPr>
            <w:tcW w:w="1170" w:type="dxa"/>
            <w:vAlign w:val="center"/>
          </w:tcPr>
          <w:p w14:paraId="4DC4F357" w14:textId="77777777" w:rsidR="002E2767" w:rsidRPr="00461063" w:rsidRDefault="002E2767" w:rsidP="002E2767">
            <w:pPr>
              <w:widowControl/>
              <w:spacing w:before="40" w:after="40"/>
              <w:jc w:val="center"/>
              <w:rPr>
                <w:sz w:val="19"/>
                <w:szCs w:val="19"/>
                <w:lang w:eastAsia="zh-CN"/>
              </w:rPr>
            </w:pPr>
            <w:r w:rsidRPr="00461063">
              <w:rPr>
                <w:sz w:val="19"/>
                <w:szCs w:val="19"/>
              </w:rPr>
              <w:t>61,974</w:t>
            </w:r>
          </w:p>
        </w:tc>
        <w:tc>
          <w:tcPr>
            <w:tcW w:w="1260" w:type="dxa"/>
            <w:vAlign w:val="center"/>
          </w:tcPr>
          <w:p w14:paraId="17B8347D" w14:textId="77777777" w:rsidR="002E2767" w:rsidRPr="00461063" w:rsidRDefault="002E2767" w:rsidP="002E2767">
            <w:pPr>
              <w:widowControl/>
              <w:spacing w:before="40" w:after="40"/>
              <w:jc w:val="center"/>
              <w:rPr>
                <w:sz w:val="19"/>
                <w:szCs w:val="19"/>
              </w:rPr>
            </w:pPr>
            <w:r w:rsidRPr="00461063">
              <w:rPr>
                <w:sz w:val="19"/>
                <w:szCs w:val="19"/>
              </w:rPr>
              <w:t xml:space="preserve">64,390 </w:t>
            </w:r>
          </w:p>
        </w:tc>
        <w:tc>
          <w:tcPr>
            <w:tcW w:w="1076" w:type="dxa"/>
            <w:vAlign w:val="center"/>
          </w:tcPr>
          <w:p w14:paraId="10C257C2" w14:textId="77777777" w:rsidR="002E2767" w:rsidRPr="00461063" w:rsidRDefault="002E2767" w:rsidP="002E2767">
            <w:pPr>
              <w:widowControl/>
              <w:spacing w:before="40" w:after="40"/>
              <w:jc w:val="center"/>
              <w:rPr>
                <w:sz w:val="19"/>
                <w:szCs w:val="19"/>
                <w:lang w:val="en-US"/>
              </w:rPr>
            </w:pPr>
            <w:r w:rsidRPr="00461063">
              <w:rPr>
                <w:sz w:val="19"/>
                <w:szCs w:val="19"/>
                <w:lang w:val="en-US"/>
              </w:rPr>
              <w:t>10</w:t>
            </w:r>
          </w:p>
        </w:tc>
        <w:tc>
          <w:tcPr>
            <w:tcW w:w="1264" w:type="dxa"/>
            <w:vAlign w:val="center"/>
          </w:tcPr>
          <w:p w14:paraId="0AAD77BC" w14:textId="77777777" w:rsidR="002E2767" w:rsidRPr="00461063" w:rsidRDefault="002E2767" w:rsidP="002E2767">
            <w:pPr>
              <w:widowControl/>
              <w:spacing w:before="40" w:after="40"/>
              <w:jc w:val="center"/>
              <w:rPr>
                <w:sz w:val="19"/>
                <w:szCs w:val="19"/>
                <w:lang w:eastAsia="zh-CN"/>
              </w:rPr>
            </w:pPr>
            <w:r w:rsidRPr="00461063">
              <w:rPr>
                <w:sz w:val="19"/>
                <w:szCs w:val="19"/>
                <w:lang w:val="en-US"/>
              </w:rPr>
              <w:t>10.2</w:t>
            </w:r>
          </w:p>
        </w:tc>
      </w:tr>
      <w:tr w:rsidR="002E2767" w:rsidRPr="00F80A16" w14:paraId="7A945432" w14:textId="77777777" w:rsidTr="002E2767">
        <w:tc>
          <w:tcPr>
            <w:tcW w:w="2515" w:type="dxa"/>
            <w:tcBorders>
              <w:bottom w:val="single" w:sz="4" w:space="0" w:color="auto"/>
            </w:tcBorders>
            <w:vAlign w:val="center"/>
          </w:tcPr>
          <w:p w14:paraId="46338F37" w14:textId="77777777" w:rsidR="002E2767" w:rsidRPr="00461063" w:rsidRDefault="002E2767" w:rsidP="002E2767">
            <w:pPr>
              <w:widowControl/>
              <w:spacing w:before="40" w:after="40"/>
              <w:jc w:val="left"/>
              <w:rPr>
                <w:sz w:val="19"/>
                <w:szCs w:val="19"/>
                <w:lang w:eastAsia="zh-CN"/>
              </w:rPr>
            </w:pPr>
            <w:r w:rsidRPr="00461063">
              <w:rPr>
                <w:sz w:val="19"/>
                <w:szCs w:val="19"/>
                <w:lang w:val="en-US"/>
              </w:rPr>
              <w:t>International Equities, Hedged</w:t>
            </w:r>
          </w:p>
        </w:tc>
        <w:tc>
          <w:tcPr>
            <w:tcW w:w="2160" w:type="dxa"/>
            <w:tcBorders>
              <w:bottom w:val="single" w:sz="4" w:space="0" w:color="auto"/>
            </w:tcBorders>
            <w:vAlign w:val="center"/>
          </w:tcPr>
          <w:p w14:paraId="4309FE02" w14:textId="77777777" w:rsidR="002E2767" w:rsidRPr="00461063" w:rsidRDefault="002E2767" w:rsidP="002E2767">
            <w:pPr>
              <w:widowControl/>
              <w:spacing w:before="40" w:after="40"/>
              <w:jc w:val="center"/>
              <w:rPr>
                <w:sz w:val="19"/>
                <w:szCs w:val="19"/>
                <w:lang w:eastAsia="zh-CN"/>
              </w:rPr>
            </w:pPr>
            <w:r w:rsidRPr="00461063">
              <w:rPr>
                <w:sz w:val="19"/>
                <w:szCs w:val="19"/>
                <w:lang w:val="en-US"/>
              </w:rPr>
              <w:t>Vanguard International Shares Index, Hedged</w:t>
            </w:r>
          </w:p>
        </w:tc>
        <w:tc>
          <w:tcPr>
            <w:tcW w:w="1170" w:type="dxa"/>
            <w:tcBorders>
              <w:bottom w:val="single" w:sz="4" w:space="0" w:color="auto"/>
            </w:tcBorders>
            <w:vAlign w:val="center"/>
          </w:tcPr>
          <w:p w14:paraId="71626213" w14:textId="77777777" w:rsidR="002E2767" w:rsidRPr="00461063" w:rsidRDefault="002E2767" w:rsidP="002E2767">
            <w:pPr>
              <w:widowControl/>
              <w:spacing w:before="40" w:after="40"/>
              <w:jc w:val="center"/>
              <w:rPr>
                <w:sz w:val="19"/>
                <w:szCs w:val="19"/>
                <w:lang w:eastAsia="zh-CN"/>
              </w:rPr>
            </w:pPr>
            <w:r w:rsidRPr="00461063">
              <w:rPr>
                <w:sz w:val="19"/>
                <w:szCs w:val="19"/>
              </w:rPr>
              <w:t>62,190</w:t>
            </w:r>
          </w:p>
        </w:tc>
        <w:tc>
          <w:tcPr>
            <w:tcW w:w="1260" w:type="dxa"/>
            <w:tcBorders>
              <w:bottom w:val="single" w:sz="4" w:space="0" w:color="auto"/>
            </w:tcBorders>
            <w:vAlign w:val="center"/>
          </w:tcPr>
          <w:p w14:paraId="66595A74" w14:textId="77777777" w:rsidR="002E2767" w:rsidRPr="00461063" w:rsidRDefault="002E2767" w:rsidP="002E2767">
            <w:pPr>
              <w:widowControl/>
              <w:spacing w:before="40" w:after="40"/>
              <w:jc w:val="center"/>
              <w:rPr>
                <w:sz w:val="19"/>
                <w:szCs w:val="19"/>
              </w:rPr>
            </w:pPr>
            <w:r w:rsidRPr="00461063">
              <w:rPr>
                <w:sz w:val="19"/>
                <w:szCs w:val="19"/>
              </w:rPr>
              <w:t xml:space="preserve">62,696 </w:t>
            </w:r>
          </w:p>
        </w:tc>
        <w:tc>
          <w:tcPr>
            <w:tcW w:w="1076" w:type="dxa"/>
            <w:tcBorders>
              <w:bottom w:val="single" w:sz="4" w:space="0" w:color="auto"/>
            </w:tcBorders>
            <w:vAlign w:val="center"/>
          </w:tcPr>
          <w:p w14:paraId="0CEFEF2F" w14:textId="77777777" w:rsidR="002E2767" w:rsidRPr="00461063" w:rsidRDefault="002E2767" w:rsidP="002E2767">
            <w:pPr>
              <w:widowControl/>
              <w:spacing w:before="40" w:after="40"/>
              <w:jc w:val="center"/>
              <w:rPr>
                <w:sz w:val="19"/>
                <w:szCs w:val="19"/>
                <w:lang w:val="en-US"/>
              </w:rPr>
            </w:pPr>
            <w:r w:rsidRPr="00461063">
              <w:rPr>
                <w:sz w:val="19"/>
                <w:szCs w:val="19"/>
                <w:lang w:val="en-US"/>
              </w:rPr>
              <w:t>10</w:t>
            </w:r>
          </w:p>
        </w:tc>
        <w:tc>
          <w:tcPr>
            <w:tcW w:w="1264" w:type="dxa"/>
            <w:tcBorders>
              <w:bottom w:val="single" w:sz="4" w:space="0" w:color="auto"/>
            </w:tcBorders>
            <w:vAlign w:val="center"/>
          </w:tcPr>
          <w:p w14:paraId="6BB785C9" w14:textId="77777777" w:rsidR="002E2767" w:rsidRPr="00461063" w:rsidRDefault="002E2767" w:rsidP="002E2767">
            <w:pPr>
              <w:widowControl/>
              <w:spacing w:before="40" w:after="40"/>
              <w:jc w:val="center"/>
              <w:rPr>
                <w:sz w:val="19"/>
                <w:szCs w:val="19"/>
                <w:lang w:eastAsia="zh-CN"/>
              </w:rPr>
            </w:pPr>
            <w:r w:rsidRPr="00461063">
              <w:rPr>
                <w:sz w:val="19"/>
                <w:szCs w:val="19"/>
                <w:lang w:val="en-US"/>
              </w:rPr>
              <w:t>9.9</w:t>
            </w:r>
          </w:p>
        </w:tc>
      </w:tr>
      <w:tr w:rsidR="002E2767" w:rsidRPr="00F80A16" w14:paraId="7D19C4CA" w14:textId="77777777" w:rsidTr="002E2767">
        <w:tc>
          <w:tcPr>
            <w:tcW w:w="2515" w:type="dxa"/>
            <w:tcBorders>
              <w:top w:val="single" w:sz="4" w:space="0" w:color="auto"/>
              <w:bottom w:val="single" w:sz="4" w:space="0" w:color="auto"/>
            </w:tcBorders>
            <w:vAlign w:val="center"/>
          </w:tcPr>
          <w:p w14:paraId="276EFCD3" w14:textId="77777777" w:rsidR="002E2767" w:rsidRPr="00461063" w:rsidRDefault="002E2767" w:rsidP="002E2767">
            <w:pPr>
              <w:widowControl/>
              <w:spacing w:before="40" w:after="40"/>
              <w:jc w:val="left"/>
              <w:rPr>
                <w:b/>
                <w:i/>
                <w:sz w:val="19"/>
                <w:szCs w:val="19"/>
                <w:lang w:eastAsia="zh-CN"/>
              </w:rPr>
            </w:pPr>
            <w:r w:rsidRPr="00461063">
              <w:rPr>
                <w:b/>
                <w:i/>
                <w:sz w:val="19"/>
                <w:szCs w:val="19"/>
                <w:lang w:eastAsia="zh-CN"/>
              </w:rPr>
              <w:t>Total International Equities</w:t>
            </w:r>
          </w:p>
        </w:tc>
        <w:tc>
          <w:tcPr>
            <w:tcW w:w="2160" w:type="dxa"/>
            <w:tcBorders>
              <w:top w:val="single" w:sz="4" w:space="0" w:color="auto"/>
              <w:bottom w:val="single" w:sz="4" w:space="0" w:color="auto"/>
            </w:tcBorders>
            <w:vAlign w:val="center"/>
          </w:tcPr>
          <w:p w14:paraId="67E5EB77" w14:textId="77777777" w:rsidR="002E2767" w:rsidRPr="00461063" w:rsidRDefault="002E2767" w:rsidP="002E2767">
            <w:pPr>
              <w:widowControl/>
              <w:spacing w:before="40" w:after="40"/>
              <w:jc w:val="center"/>
              <w:rPr>
                <w:b/>
                <w:i/>
                <w:sz w:val="19"/>
                <w:szCs w:val="19"/>
                <w:lang w:eastAsia="zh-CN"/>
              </w:rPr>
            </w:pPr>
          </w:p>
        </w:tc>
        <w:tc>
          <w:tcPr>
            <w:tcW w:w="1170" w:type="dxa"/>
            <w:tcBorders>
              <w:top w:val="single" w:sz="4" w:space="0" w:color="auto"/>
              <w:bottom w:val="single" w:sz="4" w:space="0" w:color="auto"/>
            </w:tcBorders>
            <w:vAlign w:val="center"/>
          </w:tcPr>
          <w:p w14:paraId="7A8712A3" w14:textId="77777777" w:rsidR="002E2767" w:rsidRPr="00461063" w:rsidRDefault="002E2767" w:rsidP="002E2767">
            <w:pPr>
              <w:widowControl/>
              <w:spacing w:before="40" w:after="40"/>
              <w:jc w:val="center"/>
              <w:rPr>
                <w:b/>
                <w:i/>
                <w:sz w:val="19"/>
                <w:szCs w:val="19"/>
                <w:lang w:eastAsia="zh-CN"/>
              </w:rPr>
            </w:pPr>
          </w:p>
        </w:tc>
        <w:tc>
          <w:tcPr>
            <w:tcW w:w="1260" w:type="dxa"/>
            <w:tcBorders>
              <w:top w:val="single" w:sz="4" w:space="0" w:color="auto"/>
              <w:bottom w:val="single" w:sz="4" w:space="0" w:color="auto"/>
            </w:tcBorders>
            <w:vAlign w:val="center"/>
          </w:tcPr>
          <w:p w14:paraId="2AE2F253" w14:textId="77777777" w:rsidR="002E2767" w:rsidRPr="00461063" w:rsidRDefault="002E2767" w:rsidP="002E2767">
            <w:pPr>
              <w:widowControl/>
              <w:spacing w:before="40" w:after="40"/>
              <w:jc w:val="center"/>
              <w:rPr>
                <w:b/>
                <w:i/>
                <w:sz w:val="19"/>
                <w:szCs w:val="19"/>
                <w:lang w:eastAsia="zh-CN"/>
              </w:rPr>
            </w:pPr>
          </w:p>
        </w:tc>
        <w:tc>
          <w:tcPr>
            <w:tcW w:w="1076" w:type="dxa"/>
            <w:tcBorders>
              <w:top w:val="single" w:sz="4" w:space="0" w:color="auto"/>
              <w:bottom w:val="single" w:sz="4" w:space="0" w:color="auto"/>
            </w:tcBorders>
            <w:vAlign w:val="center"/>
          </w:tcPr>
          <w:p w14:paraId="5F771E69" w14:textId="77777777" w:rsidR="002E2767" w:rsidRPr="00461063" w:rsidRDefault="002E2767" w:rsidP="002E2767">
            <w:pPr>
              <w:widowControl/>
              <w:spacing w:before="40" w:after="40"/>
              <w:jc w:val="center"/>
              <w:rPr>
                <w:b/>
                <w:i/>
                <w:sz w:val="19"/>
                <w:szCs w:val="19"/>
                <w:lang w:eastAsia="zh-CN"/>
              </w:rPr>
            </w:pPr>
            <w:r w:rsidRPr="00461063">
              <w:rPr>
                <w:b/>
                <w:i/>
                <w:sz w:val="19"/>
                <w:szCs w:val="19"/>
                <w:lang w:eastAsia="zh-CN"/>
              </w:rPr>
              <w:t>20</w:t>
            </w:r>
          </w:p>
        </w:tc>
        <w:tc>
          <w:tcPr>
            <w:tcW w:w="1264" w:type="dxa"/>
            <w:tcBorders>
              <w:top w:val="single" w:sz="4" w:space="0" w:color="auto"/>
              <w:bottom w:val="single" w:sz="4" w:space="0" w:color="auto"/>
            </w:tcBorders>
            <w:vAlign w:val="center"/>
          </w:tcPr>
          <w:p w14:paraId="77D68E30" w14:textId="77777777" w:rsidR="002E2767" w:rsidRPr="00461063" w:rsidRDefault="002E2767" w:rsidP="002E2767">
            <w:pPr>
              <w:widowControl/>
              <w:spacing w:before="40" w:after="40"/>
              <w:jc w:val="center"/>
              <w:rPr>
                <w:b/>
                <w:i/>
                <w:sz w:val="19"/>
                <w:szCs w:val="19"/>
                <w:lang w:eastAsia="zh-CN"/>
              </w:rPr>
            </w:pPr>
            <w:r w:rsidRPr="00461063">
              <w:rPr>
                <w:b/>
                <w:i/>
                <w:sz w:val="19"/>
                <w:szCs w:val="19"/>
                <w:lang w:eastAsia="zh-CN"/>
              </w:rPr>
              <w:t>20.1</w:t>
            </w:r>
          </w:p>
        </w:tc>
      </w:tr>
      <w:tr w:rsidR="002E2767" w:rsidRPr="00F80A16" w14:paraId="46D081D8" w14:textId="77777777" w:rsidTr="002E2767">
        <w:tc>
          <w:tcPr>
            <w:tcW w:w="2515" w:type="dxa"/>
            <w:tcBorders>
              <w:top w:val="single" w:sz="4" w:space="0" w:color="auto"/>
              <w:bottom w:val="single" w:sz="4" w:space="0" w:color="auto"/>
            </w:tcBorders>
            <w:vAlign w:val="center"/>
          </w:tcPr>
          <w:p w14:paraId="609F753D" w14:textId="77777777" w:rsidR="002E2767" w:rsidRPr="00461063" w:rsidRDefault="002E2767" w:rsidP="002E2767">
            <w:pPr>
              <w:widowControl/>
              <w:spacing w:before="40" w:after="40"/>
              <w:jc w:val="left"/>
              <w:rPr>
                <w:b/>
                <w:sz w:val="19"/>
                <w:szCs w:val="19"/>
                <w:lang w:eastAsia="zh-CN"/>
              </w:rPr>
            </w:pPr>
            <w:r w:rsidRPr="00461063">
              <w:rPr>
                <w:b/>
                <w:sz w:val="19"/>
                <w:szCs w:val="19"/>
                <w:lang w:eastAsia="zh-CN"/>
              </w:rPr>
              <w:t>Total Equities</w:t>
            </w:r>
          </w:p>
        </w:tc>
        <w:tc>
          <w:tcPr>
            <w:tcW w:w="2160" w:type="dxa"/>
            <w:tcBorders>
              <w:top w:val="single" w:sz="4" w:space="0" w:color="auto"/>
              <w:bottom w:val="single" w:sz="4" w:space="0" w:color="auto"/>
            </w:tcBorders>
            <w:vAlign w:val="center"/>
          </w:tcPr>
          <w:p w14:paraId="606188BD" w14:textId="77777777" w:rsidR="002E2767" w:rsidRPr="00461063" w:rsidRDefault="002E2767" w:rsidP="002E2767">
            <w:pPr>
              <w:widowControl/>
              <w:spacing w:before="40" w:after="40"/>
              <w:jc w:val="center"/>
              <w:rPr>
                <w:b/>
                <w:sz w:val="19"/>
                <w:szCs w:val="19"/>
                <w:lang w:eastAsia="zh-CN"/>
              </w:rPr>
            </w:pPr>
          </w:p>
        </w:tc>
        <w:tc>
          <w:tcPr>
            <w:tcW w:w="1170" w:type="dxa"/>
            <w:tcBorders>
              <w:top w:val="single" w:sz="4" w:space="0" w:color="auto"/>
              <w:bottom w:val="single" w:sz="4" w:space="0" w:color="auto"/>
            </w:tcBorders>
            <w:vAlign w:val="center"/>
          </w:tcPr>
          <w:p w14:paraId="18C7A3DD" w14:textId="77777777" w:rsidR="002E2767" w:rsidRPr="00461063" w:rsidRDefault="002E2767" w:rsidP="002E2767">
            <w:pPr>
              <w:widowControl/>
              <w:spacing w:before="40" w:after="40"/>
              <w:jc w:val="center"/>
              <w:rPr>
                <w:b/>
                <w:sz w:val="19"/>
                <w:szCs w:val="19"/>
                <w:lang w:eastAsia="zh-CN"/>
              </w:rPr>
            </w:pPr>
          </w:p>
        </w:tc>
        <w:tc>
          <w:tcPr>
            <w:tcW w:w="1260" w:type="dxa"/>
            <w:tcBorders>
              <w:top w:val="single" w:sz="4" w:space="0" w:color="auto"/>
              <w:bottom w:val="single" w:sz="4" w:space="0" w:color="auto"/>
            </w:tcBorders>
            <w:vAlign w:val="center"/>
          </w:tcPr>
          <w:p w14:paraId="3DE609A9" w14:textId="77777777" w:rsidR="002E2767" w:rsidRPr="00461063" w:rsidRDefault="002E2767" w:rsidP="002E2767">
            <w:pPr>
              <w:widowControl/>
              <w:spacing w:before="40" w:after="40"/>
              <w:jc w:val="center"/>
              <w:rPr>
                <w:b/>
                <w:sz w:val="19"/>
                <w:szCs w:val="19"/>
                <w:lang w:eastAsia="zh-CN"/>
              </w:rPr>
            </w:pPr>
          </w:p>
        </w:tc>
        <w:tc>
          <w:tcPr>
            <w:tcW w:w="1076" w:type="dxa"/>
            <w:tcBorders>
              <w:top w:val="single" w:sz="4" w:space="0" w:color="auto"/>
              <w:bottom w:val="single" w:sz="4" w:space="0" w:color="auto"/>
            </w:tcBorders>
          </w:tcPr>
          <w:p w14:paraId="3D0D70F6" w14:textId="77777777" w:rsidR="002E2767" w:rsidRPr="00461063" w:rsidRDefault="002E2767" w:rsidP="002E2767">
            <w:pPr>
              <w:widowControl/>
              <w:spacing w:before="40" w:after="40"/>
              <w:jc w:val="center"/>
              <w:rPr>
                <w:b/>
                <w:sz w:val="19"/>
                <w:szCs w:val="19"/>
                <w:lang w:eastAsia="zh-CN"/>
              </w:rPr>
            </w:pPr>
            <w:r w:rsidRPr="00461063">
              <w:rPr>
                <w:b/>
                <w:sz w:val="19"/>
                <w:szCs w:val="19"/>
                <w:lang w:eastAsia="zh-CN"/>
              </w:rPr>
              <w:t>80</w:t>
            </w:r>
          </w:p>
        </w:tc>
        <w:tc>
          <w:tcPr>
            <w:tcW w:w="1264" w:type="dxa"/>
            <w:tcBorders>
              <w:top w:val="single" w:sz="4" w:space="0" w:color="auto"/>
              <w:bottom w:val="single" w:sz="4" w:space="0" w:color="auto"/>
            </w:tcBorders>
            <w:vAlign w:val="center"/>
          </w:tcPr>
          <w:p w14:paraId="47B35BAB" w14:textId="77777777" w:rsidR="002E2767" w:rsidRPr="00461063" w:rsidRDefault="002E2767" w:rsidP="002E2767">
            <w:pPr>
              <w:widowControl/>
              <w:spacing w:before="40" w:after="40"/>
              <w:jc w:val="center"/>
              <w:rPr>
                <w:b/>
                <w:sz w:val="19"/>
                <w:szCs w:val="19"/>
                <w:lang w:eastAsia="zh-CN"/>
              </w:rPr>
            </w:pPr>
            <w:r w:rsidRPr="00461063">
              <w:rPr>
                <w:b/>
                <w:sz w:val="19"/>
                <w:szCs w:val="19"/>
                <w:lang w:eastAsia="zh-CN"/>
              </w:rPr>
              <w:t>78.5</w:t>
            </w:r>
          </w:p>
        </w:tc>
      </w:tr>
      <w:tr w:rsidR="002E2767" w:rsidRPr="00F80A16" w14:paraId="0CCA7819" w14:textId="77777777" w:rsidTr="002E2767">
        <w:tc>
          <w:tcPr>
            <w:tcW w:w="2515" w:type="dxa"/>
            <w:tcBorders>
              <w:top w:val="single" w:sz="4" w:space="0" w:color="auto"/>
            </w:tcBorders>
            <w:vAlign w:val="center"/>
          </w:tcPr>
          <w:p w14:paraId="48120353" w14:textId="77777777" w:rsidR="002E2767" w:rsidRPr="00ED25CF" w:rsidRDefault="002E2767" w:rsidP="002E2767">
            <w:pPr>
              <w:widowControl/>
              <w:spacing w:before="40" w:after="40"/>
              <w:jc w:val="left"/>
              <w:rPr>
                <w:sz w:val="6"/>
                <w:szCs w:val="6"/>
                <w:lang w:eastAsia="zh-CN"/>
              </w:rPr>
            </w:pPr>
          </w:p>
        </w:tc>
        <w:tc>
          <w:tcPr>
            <w:tcW w:w="2160" w:type="dxa"/>
            <w:tcBorders>
              <w:top w:val="single" w:sz="4" w:space="0" w:color="auto"/>
            </w:tcBorders>
            <w:vAlign w:val="center"/>
          </w:tcPr>
          <w:p w14:paraId="76166868" w14:textId="77777777" w:rsidR="002E2767" w:rsidRPr="00ED25CF" w:rsidRDefault="002E2767" w:rsidP="002E2767">
            <w:pPr>
              <w:widowControl/>
              <w:spacing w:before="40" w:after="40"/>
              <w:jc w:val="center"/>
              <w:rPr>
                <w:sz w:val="6"/>
                <w:szCs w:val="6"/>
                <w:lang w:eastAsia="zh-CN"/>
              </w:rPr>
            </w:pPr>
          </w:p>
        </w:tc>
        <w:tc>
          <w:tcPr>
            <w:tcW w:w="1170" w:type="dxa"/>
            <w:tcBorders>
              <w:top w:val="single" w:sz="4" w:space="0" w:color="auto"/>
            </w:tcBorders>
            <w:vAlign w:val="center"/>
          </w:tcPr>
          <w:p w14:paraId="54B05524" w14:textId="77777777" w:rsidR="002E2767" w:rsidRPr="00ED25CF" w:rsidRDefault="002E2767" w:rsidP="002E2767">
            <w:pPr>
              <w:widowControl/>
              <w:spacing w:before="40" w:after="40"/>
              <w:jc w:val="center"/>
              <w:rPr>
                <w:sz w:val="6"/>
                <w:szCs w:val="6"/>
                <w:lang w:eastAsia="zh-CN"/>
              </w:rPr>
            </w:pPr>
          </w:p>
        </w:tc>
        <w:tc>
          <w:tcPr>
            <w:tcW w:w="1260" w:type="dxa"/>
            <w:tcBorders>
              <w:top w:val="single" w:sz="4" w:space="0" w:color="auto"/>
            </w:tcBorders>
            <w:vAlign w:val="center"/>
          </w:tcPr>
          <w:p w14:paraId="0BBF2D8F" w14:textId="77777777" w:rsidR="002E2767" w:rsidRPr="00ED25CF" w:rsidRDefault="002E2767" w:rsidP="002E2767">
            <w:pPr>
              <w:widowControl/>
              <w:spacing w:before="40" w:after="40"/>
              <w:jc w:val="center"/>
              <w:rPr>
                <w:sz w:val="6"/>
                <w:szCs w:val="6"/>
                <w:lang w:eastAsia="zh-CN"/>
              </w:rPr>
            </w:pPr>
          </w:p>
        </w:tc>
        <w:tc>
          <w:tcPr>
            <w:tcW w:w="1076" w:type="dxa"/>
            <w:tcBorders>
              <w:top w:val="single" w:sz="4" w:space="0" w:color="auto"/>
            </w:tcBorders>
          </w:tcPr>
          <w:p w14:paraId="40437482" w14:textId="77777777" w:rsidR="002E2767" w:rsidRPr="00ED25CF" w:rsidRDefault="002E2767" w:rsidP="002E2767">
            <w:pPr>
              <w:widowControl/>
              <w:spacing w:before="40" w:after="40"/>
              <w:jc w:val="center"/>
              <w:rPr>
                <w:sz w:val="6"/>
                <w:szCs w:val="6"/>
                <w:lang w:eastAsia="zh-CN"/>
              </w:rPr>
            </w:pPr>
          </w:p>
        </w:tc>
        <w:tc>
          <w:tcPr>
            <w:tcW w:w="1264" w:type="dxa"/>
            <w:tcBorders>
              <w:top w:val="single" w:sz="4" w:space="0" w:color="auto"/>
            </w:tcBorders>
            <w:vAlign w:val="center"/>
          </w:tcPr>
          <w:p w14:paraId="76D9637C" w14:textId="77777777" w:rsidR="002E2767" w:rsidRPr="00ED25CF" w:rsidRDefault="002E2767" w:rsidP="002E2767">
            <w:pPr>
              <w:widowControl/>
              <w:spacing w:before="40" w:after="40"/>
              <w:jc w:val="center"/>
              <w:rPr>
                <w:sz w:val="6"/>
                <w:szCs w:val="6"/>
                <w:lang w:eastAsia="zh-CN"/>
              </w:rPr>
            </w:pPr>
          </w:p>
        </w:tc>
      </w:tr>
      <w:tr w:rsidR="002E2767" w:rsidRPr="00F80A16" w14:paraId="61D28ADA" w14:textId="77777777" w:rsidTr="002E2767">
        <w:tc>
          <w:tcPr>
            <w:tcW w:w="2515" w:type="dxa"/>
            <w:vAlign w:val="center"/>
          </w:tcPr>
          <w:p w14:paraId="4E6E07DC" w14:textId="77777777" w:rsidR="002E2767" w:rsidRPr="00461063" w:rsidRDefault="002E2767" w:rsidP="002E2767">
            <w:pPr>
              <w:widowControl/>
              <w:spacing w:before="40" w:after="40"/>
              <w:jc w:val="left"/>
              <w:rPr>
                <w:sz w:val="19"/>
                <w:szCs w:val="19"/>
                <w:lang w:val="en-US"/>
              </w:rPr>
            </w:pPr>
            <w:r w:rsidRPr="00461063">
              <w:rPr>
                <w:sz w:val="19"/>
                <w:szCs w:val="19"/>
                <w:lang w:val="en-US"/>
              </w:rPr>
              <w:t>Australian Fixed Income</w:t>
            </w:r>
          </w:p>
        </w:tc>
        <w:tc>
          <w:tcPr>
            <w:tcW w:w="2160" w:type="dxa"/>
            <w:vAlign w:val="center"/>
          </w:tcPr>
          <w:p w14:paraId="6E306646" w14:textId="77777777" w:rsidR="002E2767" w:rsidRPr="00461063" w:rsidRDefault="002E2767" w:rsidP="002E2767">
            <w:pPr>
              <w:widowControl/>
              <w:spacing w:before="40" w:after="40"/>
              <w:jc w:val="center"/>
              <w:rPr>
                <w:sz w:val="19"/>
                <w:szCs w:val="19"/>
                <w:lang w:val="en-US"/>
              </w:rPr>
            </w:pPr>
            <w:r w:rsidRPr="00461063">
              <w:rPr>
                <w:sz w:val="19"/>
                <w:szCs w:val="19"/>
                <w:lang w:val="en-US"/>
              </w:rPr>
              <w:t>Vanguard Australian Government Bond Index</w:t>
            </w:r>
          </w:p>
        </w:tc>
        <w:tc>
          <w:tcPr>
            <w:tcW w:w="1170" w:type="dxa"/>
            <w:vAlign w:val="center"/>
          </w:tcPr>
          <w:p w14:paraId="51D08616" w14:textId="77777777" w:rsidR="002E2767" w:rsidRPr="00461063" w:rsidRDefault="002E2767" w:rsidP="002E2767">
            <w:pPr>
              <w:widowControl/>
              <w:spacing w:before="40" w:after="40"/>
              <w:jc w:val="center"/>
              <w:rPr>
                <w:sz w:val="19"/>
                <w:szCs w:val="19"/>
                <w:lang w:val="en-US"/>
              </w:rPr>
            </w:pPr>
            <w:r w:rsidRPr="00461063">
              <w:rPr>
                <w:sz w:val="19"/>
                <w:szCs w:val="19"/>
              </w:rPr>
              <w:t>92,227</w:t>
            </w:r>
          </w:p>
        </w:tc>
        <w:tc>
          <w:tcPr>
            <w:tcW w:w="1260" w:type="dxa"/>
            <w:vAlign w:val="center"/>
          </w:tcPr>
          <w:p w14:paraId="47B4E12B" w14:textId="77777777" w:rsidR="002E2767" w:rsidRPr="00461063" w:rsidRDefault="002E2767" w:rsidP="002E2767">
            <w:pPr>
              <w:widowControl/>
              <w:spacing w:before="40" w:after="40"/>
              <w:jc w:val="center"/>
              <w:rPr>
                <w:sz w:val="19"/>
                <w:szCs w:val="19"/>
              </w:rPr>
            </w:pPr>
            <w:r w:rsidRPr="00461063">
              <w:rPr>
                <w:sz w:val="19"/>
                <w:szCs w:val="19"/>
              </w:rPr>
              <w:t>92,681</w:t>
            </w:r>
          </w:p>
        </w:tc>
        <w:tc>
          <w:tcPr>
            <w:tcW w:w="1076" w:type="dxa"/>
            <w:vAlign w:val="center"/>
          </w:tcPr>
          <w:p w14:paraId="012F0D09" w14:textId="77777777" w:rsidR="002E2767" w:rsidRPr="00461063" w:rsidRDefault="002E2767" w:rsidP="002E2767">
            <w:pPr>
              <w:widowControl/>
              <w:spacing w:before="40" w:after="40"/>
              <w:jc w:val="center"/>
              <w:rPr>
                <w:sz w:val="19"/>
                <w:szCs w:val="19"/>
                <w:lang w:val="en-US"/>
              </w:rPr>
            </w:pPr>
            <w:r w:rsidRPr="00461063">
              <w:rPr>
                <w:sz w:val="19"/>
                <w:szCs w:val="19"/>
                <w:lang w:val="en-US"/>
              </w:rPr>
              <w:t>15</w:t>
            </w:r>
          </w:p>
        </w:tc>
        <w:tc>
          <w:tcPr>
            <w:tcW w:w="1264" w:type="dxa"/>
            <w:vAlign w:val="center"/>
          </w:tcPr>
          <w:p w14:paraId="0513C0A7" w14:textId="77777777" w:rsidR="002E2767" w:rsidRPr="00461063" w:rsidRDefault="002E2767" w:rsidP="002E2767">
            <w:pPr>
              <w:widowControl/>
              <w:spacing w:before="40" w:after="40"/>
              <w:jc w:val="center"/>
              <w:rPr>
                <w:sz w:val="19"/>
                <w:szCs w:val="19"/>
                <w:lang w:val="en-US"/>
              </w:rPr>
            </w:pPr>
            <w:r w:rsidRPr="00461063">
              <w:rPr>
                <w:sz w:val="19"/>
                <w:szCs w:val="19"/>
                <w:lang w:val="en-US"/>
              </w:rPr>
              <w:t>14.7</w:t>
            </w:r>
          </w:p>
        </w:tc>
      </w:tr>
      <w:tr w:rsidR="002E2767" w:rsidRPr="00F80A16" w14:paraId="0539701C" w14:textId="77777777" w:rsidTr="002E2767">
        <w:tc>
          <w:tcPr>
            <w:tcW w:w="2515" w:type="dxa"/>
            <w:vAlign w:val="center"/>
          </w:tcPr>
          <w:p w14:paraId="6525BDC5" w14:textId="77777777" w:rsidR="002E2767" w:rsidRPr="00461063" w:rsidRDefault="002E2767" w:rsidP="002E2767">
            <w:pPr>
              <w:widowControl/>
              <w:spacing w:before="40" w:after="40"/>
              <w:jc w:val="left"/>
              <w:rPr>
                <w:b/>
                <w:i/>
                <w:sz w:val="19"/>
                <w:szCs w:val="19"/>
                <w:lang w:val="en-US"/>
              </w:rPr>
            </w:pPr>
            <w:r w:rsidRPr="00461063">
              <w:rPr>
                <w:b/>
                <w:i/>
                <w:sz w:val="19"/>
                <w:szCs w:val="19"/>
                <w:lang w:val="en-US"/>
              </w:rPr>
              <w:t>Australian Cash</w:t>
            </w:r>
          </w:p>
        </w:tc>
        <w:tc>
          <w:tcPr>
            <w:tcW w:w="2160" w:type="dxa"/>
            <w:vAlign w:val="center"/>
          </w:tcPr>
          <w:p w14:paraId="73EE10B8" w14:textId="77777777" w:rsidR="002E2767" w:rsidRPr="00461063" w:rsidRDefault="002E2767" w:rsidP="002E2767">
            <w:pPr>
              <w:widowControl/>
              <w:spacing w:before="40" w:after="40"/>
              <w:jc w:val="center"/>
              <w:rPr>
                <w:sz w:val="19"/>
                <w:szCs w:val="19"/>
                <w:lang w:val="en-US"/>
              </w:rPr>
            </w:pPr>
          </w:p>
        </w:tc>
        <w:tc>
          <w:tcPr>
            <w:tcW w:w="1170" w:type="dxa"/>
            <w:vAlign w:val="center"/>
          </w:tcPr>
          <w:p w14:paraId="0F04611A" w14:textId="77777777" w:rsidR="002E2767" w:rsidRPr="00461063" w:rsidRDefault="002E2767" w:rsidP="002E2767">
            <w:pPr>
              <w:widowControl/>
              <w:spacing w:before="40" w:after="40"/>
              <w:jc w:val="center"/>
              <w:rPr>
                <w:sz w:val="19"/>
                <w:szCs w:val="19"/>
                <w:lang w:val="en-US"/>
              </w:rPr>
            </w:pPr>
          </w:p>
        </w:tc>
        <w:tc>
          <w:tcPr>
            <w:tcW w:w="1260" w:type="dxa"/>
            <w:vAlign w:val="center"/>
          </w:tcPr>
          <w:p w14:paraId="360DD878" w14:textId="77777777" w:rsidR="002E2767" w:rsidRPr="00461063" w:rsidRDefault="002E2767" w:rsidP="002E2767">
            <w:pPr>
              <w:widowControl/>
              <w:spacing w:before="40" w:after="40"/>
              <w:jc w:val="center"/>
              <w:rPr>
                <w:sz w:val="19"/>
                <w:szCs w:val="19"/>
                <w:lang w:val="en-US"/>
              </w:rPr>
            </w:pPr>
          </w:p>
        </w:tc>
        <w:tc>
          <w:tcPr>
            <w:tcW w:w="1076" w:type="dxa"/>
          </w:tcPr>
          <w:p w14:paraId="4C364C02" w14:textId="77777777" w:rsidR="002E2767" w:rsidRPr="00461063" w:rsidRDefault="002E2767" w:rsidP="002E2767">
            <w:pPr>
              <w:widowControl/>
              <w:spacing w:before="40" w:after="40"/>
              <w:jc w:val="center"/>
              <w:rPr>
                <w:sz w:val="19"/>
                <w:szCs w:val="19"/>
                <w:lang w:val="en-US"/>
              </w:rPr>
            </w:pPr>
          </w:p>
        </w:tc>
        <w:tc>
          <w:tcPr>
            <w:tcW w:w="1264" w:type="dxa"/>
            <w:vAlign w:val="center"/>
          </w:tcPr>
          <w:p w14:paraId="5A0ECF74" w14:textId="77777777" w:rsidR="002E2767" w:rsidRPr="00461063" w:rsidRDefault="002E2767" w:rsidP="002E2767">
            <w:pPr>
              <w:widowControl/>
              <w:spacing w:before="40" w:after="40"/>
              <w:jc w:val="center"/>
              <w:rPr>
                <w:sz w:val="19"/>
                <w:szCs w:val="19"/>
                <w:lang w:val="en-US"/>
              </w:rPr>
            </w:pPr>
          </w:p>
        </w:tc>
      </w:tr>
      <w:tr w:rsidR="002E2767" w:rsidRPr="00F80A16" w14:paraId="7F66281C" w14:textId="77777777" w:rsidTr="002E2767">
        <w:tc>
          <w:tcPr>
            <w:tcW w:w="2515" w:type="dxa"/>
            <w:vAlign w:val="center"/>
          </w:tcPr>
          <w:p w14:paraId="078E82EB" w14:textId="77777777" w:rsidR="002E2767" w:rsidRPr="00461063" w:rsidRDefault="002E2767" w:rsidP="002E2767">
            <w:pPr>
              <w:widowControl/>
              <w:spacing w:before="40" w:after="40"/>
              <w:jc w:val="left"/>
              <w:rPr>
                <w:sz w:val="19"/>
                <w:szCs w:val="19"/>
                <w:lang w:val="en-US"/>
              </w:rPr>
            </w:pPr>
            <w:r w:rsidRPr="00461063">
              <w:rPr>
                <w:sz w:val="19"/>
                <w:szCs w:val="19"/>
                <w:lang w:val="en-US"/>
              </w:rPr>
              <w:t>BetaShares Australia High Interest Cash</w:t>
            </w:r>
          </w:p>
        </w:tc>
        <w:tc>
          <w:tcPr>
            <w:tcW w:w="2160" w:type="dxa"/>
            <w:vAlign w:val="center"/>
          </w:tcPr>
          <w:p w14:paraId="01413350" w14:textId="77777777" w:rsidR="002E2767" w:rsidRPr="00461063" w:rsidRDefault="002E2767" w:rsidP="002E2767">
            <w:pPr>
              <w:widowControl/>
              <w:spacing w:before="40" w:after="40"/>
              <w:rPr>
                <w:sz w:val="19"/>
                <w:szCs w:val="19"/>
                <w:lang w:val="en-US"/>
              </w:rPr>
            </w:pPr>
          </w:p>
        </w:tc>
        <w:tc>
          <w:tcPr>
            <w:tcW w:w="1170" w:type="dxa"/>
            <w:vAlign w:val="center"/>
          </w:tcPr>
          <w:p w14:paraId="3D5A318B" w14:textId="77777777" w:rsidR="002E2767" w:rsidRPr="00461063" w:rsidRDefault="002E2767" w:rsidP="002E2767">
            <w:pPr>
              <w:widowControl/>
              <w:spacing w:before="40" w:after="40"/>
              <w:jc w:val="center"/>
              <w:rPr>
                <w:sz w:val="19"/>
                <w:szCs w:val="19"/>
                <w:lang w:val="en-US"/>
              </w:rPr>
            </w:pPr>
            <w:r w:rsidRPr="00461063">
              <w:rPr>
                <w:sz w:val="19"/>
                <w:szCs w:val="19"/>
              </w:rPr>
              <w:t>16,690</w:t>
            </w:r>
          </w:p>
        </w:tc>
        <w:tc>
          <w:tcPr>
            <w:tcW w:w="1260" w:type="dxa"/>
            <w:vAlign w:val="center"/>
          </w:tcPr>
          <w:p w14:paraId="482B8527" w14:textId="77777777" w:rsidR="002E2767" w:rsidRPr="00461063" w:rsidRDefault="002E2767" w:rsidP="002E2767">
            <w:pPr>
              <w:widowControl/>
              <w:spacing w:before="40" w:after="40"/>
              <w:jc w:val="center"/>
              <w:rPr>
                <w:sz w:val="19"/>
                <w:szCs w:val="19"/>
              </w:rPr>
            </w:pPr>
            <w:r w:rsidRPr="00461063">
              <w:rPr>
                <w:sz w:val="19"/>
                <w:szCs w:val="19"/>
              </w:rPr>
              <w:t xml:space="preserve">16,683 </w:t>
            </w:r>
          </w:p>
        </w:tc>
        <w:tc>
          <w:tcPr>
            <w:tcW w:w="1076" w:type="dxa"/>
          </w:tcPr>
          <w:p w14:paraId="489FFE70" w14:textId="77777777" w:rsidR="002E2767" w:rsidRPr="00461063" w:rsidRDefault="002E2767" w:rsidP="002E2767">
            <w:pPr>
              <w:widowControl/>
              <w:spacing w:before="40" w:after="40"/>
              <w:jc w:val="center"/>
              <w:rPr>
                <w:sz w:val="19"/>
                <w:szCs w:val="19"/>
                <w:lang w:val="en-US"/>
              </w:rPr>
            </w:pPr>
          </w:p>
        </w:tc>
        <w:tc>
          <w:tcPr>
            <w:tcW w:w="1264" w:type="dxa"/>
            <w:vAlign w:val="center"/>
          </w:tcPr>
          <w:p w14:paraId="3CF0DD4A" w14:textId="77777777" w:rsidR="002E2767" w:rsidRPr="00461063" w:rsidRDefault="002E2767" w:rsidP="002E2767">
            <w:pPr>
              <w:widowControl/>
              <w:spacing w:before="40" w:after="40"/>
              <w:jc w:val="center"/>
              <w:rPr>
                <w:sz w:val="19"/>
                <w:szCs w:val="19"/>
                <w:lang w:val="en-US"/>
              </w:rPr>
            </w:pPr>
            <w:r w:rsidRPr="00461063">
              <w:rPr>
                <w:sz w:val="19"/>
                <w:szCs w:val="19"/>
                <w:lang w:val="en-US"/>
              </w:rPr>
              <w:t>2.6</w:t>
            </w:r>
          </w:p>
        </w:tc>
      </w:tr>
      <w:tr w:rsidR="002E2767" w:rsidRPr="00F80A16" w14:paraId="37A5868F" w14:textId="77777777" w:rsidTr="002E2767">
        <w:tc>
          <w:tcPr>
            <w:tcW w:w="2515" w:type="dxa"/>
            <w:tcBorders>
              <w:bottom w:val="nil"/>
            </w:tcBorders>
            <w:vAlign w:val="center"/>
          </w:tcPr>
          <w:p w14:paraId="0D1DBE46" w14:textId="77777777" w:rsidR="002E2767" w:rsidRPr="00461063" w:rsidRDefault="002E2767" w:rsidP="002E2767">
            <w:pPr>
              <w:widowControl/>
              <w:spacing w:before="40" w:after="40"/>
              <w:jc w:val="left"/>
              <w:rPr>
                <w:sz w:val="19"/>
                <w:szCs w:val="19"/>
                <w:lang w:val="en-US"/>
              </w:rPr>
            </w:pPr>
            <w:r w:rsidRPr="00461063">
              <w:rPr>
                <w:sz w:val="19"/>
                <w:szCs w:val="19"/>
                <w:lang w:val="en-US"/>
              </w:rPr>
              <w:t xml:space="preserve">BT Cash Management Trust </w:t>
            </w:r>
          </w:p>
        </w:tc>
        <w:tc>
          <w:tcPr>
            <w:tcW w:w="2160" w:type="dxa"/>
            <w:tcBorders>
              <w:bottom w:val="nil"/>
            </w:tcBorders>
            <w:vAlign w:val="center"/>
          </w:tcPr>
          <w:p w14:paraId="49193FE6" w14:textId="77777777" w:rsidR="002E2767" w:rsidRPr="00461063" w:rsidRDefault="002E2767" w:rsidP="002E2767">
            <w:pPr>
              <w:widowControl/>
              <w:spacing w:before="40" w:after="40"/>
              <w:jc w:val="center"/>
              <w:rPr>
                <w:sz w:val="19"/>
                <w:szCs w:val="19"/>
                <w:lang w:val="en-US"/>
              </w:rPr>
            </w:pPr>
            <w:r w:rsidRPr="00461063">
              <w:rPr>
                <w:sz w:val="19"/>
                <w:szCs w:val="19"/>
                <w:lang w:val="en-US"/>
              </w:rPr>
              <w:t>-</w:t>
            </w:r>
          </w:p>
        </w:tc>
        <w:tc>
          <w:tcPr>
            <w:tcW w:w="1170" w:type="dxa"/>
            <w:tcBorders>
              <w:bottom w:val="nil"/>
            </w:tcBorders>
            <w:vAlign w:val="center"/>
          </w:tcPr>
          <w:p w14:paraId="68B5246F" w14:textId="77777777" w:rsidR="002E2767" w:rsidRPr="00461063" w:rsidRDefault="002E2767" w:rsidP="002E2767">
            <w:pPr>
              <w:widowControl/>
              <w:spacing w:before="40" w:after="40"/>
              <w:jc w:val="center"/>
              <w:rPr>
                <w:sz w:val="19"/>
                <w:szCs w:val="19"/>
                <w:lang w:val="en-US"/>
              </w:rPr>
            </w:pPr>
            <w:r w:rsidRPr="00461063">
              <w:rPr>
                <w:sz w:val="19"/>
                <w:szCs w:val="19"/>
              </w:rPr>
              <w:t>12,832</w:t>
            </w:r>
          </w:p>
        </w:tc>
        <w:tc>
          <w:tcPr>
            <w:tcW w:w="1260" w:type="dxa"/>
            <w:tcBorders>
              <w:bottom w:val="nil"/>
            </w:tcBorders>
            <w:vAlign w:val="center"/>
          </w:tcPr>
          <w:p w14:paraId="084393EA" w14:textId="77777777" w:rsidR="002E2767" w:rsidRPr="00461063" w:rsidRDefault="002E2767" w:rsidP="002E2767">
            <w:pPr>
              <w:widowControl/>
              <w:spacing w:before="40" w:after="40"/>
              <w:jc w:val="center"/>
              <w:rPr>
                <w:sz w:val="19"/>
                <w:szCs w:val="19"/>
              </w:rPr>
            </w:pPr>
            <w:r w:rsidRPr="00461063">
              <w:rPr>
                <w:sz w:val="19"/>
                <w:szCs w:val="19"/>
              </w:rPr>
              <w:t xml:space="preserve">25,794 </w:t>
            </w:r>
          </w:p>
        </w:tc>
        <w:tc>
          <w:tcPr>
            <w:tcW w:w="1076" w:type="dxa"/>
            <w:tcBorders>
              <w:bottom w:val="nil"/>
            </w:tcBorders>
          </w:tcPr>
          <w:p w14:paraId="238E2677" w14:textId="77777777" w:rsidR="002E2767" w:rsidRPr="00461063" w:rsidRDefault="002E2767" w:rsidP="002E2767">
            <w:pPr>
              <w:widowControl/>
              <w:spacing w:before="40" w:after="40"/>
              <w:jc w:val="center"/>
              <w:rPr>
                <w:sz w:val="19"/>
                <w:szCs w:val="19"/>
                <w:lang w:val="en-US"/>
              </w:rPr>
            </w:pPr>
          </w:p>
        </w:tc>
        <w:tc>
          <w:tcPr>
            <w:tcW w:w="1264" w:type="dxa"/>
            <w:tcBorders>
              <w:bottom w:val="nil"/>
            </w:tcBorders>
            <w:vAlign w:val="center"/>
          </w:tcPr>
          <w:p w14:paraId="1F666E63" w14:textId="77777777" w:rsidR="002E2767" w:rsidRPr="00461063" w:rsidRDefault="002E2767" w:rsidP="002E2767">
            <w:pPr>
              <w:widowControl/>
              <w:spacing w:before="40" w:after="40"/>
              <w:jc w:val="center"/>
              <w:rPr>
                <w:sz w:val="19"/>
                <w:szCs w:val="19"/>
                <w:lang w:val="en-US"/>
              </w:rPr>
            </w:pPr>
            <w:r w:rsidRPr="00461063">
              <w:rPr>
                <w:sz w:val="19"/>
                <w:szCs w:val="19"/>
                <w:lang w:val="en-US"/>
              </w:rPr>
              <w:t>4.1</w:t>
            </w:r>
          </w:p>
        </w:tc>
      </w:tr>
      <w:tr w:rsidR="002E2767" w:rsidRPr="00F80A16" w14:paraId="2C74FC93" w14:textId="77777777" w:rsidTr="002E2767">
        <w:tc>
          <w:tcPr>
            <w:tcW w:w="2515" w:type="dxa"/>
            <w:tcBorders>
              <w:bottom w:val="nil"/>
            </w:tcBorders>
            <w:vAlign w:val="center"/>
          </w:tcPr>
          <w:p w14:paraId="6427F76F" w14:textId="77777777" w:rsidR="002E2767" w:rsidRPr="00461063" w:rsidRDefault="002E2767" w:rsidP="002E2767">
            <w:pPr>
              <w:widowControl/>
              <w:spacing w:before="40" w:after="40"/>
              <w:jc w:val="left"/>
              <w:rPr>
                <w:sz w:val="19"/>
                <w:szCs w:val="19"/>
                <w:lang w:val="en-US"/>
              </w:rPr>
            </w:pPr>
            <w:r w:rsidRPr="00461063">
              <w:rPr>
                <w:sz w:val="19"/>
                <w:szCs w:val="19"/>
                <w:lang w:val="en-US"/>
              </w:rPr>
              <w:t xml:space="preserve">Accrued </w:t>
            </w:r>
            <w:r>
              <w:rPr>
                <w:sz w:val="19"/>
                <w:szCs w:val="19"/>
                <w:lang w:val="en-US"/>
              </w:rPr>
              <w:t>Interest &amp;</w:t>
            </w:r>
            <w:r w:rsidRPr="00461063">
              <w:rPr>
                <w:sz w:val="19"/>
                <w:szCs w:val="19"/>
                <w:lang w:val="en-US"/>
              </w:rPr>
              <w:t xml:space="preserve"> Dividends </w:t>
            </w:r>
          </w:p>
        </w:tc>
        <w:tc>
          <w:tcPr>
            <w:tcW w:w="2160" w:type="dxa"/>
            <w:tcBorders>
              <w:bottom w:val="nil"/>
            </w:tcBorders>
            <w:vAlign w:val="center"/>
          </w:tcPr>
          <w:p w14:paraId="6C4C5535" w14:textId="77777777" w:rsidR="002E2767" w:rsidRPr="00461063" w:rsidRDefault="002E2767" w:rsidP="002E2767">
            <w:pPr>
              <w:widowControl/>
              <w:spacing w:before="40" w:after="40"/>
              <w:jc w:val="center"/>
              <w:rPr>
                <w:sz w:val="19"/>
                <w:szCs w:val="19"/>
                <w:lang w:val="en-US"/>
              </w:rPr>
            </w:pPr>
            <w:r w:rsidRPr="00461063">
              <w:rPr>
                <w:sz w:val="19"/>
                <w:szCs w:val="19"/>
                <w:lang w:val="en-US"/>
              </w:rPr>
              <w:t>-</w:t>
            </w:r>
          </w:p>
        </w:tc>
        <w:tc>
          <w:tcPr>
            <w:tcW w:w="1170" w:type="dxa"/>
            <w:tcBorders>
              <w:bottom w:val="nil"/>
            </w:tcBorders>
            <w:vAlign w:val="center"/>
          </w:tcPr>
          <w:p w14:paraId="476DC412" w14:textId="77777777" w:rsidR="002E2767" w:rsidRPr="00461063" w:rsidRDefault="002E2767" w:rsidP="002E2767">
            <w:pPr>
              <w:widowControl/>
              <w:spacing w:before="40" w:after="40"/>
              <w:jc w:val="center"/>
              <w:rPr>
                <w:sz w:val="19"/>
                <w:szCs w:val="19"/>
                <w:lang w:val="en-US"/>
              </w:rPr>
            </w:pPr>
            <w:r>
              <w:rPr>
                <w:sz w:val="19"/>
                <w:szCs w:val="19"/>
              </w:rPr>
              <w:t>177</w:t>
            </w:r>
          </w:p>
        </w:tc>
        <w:tc>
          <w:tcPr>
            <w:tcW w:w="1260" w:type="dxa"/>
            <w:tcBorders>
              <w:bottom w:val="nil"/>
            </w:tcBorders>
            <w:vAlign w:val="center"/>
          </w:tcPr>
          <w:p w14:paraId="5907BD14" w14:textId="77777777" w:rsidR="002E2767" w:rsidRPr="00461063" w:rsidRDefault="002E2767" w:rsidP="002E2767">
            <w:pPr>
              <w:widowControl/>
              <w:spacing w:before="40" w:after="40"/>
              <w:jc w:val="center"/>
              <w:rPr>
                <w:sz w:val="19"/>
                <w:szCs w:val="19"/>
              </w:rPr>
            </w:pPr>
            <w:r w:rsidRPr="00461063">
              <w:rPr>
                <w:sz w:val="19"/>
                <w:szCs w:val="19"/>
              </w:rPr>
              <w:t>35</w:t>
            </w:r>
          </w:p>
        </w:tc>
        <w:tc>
          <w:tcPr>
            <w:tcW w:w="1076" w:type="dxa"/>
            <w:tcBorders>
              <w:bottom w:val="nil"/>
            </w:tcBorders>
          </w:tcPr>
          <w:p w14:paraId="18EDA09A" w14:textId="77777777" w:rsidR="002E2767" w:rsidRPr="00461063" w:rsidRDefault="002E2767" w:rsidP="002E2767">
            <w:pPr>
              <w:widowControl/>
              <w:spacing w:before="40" w:after="40"/>
              <w:jc w:val="center"/>
              <w:rPr>
                <w:sz w:val="19"/>
                <w:szCs w:val="19"/>
                <w:lang w:val="en-US"/>
              </w:rPr>
            </w:pPr>
            <w:r>
              <w:rPr>
                <w:sz w:val="19"/>
                <w:szCs w:val="19"/>
                <w:lang w:val="en-US"/>
              </w:rPr>
              <w:t>0</w:t>
            </w:r>
          </w:p>
        </w:tc>
        <w:tc>
          <w:tcPr>
            <w:tcW w:w="1264" w:type="dxa"/>
            <w:tcBorders>
              <w:bottom w:val="nil"/>
            </w:tcBorders>
            <w:vAlign w:val="center"/>
          </w:tcPr>
          <w:p w14:paraId="6F3702D8" w14:textId="77777777" w:rsidR="002E2767" w:rsidRPr="00461063" w:rsidRDefault="002E2767" w:rsidP="002E2767">
            <w:pPr>
              <w:widowControl/>
              <w:spacing w:before="40" w:after="40"/>
              <w:jc w:val="center"/>
              <w:rPr>
                <w:sz w:val="19"/>
                <w:szCs w:val="19"/>
                <w:lang w:val="en-US"/>
              </w:rPr>
            </w:pPr>
            <w:r>
              <w:rPr>
                <w:sz w:val="19"/>
                <w:szCs w:val="19"/>
                <w:lang w:val="en-US"/>
              </w:rPr>
              <w:t>0</w:t>
            </w:r>
          </w:p>
        </w:tc>
      </w:tr>
      <w:tr w:rsidR="002E2767" w:rsidRPr="00F80A16" w14:paraId="137E498F" w14:textId="77777777" w:rsidTr="002E2767">
        <w:tc>
          <w:tcPr>
            <w:tcW w:w="2515" w:type="dxa"/>
            <w:tcBorders>
              <w:top w:val="nil"/>
              <w:bottom w:val="single" w:sz="4" w:space="0" w:color="auto"/>
            </w:tcBorders>
            <w:vAlign w:val="center"/>
          </w:tcPr>
          <w:p w14:paraId="1F0A60A8" w14:textId="77777777" w:rsidR="002E2767" w:rsidRPr="00461063" w:rsidRDefault="002E2767" w:rsidP="002E2767">
            <w:pPr>
              <w:widowControl/>
              <w:spacing w:before="40" w:after="40"/>
              <w:jc w:val="left"/>
              <w:rPr>
                <w:b/>
                <w:i/>
                <w:sz w:val="19"/>
                <w:szCs w:val="19"/>
                <w:lang w:val="en-US"/>
              </w:rPr>
            </w:pPr>
            <w:r w:rsidRPr="00461063">
              <w:rPr>
                <w:sz w:val="19"/>
                <w:szCs w:val="19"/>
                <w:lang w:val="en-US"/>
              </w:rPr>
              <w:t>Accrued Franking Credits</w:t>
            </w:r>
          </w:p>
        </w:tc>
        <w:tc>
          <w:tcPr>
            <w:tcW w:w="2160" w:type="dxa"/>
            <w:tcBorders>
              <w:top w:val="nil"/>
              <w:bottom w:val="single" w:sz="4" w:space="0" w:color="auto"/>
            </w:tcBorders>
            <w:vAlign w:val="center"/>
          </w:tcPr>
          <w:p w14:paraId="6C2ACAEB" w14:textId="77777777" w:rsidR="002E2767" w:rsidRPr="00461063" w:rsidRDefault="002E2767" w:rsidP="002E2767">
            <w:pPr>
              <w:widowControl/>
              <w:spacing w:before="40" w:after="40"/>
              <w:jc w:val="center"/>
              <w:rPr>
                <w:sz w:val="19"/>
                <w:szCs w:val="19"/>
                <w:lang w:val="en-US"/>
              </w:rPr>
            </w:pPr>
            <w:r w:rsidRPr="00461063">
              <w:rPr>
                <w:sz w:val="19"/>
                <w:szCs w:val="19"/>
                <w:lang w:val="en-US"/>
              </w:rPr>
              <w:t>-</w:t>
            </w:r>
          </w:p>
        </w:tc>
        <w:tc>
          <w:tcPr>
            <w:tcW w:w="1170" w:type="dxa"/>
            <w:tcBorders>
              <w:top w:val="nil"/>
              <w:bottom w:val="single" w:sz="4" w:space="0" w:color="auto"/>
            </w:tcBorders>
            <w:vAlign w:val="center"/>
          </w:tcPr>
          <w:p w14:paraId="40B79AEC" w14:textId="77777777" w:rsidR="002E2767" w:rsidRPr="00461063" w:rsidRDefault="002E2767" w:rsidP="002E2767">
            <w:pPr>
              <w:widowControl/>
              <w:spacing w:before="40" w:after="40"/>
              <w:jc w:val="center"/>
              <w:rPr>
                <w:b/>
                <w:i/>
                <w:sz w:val="19"/>
                <w:szCs w:val="19"/>
                <w:lang w:val="en-US"/>
              </w:rPr>
            </w:pPr>
            <w:r>
              <w:rPr>
                <w:sz w:val="19"/>
                <w:szCs w:val="19"/>
              </w:rPr>
              <w:t>-</w:t>
            </w:r>
          </w:p>
        </w:tc>
        <w:tc>
          <w:tcPr>
            <w:tcW w:w="1260" w:type="dxa"/>
            <w:tcBorders>
              <w:top w:val="nil"/>
              <w:bottom w:val="single" w:sz="4" w:space="0" w:color="auto"/>
            </w:tcBorders>
            <w:vAlign w:val="center"/>
          </w:tcPr>
          <w:p w14:paraId="5EBF2BD2" w14:textId="77777777" w:rsidR="002E2767" w:rsidRPr="00461063" w:rsidRDefault="002E2767" w:rsidP="002E2767">
            <w:pPr>
              <w:widowControl/>
              <w:spacing w:before="40" w:after="40"/>
              <w:jc w:val="center"/>
              <w:rPr>
                <w:b/>
                <w:i/>
                <w:sz w:val="19"/>
                <w:szCs w:val="19"/>
                <w:lang w:val="en-US"/>
              </w:rPr>
            </w:pPr>
            <w:r>
              <w:rPr>
                <w:sz w:val="19"/>
                <w:szCs w:val="19"/>
              </w:rPr>
              <w:t>1,300</w:t>
            </w:r>
          </w:p>
        </w:tc>
        <w:tc>
          <w:tcPr>
            <w:tcW w:w="1076" w:type="dxa"/>
            <w:tcBorders>
              <w:top w:val="nil"/>
              <w:bottom w:val="single" w:sz="4" w:space="0" w:color="auto"/>
            </w:tcBorders>
          </w:tcPr>
          <w:p w14:paraId="6700FA31" w14:textId="77777777" w:rsidR="002E2767" w:rsidRPr="00461063" w:rsidRDefault="002E2767" w:rsidP="002E2767">
            <w:pPr>
              <w:widowControl/>
              <w:spacing w:before="40" w:after="40"/>
              <w:jc w:val="center"/>
              <w:rPr>
                <w:b/>
                <w:i/>
                <w:sz w:val="19"/>
                <w:szCs w:val="19"/>
                <w:lang w:val="en-US"/>
              </w:rPr>
            </w:pPr>
          </w:p>
        </w:tc>
        <w:tc>
          <w:tcPr>
            <w:tcW w:w="1264" w:type="dxa"/>
            <w:tcBorders>
              <w:top w:val="nil"/>
              <w:bottom w:val="single" w:sz="4" w:space="0" w:color="auto"/>
            </w:tcBorders>
            <w:vAlign w:val="center"/>
          </w:tcPr>
          <w:p w14:paraId="2B8B2103" w14:textId="77777777" w:rsidR="002E2767" w:rsidRPr="00461063" w:rsidRDefault="002E2767" w:rsidP="002E2767">
            <w:pPr>
              <w:widowControl/>
              <w:spacing w:before="40" w:after="40"/>
              <w:jc w:val="center"/>
              <w:rPr>
                <w:b/>
                <w:i/>
                <w:sz w:val="19"/>
                <w:szCs w:val="19"/>
                <w:lang w:val="en-US"/>
              </w:rPr>
            </w:pPr>
            <w:r w:rsidRPr="00461063">
              <w:rPr>
                <w:sz w:val="19"/>
                <w:szCs w:val="19"/>
                <w:lang w:val="en-US"/>
              </w:rPr>
              <w:t>0.2</w:t>
            </w:r>
          </w:p>
        </w:tc>
      </w:tr>
      <w:tr w:rsidR="002E2767" w:rsidRPr="00F80A16" w14:paraId="09CE4F51" w14:textId="77777777" w:rsidTr="002E2767">
        <w:tc>
          <w:tcPr>
            <w:tcW w:w="2515" w:type="dxa"/>
            <w:tcBorders>
              <w:top w:val="single" w:sz="4" w:space="0" w:color="auto"/>
              <w:bottom w:val="single" w:sz="4" w:space="0" w:color="auto"/>
            </w:tcBorders>
            <w:vAlign w:val="center"/>
          </w:tcPr>
          <w:p w14:paraId="6ED8A1C7" w14:textId="77777777" w:rsidR="002E2767" w:rsidRPr="00461063" w:rsidRDefault="002E2767" w:rsidP="002E2767">
            <w:pPr>
              <w:widowControl/>
              <w:spacing w:before="40" w:after="40"/>
              <w:jc w:val="left"/>
              <w:rPr>
                <w:b/>
                <w:i/>
                <w:sz w:val="19"/>
                <w:szCs w:val="19"/>
                <w:lang w:val="en-US"/>
              </w:rPr>
            </w:pPr>
            <w:r w:rsidRPr="00461063">
              <w:rPr>
                <w:b/>
                <w:i/>
                <w:sz w:val="19"/>
                <w:szCs w:val="19"/>
                <w:lang w:val="en-US"/>
              </w:rPr>
              <w:t>Total Australian Cash</w:t>
            </w:r>
          </w:p>
        </w:tc>
        <w:tc>
          <w:tcPr>
            <w:tcW w:w="2160" w:type="dxa"/>
            <w:tcBorders>
              <w:top w:val="single" w:sz="4" w:space="0" w:color="auto"/>
              <w:bottom w:val="single" w:sz="4" w:space="0" w:color="auto"/>
            </w:tcBorders>
            <w:vAlign w:val="center"/>
          </w:tcPr>
          <w:p w14:paraId="07C33D4B" w14:textId="77777777" w:rsidR="002E2767" w:rsidRPr="00461063" w:rsidRDefault="002E2767" w:rsidP="002E2767">
            <w:pPr>
              <w:widowControl/>
              <w:spacing w:before="40" w:after="40"/>
              <w:jc w:val="center"/>
              <w:rPr>
                <w:sz w:val="19"/>
                <w:szCs w:val="19"/>
                <w:lang w:val="en-US"/>
              </w:rPr>
            </w:pPr>
            <w:r w:rsidRPr="00461063">
              <w:rPr>
                <w:sz w:val="19"/>
                <w:szCs w:val="19"/>
                <w:lang w:val="en-US"/>
              </w:rPr>
              <w:t>BetaShares Australia High Interest Cash</w:t>
            </w:r>
          </w:p>
        </w:tc>
        <w:tc>
          <w:tcPr>
            <w:tcW w:w="1170" w:type="dxa"/>
            <w:tcBorders>
              <w:top w:val="single" w:sz="4" w:space="0" w:color="auto"/>
              <w:bottom w:val="single" w:sz="4" w:space="0" w:color="auto"/>
            </w:tcBorders>
            <w:vAlign w:val="center"/>
          </w:tcPr>
          <w:p w14:paraId="68130C3C" w14:textId="77777777" w:rsidR="002E2767" w:rsidRPr="00461063" w:rsidRDefault="002E2767" w:rsidP="002E2767">
            <w:pPr>
              <w:widowControl/>
              <w:spacing w:before="40" w:after="40"/>
              <w:jc w:val="center"/>
              <w:rPr>
                <w:b/>
                <w:i/>
                <w:sz w:val="19"/>
                <w:szCs w:val="19"/>
                <w:lang w:val="en-US"/>
              </w:rPr>
            </w:pPr>
          </w:p>
        </w:tc>
        <w:tc>
          <w:tcPr>
            <w:tcW w:w="1260" w:type="dxa"/>
            <w:tcBorders>
              <w:top w:val="single" w:sz="4" w:space="0" w:color="auto"/>
              <w:bottom w:val="single" w:sz="4" w:space="0" w:color="auto"/>
            </w:tcBorders>
            <w:vAlign w:val="center"/>
          </w:tcPr>
          <w:p w14:paraId="3DC93728" w14:textId="77777777" w:rsidR="002E2767" w:rsidRPr="00461063" w:rsidRDefault="002E2767" w:rsidP="002E2767">
            <w:pPr>
              <w:widowControl/>
              <w:spacing w:before="40" w:after="40"/>
              <w:jc w:val="center"/>
              <w:rPr>
                <w:b/>
                <w:i/>
                <w:sz w:val="19"/>
                <w:szCs w:val="19"/>
                <w:lang w:val="en-US"/>
              </w:rPr>
            </w:pPr>
          </w:p>
        </w:tc>
        <w:tc>
          <w:tcPr>
            <w:tcW w:w="1076" w:type="dxa"/>
            <w:tcBorders>
              <w:top w:val="single" w:sz="4" w:space="0" w:color="auto"/>
              <w:bottom w:val="single" w:sz="4" w:space="0" w:color="auto"/>
            </w:tcBorders>
            <w:vAlign w:val="center"/>
          </w:tcPr>
          <w:p w14:paraId="6B55DFCE" w14:textId="77777777" w:rsidR="002E2767" w:rsidRPr="00461063" w:rsidRDefault="002E2767" w:rsidP="002E2767">
            <w:pPr>
              <w:widowControl/>
              <w:spacing w:before="40" w:after="40"/>
              <w:jc w:val="center"/>
              <w:rPr>
                <w:b/>
                <w:i/>
                <w:sz w:val="19"/>
                <w:szCs w:val="19"/>
                <w:lang w:val="en-US"/>
              </w:rPr>
            </w:pPr>
            <w:r w:rsidRPr="00461063">
              <w:rPr>
                <w:b/>
                <w:i/>
                <w:sz w:val="19"/>
                <w:szCs w:val="19"/>
                <w:lang w:val="en-US"/>
              </w:rPr>
              <w:t>5</w:t>
            </w:r>
          </w:p>
        </w:tc>
        <w:tc>
          <w:tcPr>
            <w:tcW w:w="1264" w:type="dxa"/>
            <w:tcBorders>
              <w:top w:val="single" w:sz="4" w:space="0" w:color="auto"/>
              <w:bottom w:val="single" w:sz="4" w:space="0" w:color="auto"/>
            </w:tcBorders>
            <w:vAlign w:val="center"/>
          </w:tcPr>
          <w:p w14:paraId="5877DFB7" w14:textId="77777777" w:rsidR="002E2767" w:rsidRPr="00461063" w:rsidRDefault="002E2767" w:rsidP="002E2767">
            <w:pPr>
              <w:widowControl/>
              <w:spacing w:before="40" w:after="40"/>
              <w:jc w:val="center"/>
              <w:rPr>
                <w:b/>
                <w:i/>
                <w:sz w:val="19"/>
                <w:szCs w:val="19"/>
                <w:lang w:val="en-US"/>
              </w:rPr>
            </w:pPr>
            <w:r w:rsidRPr="00461063">
              <w:rPr>
                <w:b/>
                <w:i/>
                <w:sz w:val="19"/>
                <w:szCs w:val="19"/>
                <w:lang w:val="en-US"/>
              </w:rPr>
              <w:t>5.5</w:t>
            </w:r>
          </w:p>
        </w:tc>
      </w:tr>
      <w:tr w:rsidR="002E2767" w:rsidRPr="00F80A16" w14:paraId="7EA8F2DE" w14:textId="77777777" w:rsidTr="002E2767">
        <w:tc>
          <w:tcPr>
            <w:tcW w:w="2515" w:type="dxa"/>
            <w:tcBorders>
              <w:top w:val="single" w:sz="4" w:space="0" w:color="auto"/>
              <w:bottom w:val="single" w:sz="4" w:space="0" w:color="auto"/>
            </w:tcBorders>
            <w:vAlign w:val="center"/>
          </w:tcPr>
          <w:p w14:paraId="4AC5961D" w14:textId="77777777" w:rsidR="002E2767" w:rsidRPr="00461063" w:rsidRDefault="002E2767" w:rsidP="002E2767">
            <w:pPr>
              <w:widowControl/>
              <w:spacing w:before="40" w:after="40"/>
              <w:jc w:val="left"/>
              <w:rPr>
                <w:b/>
                <w:sz w:val="19"/>
                <w:szCs w:val="19"/>
                <w:lang w:val="en-US"/>
              </w:rPr>
            </w:pPr>
            <w:r w:rsidRPr="00461063">
              <w:rPr>
                <w:b/>
                <w:sz w:val="19"/>
                <w:szCs w:val="19"/>
                <w:lang w:val="en-US"/>
              </w:rPr>
              <w:t xml:space="preserve">Total Fixed Income &amp; Cash </w:t>
            </w:r>
          </w:p>
        </w:tc>
        <w:tc>
          <w:tcPr>
            <w:tcW w:w="2160" w:type="dxa"/>
            <w:tcBorders>
              <w:top w:val="single" w:sz="4" w:space="0" w:color="auto"/>
              <w:bottom w:val="single" w:sz="4" w:space="0" w:color="auto"/>
            </w:tcBorders>
            <w:vAlign w:val="center"/>
          </w:tcPr>
          <w:p w14:paraId="191CBF83" w14:textId="77777777" w:rsidR="002E2767" w:rsidRPr="00461063" w:rsidRDefault="002E2767" w:rsidP="002E2767">
            <w:pPr>
              <w:widowControl/>
              <w:spacing w:before="40" w:after="40"/>
              <w:jc w:val="center"/>
              <w:rPr>
                <w:b/>
                <w:sz w:val="19"/>
                <w:szCs w:val="19"/>
                <w:lang w:val="en-US"/>
              </w:rPr>
            </w:pPr>
          </w:p>
        </w:tc>
        <w:tc>
          <w:tcPr>
            <w:tcW w:w="1170" w:type="dxa"/>
            <w:tcBorders>
              <w:top w:val="single" w:sz="4" w:space="0" w:color="auto"/>
              <w:bottom w:val="single" w:sz="4" w:space="0" w:color="auto"/>
            </w:tcBorders>
            <w:vAlign w:val="center"/>
          </w:tcPr>
          <w:p w14:paraId="7EEBCA6B" w14:textId="77777777" w:rsidR="002E2767" w:rsidRPr="00461063" w:rsidRDefault="002E2767" w:rsidP="002E2767">
            <w:pPr>
              <w:widowControl/>
              <w:spacing w:before="40" w:after="40"/>
              <w:jc w:val="center"/>
              <w:rPr>
                <w:b/>
                <w:sz w:val="19"/>
                <w:szCs w:val="19"/>
                <w:lang w:val="en-US"/>
              </w:rPr>
            </w:pPr>
          </w:p>
        </w:tc>
        <w:tc>
          <w:tcPr>
            <w:tcW w:w="1260" w:type="dxa"/>
            <w:tcBorders>
              <w:top w:val="single" w:sz="4" w:space="0" w:color="auto"/>
              <w:bottom w:val="single" w:sz="4" w:space="0" w:color="auto"/>
            </w:tcBorders>
            <w:vAlign w:val="center"/>
          </w:tcPr>
          <w:p w14:paraId="36C1762A" w14:textId="77777777" w:rsidR="002E2767" w:rsidRPr="00461063" w:rsidRDefault="002E2767" w:rsidP="002E2767">
            <w:pPr>
              <w:widowControl/>
              <w:spacing w:before="40" w:after="40"/>
              <w:jc w:val="center"/>
              <w:rPr>
                <w:b/>
                <w:sz w:val="19"/>
                <w:szCs w:val="19"/>
                <w:lang w:val="en-US"/>
              </w:rPr>
            </w:pPr>
          </w:p>
        </w:tc>
        <w:tc>
          <w:tcPr>
            <w:tcW w:w="1076" w:type="dxa"/>
            <w:tcBorders>
              <w:top w:val="single" w:sz="4" w:space="0" w:color="auto"/>
              <w:bottom w:val="single" w:sz="4" w:space="0" w:color="auto"/>
            </w:tcBorders>
          </w:tcPr>
          <w:p w14:paraId="36DEF683" w14:textId="77777777" w:rsidR="002E2767" w:rsidRPr="00461063" w:rsidRDefault="002E2767" w:rsidP="002E2767">
            <w:pPr>
              <w:widowControl/>
              <w:spacing w:before="40" w:after="40"/>
              <w:jc w:val="center"/>
              <w:rPr>
                <w:b/>
                <w:sz w:val="19"/>
                <w:szCs w:val="19"/>
                <w:lang w:val="en-US"/>
              </w:rPr>
            </w:pPr>
            <w:r w:rsidRPr="00461063">
              <w:rPr>
                <w:b/>
                <w:sz w:val="19"/>
                <w:szCs w:val="19"/>
                <w:lang w:val="en-US"/>
              </w:rPr>
              <w:t>20</w:t>
            </w:r>
          </w:p>
        </w:tc>
        <w:tc>
          <w:tcPr>
            <w:tcW w:w="1264" w:type="dxa"/>
            <w:tcBorders>
              <w:top w:val="single" w:sz="4" w:space="0" w:color="auto"/>
              <w:bottom w:val="single" w:sz="4" w:space="0" w:color="auto"/>
            </w:tcBorders>
            <w:vAlign w:val="center"/>
          </w:tcPr>
          <w:p w14:paraId="22A3BD7C" w14:textId="77777777" w:rsidR="002E2767" w:rsidRPr="00461063" w:rsidRDefault="002E2767" w:rsidP="002E2767">
            <w:pPr>
              <w:widowControl/>
              <w:spacing w:before="40" w:after="40"/>
              <w:jc w:val="center"/>
              <w:rPr>
                <w:b/>
                <w:sz w:val="19"/>
                <w:szCs w:val="19"/>
                <w:lang w:val="en-US"/>
              </w:rPr>
            </w:pPr>
            <w:r w:rsidRPr="00461063">
              <w:rPr>
                <w:b/>
                <w:sz w:val="19"/>
                <w:szCs w:val="19"/>
                <w:lang w:val="en-US"/>
              </w:rPr>
              <w:t>21.6</w:t>
            </w:r>
          </w:p>
        </w:tc>
      </w:tr>
      <w:tr w:rsidR="002E2767" w:rsidRPr="00F80A16" w14:paraId="606E8016" w14:textId="77777777" w:rsidTr="002E2767">
        <w:tc>
          <w:tcPr>
            <w:tcW w:w="2515" w:type="dxa"/>
            <w:tcBorders>
              <w:top w:val="single" w:sz="4" w:space="0" w:color="auto"/>
              <w:bottom w:val="single" w:sz="4" w:space="0" w:color="auto"/>
            </w:tcBorders>
            <w:vAlign w:val="center"/>
          </w:tcPr>
          <w:p w14:paraId="327A3106" w14:textId="77777777" w:rsidR="002E2767" w:rsidRPr="00ED25CF" w:rsidRDefault="002E2767" w:rsidP="002E2767">
            <w:pPr>
              <w:widowControl/>
              <w:spacing w:before="40" w:after="40"/>
              <w:jc w:val="left"/>
              <w:rPr>
                <w:sz w:val="6"/>
                <w:szCs w:val="6"/>
                <w:lang w:val="en-US"/>
              </w:rPr>
            </w:pPr>
          </w:p>
        </w:tc>
        <w:tc>
          <w:tcPr>
            <w:tcW w:w="2160" w:type="dxa"/>
            <w:tcBorders>
              <w:top w:val="single" w:sz="4" w:space="0" w:color="auto"/>
              <w:bottom w:val="single" w:sz="4" w:space="0" w:color="auto"/>
            </w:tcBorders>
            <w:vAlign w:val="center"/>
          </w:tcPr>
          <w:p w14:paraId="14B78F1F" w14:textId="77777777" w:rsidR="002E2767" w:rsidRPr="00ED25CF" w:rsidRDefault="002E2767" w:rsidP="002E2767">
            <w:pPr>
              <w:widowControl/>
              <w:spacing w:before="40" w:after="40"/>
              <w:jc w:val="center"/>
              <w:rPr>
                <w:sz w:val="6"/>
                <w:szCs w:val="6"/>
                <w:lang w:val="en-US"/>
              </w:rPr>
            </w:pPr>
          </w:p>
        </w:tc>
        <w:tc>
          <w:tcPr>
            <w:tcW w:w="1170" w:type="dxa"/>
            <w:tcBorders>
              <w:top w:val="single" w:sz="4" w:space="0" w:color="auto"/>
              <w:bottom w:val="single" w:sz="4" w:space="0" w:color="auto"/>
            </w:tcBorders>
            <w:vAlign w:val="center"/>
          </w:tcPr>
          <w:p w14:paraId="60FA46DE" w14:textId="77777777" w:rsidR="002E2767" w:rsidRPr="00ED25CF" w:rsidRDefault="002E2767" w:rsidP="002E2767">
            <w:pPr>
              <w:widowControl/>
              <w:spacing w:before="40" w:after="40"/>
              <w:jc w:val="center"/>
              <w:rPr>
                <w:sz w:val="6"/>
                <w:szCs w:val="6"/>
                <w:lang w:val="en-US"/>
              </w:rPr>
            </w:pPr>
          </w:p>
        </w:tc>
        <w:tc>
          <w:tcPr>
            <w:tcW w:w="1260" w:type="dxa"/>
            <w:tcBorders>
              <w:top w:val="single" w:sz="4" w:space="0" w:color="auto"/>
              <w:bottom w:val="single" w:sz="4" w:space="0" w:color="auto"/>
            </w:tcBorders>
            <w:vAlign w:val="center"/>
          </w:tcPr>
          <w:p w14:paraId="7C7D8BBC" w14:textId="77777777" w:rsidR="002E2767" w:rsidRPr="00ED25CF" w:rsidRDefault="002E2767" w:rsidP="002E2767">
            <w:pPr>
              <w:widowControl/>
              <w:spacing w:before="40" w:after="40"/>
              <w:jc w:val="center"/>
              <w:rPr>
                <w:sz w:val="6"/>
                <w:szCs w:val="6"/>
                <w:lang w:val="en-US"/>
              </w:rPr>
            </w:pPr>
          </w:p>
        </w:tc>
        <w:tc>
          <w:tcPr>
            <w:tcW w:w="1076" w:type="dxa"/>
            <w:tcBorders>
              <w:top w:val="single" w:sz="4" w:space="0" w:color="auto"/>
              <w:bottom w:val="single" w:sz="4" w:space="0" w:color="auto"/>
            </w:tcBorders>
          </w:tcPr>
          <w:p w14:paraId="7766AA5F" w14:textId="77777777" w:rsidR="002E2767" w:rsidRPr="00ED25CF" w:rsidRDefault="002E2767" w:rsidP="002E2767">
            <w:pPr>
              <w:widowControl/>
              <w:spacing w:before="40" w:after="40"/>
              <w:jc w:val="center"/>
              <w:rPr>
                <w:sz w:val="6"/>
                <w:szCs w:val="6"/>
                <w:lang w:val="en-US"/>
              </w:rPr>
            </w:pPr>
          </w:p>
        </w:tc>
        <w:tc>
          <w:tcPr>
            <w:tcW w:w="1264" w:type="dxa"/>
            <w:tcBorders>
              <w:top w:val="single" w:sz="4" w:space="0" w:color="auto"/>
              <w:bottom w:val="single" w:sz="4" w:space="0" w:color="auto"/>
            </w:tcBorders>
            <w:vAlign w:val="center"/>
          </w:tcPr>
          <w:p w14:paraId="38A3011D" w14:textId="77777777" w:rsidR="002E2767" w:rsidRPr="00ED25CF" w:rsidRDefault="002E2767" w:rsidP="002E2767">
            <w:pPr>
              <w:widowControl/>
              <w:spacing w:before="40" w:after="40"/>
              <w:jc w:val="center"/>
              <w:rPr>
                <w:sz w:val="6"/>
                <w:szCs w:val="6"/>
                <w:lang w:val="en-US"/>
              </w:rPr>
            </w:pPr>
          </w:p>
        </w:tc>
      </w:tr>
      <w:tr w:rsidR="002E2767" w:rsidRPr="00F80A16" w14:paraId="20C2C40B" w14:textId="77777777" w:rsidTr="002E2767">
        <w:tc>
          <w:tcPr>
            <w:tcW w:w="2515" w:type="dxa"/>
            <w:tcBorders>
              <w:top w:val="single" w:sz="4" w:space="0" w:color="auto"/>
              <w:bottom w:val="single" w:sz="4" w:space="0" w:color="auto"/>
            </w:tcBorders>
            <w:vAlign w:val="center"/>
          </w:tcPr>
          <w:p w14:paraId="0A34C1EF" w14:textId="77777777" w:rsidR="002E2767" w:rsidRPr="00461063" w:rsidRDefault="002E2767" w:rsidP="002E2767">
            <w:pPr>
              <w:widowControl/>
              <w:spacing w:before="40" w:after="40"/>
              <w:jc w:val="left"/>
              <w:rPr>
                <w:sz w:val="19"/>
                <w:szCs w:val="19"/>
                <w:lang w:val="en-US"/>
              </w:rPr>
            </w:pPr>
            <w:r>
              <w:rPr>
                <w:b/>
                <w:sz w:val="19"/>
                <w:szCs w:val="19"/>
                <w:lang w:val="en-US"/>
              </w:rPr>
              <w:t>TOTAL PORTFOLIO</w:t>
            </w:r>
          </w:p>
        </w:tc>
        <w:tc>
          <w:tcPr>
            <w:tcW w:w="2160" w:type="dxa"/>
            <w:tcBorders>
              <w:top w:val="single" w:sz="4" w:space="0" w:color="auto"/>
              <w:bottom w:val="single" w:sz="4" w:space="0" w:color="auto"/>
            </w:tcBorders>
            <w:vAlign w:val="center"/>
          </w:tcPr>
          <w:p w14:paraId="25009D8E" w14:textId="77777777" w:rsidR="002E2767" w:rsidRPr="00461063" w:rsidRDefault="002E2767" w:rsidP="002E2767">
            <w:pPr>
              <w:widowControl/>
              <w:spacing w:before="40" w:after="40"/>
              <w:jc w:val="center"/>
              <w:rPr>
                <w:sz w:val="19"/>
                <w:szCs w:val="19"/>
                <w:lang w:val="en-US"/>
              </w:rPr>
            </w:pPr>
          </w:p>
        </w:tc>
        <w:tc>
          <w:tcPr>
            <w:tcW w:w="1170" w:type="dxa"/>
            <w:tcBorders>
              <w:top w:val="single" w:sz="4" w:space="0" w:color="auto"/>
              <w:bottom w:val="single" w:sz="4" w:space="0" w:color="auto"/>
            </w:tcBorders>
            <w:vAlign w:val="center"/>
          </w:tcPr>
          <w:p w14:paraId="23A91F1D" w14:textId="77777777" w:rsidR="002E2767" w:rsidRPr="00461063" w:rsidRDefault="002E2767" w:rsidP="002E2767">
            <w:pPr>
              <w:widowControl/>
              <w:spacing w:before="40" w:after="40"/>
              <w:jc w:val="center"/>
              <w:rPr>
                <w:sz w:val="19"/>
                <w:szCs w:val="19"/>
                <w:lang w:val="en-US"/>
              </w:rPr>
            </w:pPr>
            <w:r w:rsidRPr="00461063">
              <w:rPr>
                <w:b/>
                <w:sz w:val="19"/>
                <w:szCs w:val="19"/>
              </w:rPr>
              <w:t>618,204</w:t>
            </w:r>
          </w:p>
        </w:tc>
        <w:tc>
          <w:tcPr>
            <w:tcW w:w="1260" w:type="dxa"/>
            <w:tcBorders>
              <w:top w:val="single" w:sz="4" w:space="0" w:color="auto"/>
              <w:bottom w:val="single" w:sz="4" w:space="0" w:color="auto"/>
            </w:tcBorders>
            <w:vAlign w:val="center"/>
          </w:tcPr>
          <w:p w14:paraId="2A1B5CCD" w14:textId="77777777" w:rsidR="002E2767" w:rsidRPr="00461063" w:rsidRDefault="002E2767" w:rsidP="002E2767">
            <w:pPr>
              <w:widowControl/>
              <w:spacing w:before="40" w:after="40"/>
              <w:jc w:val="center"/>
              <w:rPr>
                <w:b/>
                <w:sz w:val="19"/>
                <w:szCs w:val="19"/>
              </w:rPr>
            </w:pPr>
            <w:r w:rsidRPr="00461063">
              <w:rPr>
                <w:b/>
                <w:sz w:val="19"/>
                <w:szCs w:val="19"/>
              </w:rPr>
              <w:t xml:space="preserve">632,068 </w:t>
            </w:r>
          </w:p>
        </w:tc>
        <w:tc>
          <w:tcPr>
            <w:tcW w:w="1076" w:type="dxa"/>
            <w:tcBorders>
              <w:top w:val="single" w:sz="4" w:space="0" w:color="auto"/>
              <w:bottom w:val="single" w:sz="4" w:space="0" w:color="auto"/>
            </w:tcBorders>
          </w:tcPr>
          <w:p w14:paraId="76C3DFF6" w14:textId="77777777" w:rsidR="002E2767" w:rsidRPr="00461063" w:rsidRDefault="002E2767" w:rsidP="002E2767">
            <w:pPr>
              <w:widowControl/>
              <w:spacing w:before="40" w:after="40"/>
              <w:jc w:val="center"/>
              <w:rPr>
                <w:b/>
                <w:sz w:val="19"/>
                <w:szCs w:val="19"/>
                <w:lang w:val="en-US"/>
              </w:rPr>
            </w:pPr>
            <w:r w:rsidRPr="00461063">
              <w:rPr>
                <w:b/>
                <w:sz w:val="19"/>
                <w:szCs w:val="19"/>
                <w:lang w:val="en-US"/>
              </w:rPr>
              <w:t>100</w:t>
            </w:r>
          </w:p>
        </w:tc>
        <w:tc>
          <w:tcPr>
            <w:tcW w:w="1264" w:type="dxa"/>
            <w:tcBorders>
              <w:top w:val="single" w:sz="4" w:space="0" w:color="auto"/>
              <w:bottom w:val="single" w:sz="4" w:space="0" w:color="auto"/>
            </w:tcBorders>
            <w:vAlign w:val="center"/>
          </w:tcPr>
          <w:p w14:paraId="5373E91C" w14:textId="77777777" w:rsidR="002E2767" w:rsidRPr="00461063" w:rsidRDefault="002E2767" w:rsidP="002E2767">
            <w:pPr>
              <w:widowControl/>
              <w:spacing w:before="40" w:after="40"/>
              <w:jc w:val="center"/>
              <w:rPr>
                <w:sz w:val="19"/>
                <w:szCs w:val="19"/>
                <w:lang w:val="en-US"/>
              </w:rPr>
            </w:pPr>
            <w:r w:rsidRPr="00461063">
              <w:rPr>
                <w:b/>
                <w:sz w:val="19"/>
                <w:szCs w:val="19"/>
                <w:lang w:val="en-US"/>
              </w:rPr>
              <w:t>100</w:t>
            </w:r>
          </w:p>
        </w:tc>
      </w:tr>
      <w:tr w:rsidR="002E2767" w:rsidRPr="00F80A16" w14:paraId="1B37097E" w14:textId="77777777" w:rsidTr="002E2767">
        <w:tc>
          <w:tcPr>
            <w:tcW w:w="2515" w:type="dxa"/>
            <w:tcBorders>
              <w:top w:val="single" w:sz="4" w:space="0" w:color="auto"/>
              <w:left w:val="single" w:sz="8" w:space="0" w:color="auto"/>
              <w:bottom w:val="nil"/>
            </w:tcBorders>
            <w:vAlign w:val="center"/>
          </w:tcPr>
          <w:p w14:paraId="6AE7B0E9" w14:textId="77777777" w:rsidR="002E2767" w:rsidRPr="00F876EB" w:rsidRDefault="002E2767" w:rsidP="002E2767">
            <w:pPr>
              <w:widowControl/>
              <w:spacing w:before="40" w:after="40"/>
              <w:jc w:val="left"/>
              <w:rPr>
                <w:b/>
                <w:sz w:val="6"/>
                <w:szCs w:val="6"/>
                <w:lang w:val="en-US"/>
              </w:rPr>
            </w:pPr>
          </w:p>
        </w:tc>
        <w:tc>
          <w:tcPr>
            <w:tcW w:w="2160" w:type="dxa"/>
            <w:tcBorders>
              <w:top w:val="single" w:sz="4" w:space="0" w:color="auto"/>
              <w:bottom w:val="nil"/>
            </w:tcBorders>
            <w:vAlign w:val="center"/>
          </w:tcPr>
          <w:p w14:paraId="557ACF75" w14:textId="77777777" w:rsidR="002E2767" w:rsidRPr="00F876EB" w:rsidRDefault="002E2767" w:rsidP="002E2767">
            <w:pPr>
              <w:widowControl/>
              <w:spacing w:before="40" w:after="40"/>
              <w:jc w:val="center"/>
              <w:rPr>
                <w:sz w:val="6"/>
                <w:szCs w:val="6"/>
                <w:lang w:val="en-US"/>
              </w:rPr>
            </w:pPr>
          </w:p>
        </w:tc>
        <w:tc>
          <w:tcPr>
            <w:tcW w:w="1170" w:type="dxa"/>
            <w:tcBorders>
              <w:top w:val="single" w:sz="4" w:space="0" w:color="auto"/>
              <w:bottom w:val="nil"/>
            </w:tcBorders>
            <w:vAlign w:val="center"/>
          </w:tcPr>
          <w:p w14:paraId="63759C3C" w14:textId="77777777" w:rsidR="002E2767" w:rsidRPr="00F876EB" w:rsidRDefault="002E2767" w:rsidP="002E2767">
            <w:pPr>
              <w:widowControl/>
              <w:spacing w:before="40" w:after="40"/>
              <w:jc w:val="center"/>
              <w:rPr>
                <w:b/>
                <w:sz w:val="6"/>
                <w:szCs w:val="6"/>
                <w:lang w:val="en-US"/>
              </w:rPr>
            </w:pPr>
          </w:p>
        </w:tc>
        <w:tc>
          <w:tcPr>
            <w:tcW w:w="1260" w:type="dxa"/>
            <w:tcBorders>
              <w:top w:val="single" w:sz="4" w:space="0" w:color="auto"/>
              <w:bottom w:val="nil"/>
            </w:tcBorders>
            <w:vAlign w:val="center"/>
          </w:tcPr>
          <w:p w14:paraId="31F796BE" w14:textId="77777777" w:rsidR="002E2767" w:rsidRPr="00F876EB" w:rsidRDefault="002E2767" w:rsidP="002E2767">
            <w:pPr>
              <w:widowControl/>
              <w:spacing w:before="40" w:after="40"/>
              <w:jc w:val="center"/>
              <w:rPr>
                <w:b/>
                <w:sz w:val="6"/>
                <w:szCs w:val="6"/>
              </w:rPr>
            </w:pPr>
          </w:p>
        </w:tc>
        <w:tc>
          <w:tcPr>
            <w:tcW w:w="1076" w:type="dxa"/>
            <w:tcBorders>
              <w:top w:val="single" w:sz="4" w:space="0" w:color="auto"/>
              <w:bottom w:val="nil"/>
            </w:tcBorders>
          </w:tcPr>
          <w:p w14:paraId="025ED4EA" w14:textId="77777777" w:rsidR="002E2767" w:rsidRPr="00F876EB" w:rsidRDefault="002E2767" w:rsidP="002E2767">
            <w:pPr>
              <w:widowControl/>
              <w:spacing w:before="40" w:after="40"/>
              <w:jc w:val="center"/>
              <w:rPr>
                <w:b/>
                <w:sz w:val="6"/>
                <w:szCs w:val="6"/>
                <w:lang w:val="en-US"/>
              </w:rPr>
            </w:pPr>
          </w:p>
        </w:tc>
        <w:tc>
          <w:tcPr>
            <w:tcW w:w="1264" w:type="dxa"/>
            <w:tcBorders>
              <w:top w:val="single" w:sz="4" w:space="0" w:color="auto"/>
              <w:bottom w:val="nil"/>
            </w:tcBorders>
            <w:vAlign w:val="center"/>
          </w:tcPr>
          <w:p w14:paraId="0B1AB8FA" w14:textId="77777777" w:rsidR="002E2767" w:rsidRPr="00F876EB" w:rsidRDefault="002E2767" w:rsidP="002E2767">
            <w:pPr>
              <w:widowControl/>
              <w:spacing w:before="40" w:after="40"/>
              <w:jc w:val="center"/>
              <w:rPr>
                <w:b/>
                <w:sz w:val="6"/>
                <w:szCs w:val="6"/>
                <w:lang w:val="en-US"/>
              </w:rPr>
            </w:pPr>
          </w:p>
        </w:tc>
      </w:tr>
      <w:tr w:rsidR="002E2767" w:rsidRPr="00F80A16" w14:paraId="38F021EB" w14:textId="77777777" w:rsidTr="002E2767">
        <w:tc>
          <w:tcPr>
            <w:tcW w:w="2515" w:type="dxa"/>
            <w:tcBorders>
              <w:top w:val="nil"/>
              <w:left w:val="single" w:sz="8" w:space="0" w:color="auto"/>
              <w:bottom w:val="nil"/>
            </w:tcBorders>
            <w:vAlign w:val="center"/>
          </w:tcPr>
          <w:p w14:paraId="2973F9DC" w14:textId="77777777" w:rsidR="002E2767" w:rsidRPr="00F876EB" w:rsidRDefault="002E2767" w:rsidP="002E2767">
            <w:pPr>
              <w:widowControl/>
              <w:spacing w:before="40" w:after="40"/>
              <w:jc w:val="left"/>
              <w:rPr>
                <w:b/>
                <w:sz w:val="20"/>
                <w:szCs w:val="20"/>
                <w:lang w:val="en-US"/>
              </w:rPr>
            </w:pPr>
            <w:r>
              <w:rPr>
                <w:b/>
                <w:sz w:val="20"/>
                <w:szCs w:val="20"/>
                <w:lang w:val="en-US"/>
              </w:rPr>
              <w:t>RETURNS</w:t>
            </w:r>
          </w:p>
        </w:tc>
        <w:tc>
          <w:tcPr>
            <w:tcW w:w="2160" w:type="dxa"/>
            <w:tcBorders>
              <w:top w:val="nil"/>
              <w:bottom w:val="nil"/>
            </w:tcBorders>
            <w:vAlign w:val="center"/>
          </w:tcPr>
          <w:p w14:paraId="6145485F" w14:textId="77777777" w:rsidR="002E2767" w:rsidRPr="00461063" w:rsidRDefault="002E2767" w:rsidP="002E2767">
            <w:pPr>
              <w:widowControl/>
              <w:spacing w:before="40" w:after="40"/>
              <w:jc w:val="center"/>
              <w:rPr>
                <w:sz w:val="19"/>
                <w:szCs w:val="19"/>
                <w:lang w:val="en-US"/>
              </w:rPr>
            </w:pPr>
          </w:p>
        </w:tc>
        <w:tc>
          <w:tcPr>
            <w:tcW w:w="1170" w:type="dxa"/>
            <w:tcBorders>
              <w:top w:val="nil"/>
              <w:bottom w:val="nil"/>
            </w:tcBorders>
            <w:vAlign w:val="center"/>
          </w:tcPr>
          <w:p w14:paraId="39F645BB" w14:textId="77777777" w:rsidR="002E2767" w:rsidRPr="00461063" w:rsidRDefault="002E2767" w:rsidP="002E2767">
            <w:pPr>
              <w:widowControl/>
              <w:spacing w:before="40" w:after="40"/>
              <w:jc w:val="center"/>
              <w:rPr>
                <w:b/>
                <w:sz w:val="19"/>
                <w:szCs w:val="19"/>
                <w:lang w:val="en-US"/>
              </w:rPr>
            </w:pPr>
          </w:p>
        </w:tc>
        <w:tc>
          <w:tcPr>
            <w:tcW w:w="1260" w:type="dxa"/>
            <w:tcBorders>
              <w:top w:val="nil"/>
              <w:bottom w:val="nil"/>
            </w:tcBorders>
            <w:vAlign w:val="center"/>
          </w:tcPr>
          <w:p w14:paraId="37DDF798" w14:textId="77777777" w:rsidR="002E2767" w:rsidRPr="00461063" w:rsidRDefault="002E2767" w:rsidP="002E2767">
            <w:pPr>
              <w:widowControl/>
              <w:spacing w:before="40" w:after="40"/>
              <w:jc w:val="center"/>
              <w:rPr>
                <w:b/>
                <w:sz w:val="19"/>
                <w:szCs w:val="19"/>
              </w:rPr>
            </w:pPr>
          </w:p>
        </w:tc>
        <w:tc>
          <w:tcPr>
            <w:tcW w:w="1076" w:type="dxa"/>
            <w:tcBorders>
              <w:top w:val="nil"/>
              <w:bottom w:val="nil"/>
            </w:tcBorders>
          </w:tcPr>
          <w:p w14:paraId="597041D5" w14:textId="77777777" w:rsidR="002E2767" w:rsidRDefault="002E2767" w:rsidP="002E2767">
            <w:pPr>
              <w:widowControl/>
              <w:spacing w:before="40" w:after="40"/>
              <w:jc w:val="center"/>
              <w:rPr>
                <w:b/>
                <w:sz w:val="19"/>
                <w:szCs w:val="19"/>
                <w:lang w:val="en-US"/>
              </w:rPr>
            </w:pPr>
          </w:p>
        </w:tc>
        <w:tc>
          <w:tcPr>
            <w:tcW w:w="1264" w:type="dxa"/>
            <w:tcBorders>
              <w:top w:val="nil"/>
              <w:bottom w:val="nil"/>
            </w:tcBorders>
            <w:vAlign w:val="center"/>
          </w:tcPr>
          <w:p w14:paraId="429A6A63" w14:textId="77777777" w:rsidR="002E2767" w:rsidRDefault="002E2767" w:rsidP="002E2767">
            <w:pPr>
              <w:widowControl/>
              <w:spacing w:before="40" w:after="40"/>
              <w:jc w:val="center"/>
              <w:rPr>
                <w:b/>
                <w:sz w:val="19"/>
                <w:szCs w:val="19"/>
                <w:lang w:val="en-US"/>
              </w:rPr>
            </w:pPr>
          </w:p>
        </w:tc>
      </w:tr>
      <w:tr w:rsidR="002E2767" w:rsidRPr="00F80A16" w14:paraId="67A878F9" w14:textId="77777777" w:rsidTr="002E2767">
        <w:tc>
          <w:tcPr>
            <w:tcW w:w="2515" w:type="dxa"/>
            <w:tcBorders>
              <w:top w:val="nil"/>
              <w:left w:val="single" w:sz="8" w:space="0" w:color="auto"/>
              <w:bottom w:val="nil"/>
            </w:tcBorders>
            <w:vAlign w:val="center"/>
          </w:tcPr>
          <w:p w14:paraId="6F5218EC" w14:textId="77777777" w:rsidR="002E2767" w:rsidRPr="00461063" w:rsidRDefault="002E2767" w:rsidP="002E2767">
            <w:pPr>
              <w:widowControl/>
              <w:spacing w:before="40" w:after="40"/>
              <w:jc w:val="left"/>
              <w:rPr>
                <w:b/>
                <w:sz w:val="19"/>
                <w:szCs w:val="19"/>
                <w:lang w:val="en-US"/>
              </w:rPr>
            </w:pPr>
            <w:r>
              <w:rPr>
                <w:b/>
                <w:sz w:val="19"/>
                <w:szCs w:val="19"/>
                <w:lang w:val="en-US"/>
              </w:rPr>
              <w:t>Portfolio</w:t>
            </w:r>
          </w:p>
        </w:tc>
        <w:tc>
          <w:tcPr>
            <w:tcW w:w="2160" w:type="dxa"/>
            <w:tcBorders>
              <w:top w:val="nil"/>
              <w:bottom w:val="nil"/>
            </w:tcBorders>
            <w:vAlign w:val="center"/>
          </w:tcPr>
          <w:p w14:paraId="3B930CCC" w14:textId="77777777" w:rsidR="002E2767" w:rsidRPr="00461063" w:rsidRDefault="002E2767" w:rsidP="002E2767">
            <w:pPr>
              <w:widowControl/>
              <w:spacing w:before="40" w:after="40"/>
              <w:jc w:val="center"/>
              <w:rPr>
                <w:sz w:val="19"/>
                <w:szCs w:val="19"/>
                <w:lang w:val="en-US"/>
              </w:rPr>
            </w:pPr>
          </w:p>
        </w:tc>
        <w:tc>
          <w:tcPr>
            <w:tcW w:w="1170" w:type="dxa"/>
            <w:tcBorders>
              <w:top w:val="nil"/>
              <w:bottom w:val="nil"/>
            </w:tcBorders>
            <w:vAlign w:val="center"/>
          </w:tcPr>
          <w:p w14:paraId="135EB9B7" w14:textId="77777777" w:rsidR="002E2767" w:rsidRPr="00461063" w:rsidRDefault="002E2767" w:rsidP="002E2767">
            <w:pPr>
              <w:widowControl/>
              <w:spacing w:before="40" w:after="40"/>
              <w:jc w:val="center"/>
              <w:rPr>
                <w:b/>
                <w:sz w:val="19"/>
                <w:szCs w:val="19"/>
                <w:lang w:val="en-US"/>
              </w:rPr>
            </w:pPr>
          </w:p>
        </w:tc>
        <w:tc>
          <w:tcPr>
            <w:tcW w:w="1260" w:type="dxa"/>
            <w:tcBorders>
              <w:top w:val="nil"/>
              <w:bottom w:val="nil"/>
            </w:tcBorders>
            <w:vAlign w:val="center"/>
          </w:tcPr>
          <w:p w14:paraId="34075F86" w14:textId="77777777" w:rsidR="002E2767" w:rsidRPr="00461063" w:rsidRDefault="002E2767" w:rsidP="002E2767">
            <w:pPr>
              <w:widowControl/>
              <w:spacing w:before="40" w:after="40"/>
              <w:jc w:val="center"/>
              <w:rPr>
                <w:b/>
                <w:sz w:val="19"/>
                <w:szCs w:val="19"/>
              </w:rPr>
            </w:pPr>
          </w:p>
        </w:tc>
        <w:tc>
          <w:tcPr>
            <w:tcW w:w="1076" w:type="dxa"/>
            <w:tcBorders>
              <w:top w:val="nil"/>
              <w:bottom w:val="nil"/>
            </w:tcBorders>
          </w:tcPr>
          <w:p w14:paraId="19E85A72" w14:textId="77777777" w:rsidR="002E2767" w:rsidRPr="00461063" w:rsidRDefault="002E2767" w:rsidP="002E2767">
            <w:pPr>
              <w:widowControl/>
              <w:spacing w:before="40" w:after="40"/>
              <w:jc w:val="center"/>
              <w:rPr>
                <w:b/>
                <w:sz w:val="19"/>
                <w:szCs w:val="19"/>
                <w:lang w:val="en-US"/>
              </w:rPr>
            </w:pPr>
            <w:r>
              <w:rPr>
                <w:b/>
                <w:sz w:val="19"/>
                <w:szCs w:val="19"/>
                <w:lang w:val="en-US"/>
              </w:rPr>
              <w:t>2.65%</w:t>
            </w:r>
          </w:p>
        </w:tc>
        <w:tc>
          <w:tcPr>
            <w:tcW w:w="1264" w:type="dxa"/>
            <w:tcBorders>
              <w:top w:val="nil"/>
              <w:bottom w:val="nil"/>
            </w:tcBorders>
            <w:vAlign w:val="center"/>
          </w:tcPr>
          <w:p w14:paraId="01E274D3" w14:textId="77777777" w:rsidR="002E2767" w:rsidRPr="00461063" w:rsidRDefault="002E2767" w:rsidP="002E2767">
            <w:pPr>
              <w:widowControl/>
              <w:spacing w:before="40" w:after="40"/>
              <w:jc w:val="center"/>
              <w:rPr>
                <w:b/>
                <w:sz w:val="19"/>
                <w:szCs w:val="19"/>
                <w:lang w:val="en-US"/>
              </w:rPr>
            </w:pPr>
            <w:r>
              <w:rPr>
                <w:b/>
                <w:sz w:val="19"/>
                <w:szCs w:val="19"/>
                <w:lang w:val="en-US"/>
              </w:rPr>
              <w:t>2.24%</w:t>
            </w:r>
          </w:p>
        </w:tc>
      </w:tr>
      <w:tr w:rsidR="002E2767" w:rsidRPr="00F80A16" w14:paraId="27ABF478" w14:textId="77777777" w:rsidTr="002E2767">
        <w:tc>
          <w:tcPr>
            <w:tcW w:w="2515" w:type="dxa"/>
            <w:tcBorders>
              <w:top w:val="nil"/>
              <w:left w:val="single" w:sz="8" w:space="0" w:color="auto"/>
              <w:bottom w:val="single" w:sz="8" w:space="0" w:color="auto"/>
            </w:tcBorders>
            <w:vAlign w:val="center"/>
          </w:tcPr>
          <w:p w14:paraId="4535DCC0" w14:textId="77777777" w:rsidR="002E2767" w:rsidRPr="00461063" w:rsidRDefault="002E2767" w:rsidP="002E2767">
            <w:pPr>
              <w:widowControl/>
              <w:spacing w:before="40" w:after="40"/>
              <w:jc w:val="left"/>
              <w:rPr>
                <w:b/>
                <w:sz w:val="19"/>
                <w:szCs w:val="19"/>
                <w:lang w:val="en-US"/>
              </w:rPr>
            </w:pPr>
            <w:r>
              <w:rPr>
                <w:b/>
                <w:sz w:val="19"/>
                <w:szCs w:val="19"/>
                <w:lang w:val="en-US"/>
              </w:rPr>
              <w:t>SMF vs Reference Portfolio</w:t>
            </w:r>
          </w:p>
        </w:tc>
        <w:tc>
          <w:tcPr>
            <w:tcW w:w="2160" w:type="dxa"/>
            <w:tcBorders>
              <w:top w:val="nil"/>
              <w:bottom w:val="single" w:sz="8" w:space="0" w:color="auto"/>
            </w:tcBorders>
            <w:vAlign w:val="center"/>
          </w:tcPr>
          <w:p w14:paraId="3E6278A2" w14:textId="77777777" w:rsidR="002E2767" w:rsidRPr="00461063" w:rsidRDefault="002E2767" w:rsidP="002E2767">
            <w:pPr>
              <w:widowControl/>
              <w:spacing w:before="40" w:after="40"/>
              <w:jc w:val="center"/>
              <w:rPr>
                <w:sz w:val="19"/>
                <w:szCs w:val="19"/>
                <w:lang w:val="en-US"/>
              </w:rPr>
            </w:pPr>
          </w:p>
        </w:tc>
        <w:tc>
          <w:tcPr>
            <w:tcW w:w="1170" w:type="dxa"/>
            <w:tcBorders>
              <w:top w:val="nil"/>
              <w:bottom w:val="single" w:sz="8" w:space="0" w:color="auto"/>
            </w:tcBorders>
            <w:vAlign w:val="center"/>
          </w:tcPr>
          <w:p w14:paraId="62BAB23F" w14:textId="77777777" w:rsidR="002E2767" w:rsidRPr="00461063" w:rsidRDefault="002E2767" w:rsidP="002E2767">
            <w:pPr>
              <w:widowControl/>
              <w:spacing w:before="40" w:after="40"/>
              <w:jc w:val="center"/>
              <w:rPr>
                <w:b/>
                <w:sz w:val="19"/>
                <w:szCs w:val="19"/>
                <w:lang w:val="en-US"/>
              </w:rPr>
            </w:pPr>
          </w:p>
        </w:tc>
        <w:tc>
          <w:tcPr>
            <w:tcW w:w="1260" w:type="dxa"/>
            <w:tcBorders>
              <w:top w:val="nil"/>
              <w:bottom w:val="single" w:sz="8" w:space="0" w:color="auto"/>
            </w:tcBorders>
            <w:vAlign w:val="center"/>
          </w:tcPr>
          <w:p w14:paraId="2F54FB19" w14:textId="77777777" w:rsidR="002E2767" w:rsidRPr="00461063" w:rsidRDefault="002E2767" w:rsidP="002E2767">
            <w:pPr>
              <w:widowControl/>
              <w:spacing w:before="40" w:after="40"/>
              <w:jc w:val="center"/>
              <w:rPr>
                <w:b/>
                <w:sz w:val="19"/>
                <w:szCs w:val="19"/>
              </w:rPr>
            </w:pPr>
          </w:p>
        </w:tc>
        <w:tc>
          <w:tcPr>
            <w:tcW w:w="1076" w:type="dxa"/>
            <w:tcBorders>
              <w:top w:val="nil"/>
              <w:bottom w:val="single" w:sz="8" w:space="0" w:color="auto"/>
            </w:tcBorders>
          </w:tcPr>
          <w:p w14:paraId="6A31AA3F" w14:textId="77777777" w:rsidR="002E2767" w:rsidRPr="00461063" w:rsidRDefault="002E2767" w:rsidP="002E2767">
            <w:pPr>
              <w:widowControl/>
              <w:spacing w:before="40" w:after="40"/>
              <w:jc w:val="center"/>
              <w:rPr>
                <w:b/>
                <w:sz w:val="19"/>
                <w:szCs w:val="19"/>
                <w:lang w:val="en-US"/>
              </w:rPr>
            </w:pPr>
            <w:r>
              <w:rPr>
                <w:b/>
                <w:sz w:val="19"/>
                <w:szCs w:val="19"/>
                <w:lang w:val="en-US"/>
              </w:rPr>
              <w:t>-.</w:t>
            </w:r>
          </w:p>
        </w:tc>
        <w:tc>
          <w:tcPr>
            <w:tcW w:w="1264" w:type="dxa"/>
            <w:tcBorders>
              <w:top w:val="nil"/>
              <w:bottom w:val="single" w:sz="8" w:space="0" w:color="auto"/>
            </w:tcBorders>
            <w:vAlign w:val="center"/>
          </w:tcPr>
          <w:p w14:paraId="0E5D2D9F" w14:textId="77777777" w:rsidR="002E2767" w:rsidRPr="00461063" w:rsidRDefault="002E2767" w:rsidP="002E2767">
            <w:pPr>
              <w:widowControl/>
              <w:spacing w:before="40" w:after="40"/>
              <w:jc w:val="center"/>
              <w:rPr>
                <w:b/>
                <w:sz w:val="19"/>
                <w:szCs w:val="19"/>
                <w:lang w:val="en-US"/>
              </w:rPr>
            </w:pPr>
            <w:r>
              <w:rPr>
                <w:b/>
                <w:sz w:val="19"/>
                <w:szCs w:val="19"/>
                <w:lang w:val="en-US"/>
              </w:rPr>
              <w:t>-0.41%</w:t>
            </w:r>
          </w:p>
        </w:tc>
      </w:tr>
    </w:tbl>
    <w:p w14:paraId="0ACE72EB" w14:textId="77777777" w:rsidR="002E2767" w:rsidRDefault="002E2767" w:rsidP="002E2767">
      <w:pPr>
        <w:widowControl/>
        <w:spacing w:before="180"/>
        <w:rPr>
          <w:sz w:val="20"/>
          <w:szCs w:val="20"/>
        </w:rPr>
      </w:pPr>
    </w:p>
    <w:p w14:paraId="2D1B5440" w14:textId="77777777" w:rsidR="002E2767" w:rsidRPr="00461063" w:rsidRDefault="002E2767" w:rsidP="002E2767">
      <w:pPr>
        <w:widowControl/>
        <w:spacing w:line="312" w:lineRule="auto"/>
        <w:jc w:val="left"/>
        <w:rPr>
          <w:b/>
          <w:color w:val="2E74B5" w:themeColor="accent5" w:themeShade="BF"/>
          <w:sz w:val="22"/>
          <w:szCs w:val="20"/>
        </w:rPr>
      </w:pPr>
      <w:r w:rsidRPr="00461063">
        <w:rPr>
          <w:b/>
          <w:color w:val="2E74B5" w:themeColor="accent5" w:themeShade="BF"/>
          <w:sz w:val="22"/>
          <w:szCs w:val="20"/>
        </w:rPr>
        <w:t>Attribution Analysis</w:t>
      </w:r>
    </w:p>
    <w:p w14:paraId="0C7BDB8B" w14:textId="77777777" w:rsidR="002E2767" w:rsidRPr="00D61662" w:rsidRDefault="002E2767" w:rsidP="002E2767">
      <w:pPr>
        <w:widowControl/>
        <w:spacing w:before="180"/>
        <w:rPr>
          <w:sz w:val="20"/>
          <w:szCs w:val="20"/>
        </w:rPr>
      </w:pPr>
      <w:r w:rsidRPr="00D61662">
        <w:rPr>
          <w:sz w:val="20"/>
          <w:szCs w:val="20"/>
        </w:rPr>
        <w:t>During Semester 2, the Fund developed a performance attribution model to analyse the sources of performance relative to the benchmark portfolio</w:t>
      </w:r>
      <w:r>
        <w:rPr>
          <w:sz w:val="20"/>
          <w:szCs w:val="20"/>
        </w:rPr>
        <w:t>, broken down into contributions from</w:t>
      </w:r>
      <w:r w:rsidRPr="00D61662">
        <w:rPr>
          <w:sz w:val="20"/>
          <w:szCs w:val="20"/>
        </w:rPr>
        <w:t xml:space="preserve"> asset allocation </w:t>
      </w:r>
      <w:r>
        <w:rPr>
          <w:sz w:val="20"/>
          <w:szCs w:val="20"/>
        </w:rPr>
        <w:t xml:space="preserve">and security selection </w:t>
      </w:r>
      <w:r w:rsidRPr="00D61662">
        <w:rPr>
          <w:sz w:val="20"/>
          <w:szCs w:val="20"/>
        </w:rPr>
        <w:t xml:space="preserve">decisions. This analysis </w:t>
      </w:r>
      <w:r>
        <w:rPr>
          <w:sz w:val="20"/>
          <w:szCs w:val="20"/>
        </w:rPr>
        <w:t xml:space="preserve">has been further enhanced since being first </w:t>
      </w:r>
      <w:r w:rsidRPr="00D61662">
        <w:rPr>
          <w:sz w:val="20"/>
          <w:szCs w:val="20"/>
        </w:rPr>
        <w:t>presented in the Mid-Semester Report</w:t>
      </w:r>
      <w:r>
        <w:rPr>
          <w:sz w:val="20"/>
          <w:szCs w:val="20"/>
        </w:rPr>
        <w:t>,</w:t>
      </w:r>
      <w:r w:rsidRPr="00D61662">
        <w:rPr>
          <w:sz w:val="20"/>
          <w:szCs w:val="20"/>
        </w:rPr>
        <w:t xml:space="preserve"> and is </w:t>
      </w:r>
      <w:r>
        <w:rPr>
          <w:sz w:val="20"/>
          <w:szCs w:val="20"/>
        </w:rPr>
        <w:t>updated in Figure 4 with respect to the period 10 April 2018 to 13 November 2018. T</w:t>
      </w:r>
      <w:r w:rsidRPr="00D61662">
        <w:rPr>
          <w:sz w:val="20"/>
          <w:szCs w:val="20"/>
        </w:rPr>
        <w:t>h</w:t>
      </w:r>
      <w:r>
        <w:rPr>
          <w:sz w:val="20"/>
          <w:szCs w:val="20"/>
        </w:rPr>
        <w:t>is analysis identifies the components of</w:t>
      </w:r>
      <w:r w:rsidRPr="00D61662">
        <w:rPr>
          <w:sz w:val="20"/>
          <w:szCs w:val="20"/>
        </w:rPr>
        <w:t xml:space="preserve"> </w:t>
      </w:r>
      <w:r>
        <w:rPr>
          <w:sz w:val="20"/>
          <w:szCs w:val="20"/>
        </w:rPr>
        <w:t xml:space="preserve">the </w:t>
      </w:r>
      <w:r w:rsidRPr="00D61662">
        <w:rPr>
          <w:sz w:val="20"/>
          <w:szCs w:val="20"/>
        </w:rPr>
        <w:t xml:space="preserve">underperformance </w:t>
      </w:r>
      <w:r>
        <w:rPr>
          <w:sz w:val="20"/>
          <w:szCs w:val="20"/>
        </w:rPr>
        <w:t>relative to</w:t>
      </w:r>
      <w:r w:rsidRPr="00D61662">
        <w:rPr>
          <w:sz w:val="20"/>
          <w:szCs w:val="20"/>
        </w:rPr>
        <w:t xml:space="preserve"> the reference portfolio</w:t>
      </w:r>
      <w:r>
        <w:rPr>
          <w:sz w:val="20"/>
          <w:szCs w:val="20"/>
        </w:rPr>
        <w:t xml:space="preserve"> of -0.41% that was reported in Table 3</w:t>
      </w:r>
      <w:r w:rsidRPr="00D61662">
        <w:rPr>
          <w:sz w:val="20"/>
          <w:szCs w:val="20"/>
        </w:rPr>
        <w:t xml:space="preserve">. </w:t>
      </w:r>
    </w:p>
    <w:p w14:paraId="06A21122" w14:textId="77777777" w:rsidR="002E2767" w:rsidRDefault="002E2767" w:rsidP="002E2767">
      <w:pPr>
        <w:widowControl/>
        <w:spacing w:before="180"/>
        <w:rPr>
          <w:sz w:val="20"/>
          <w:szCs w:val="20"/>
        </w:rPr>
      </w:pPr>
      <w:r w:rsidRPr="00D61662">
        <w:rPr>
          <w:sz w:val="20"/>
          <w:szCs w:val="20"/>
        </w:rPr>
        <w:t xml:space="preserve">Figure 4 </w:t>
      </w:r>
      <w:r>
        <w:rPr>
          <w:sz w:val="20"/>
          <w:szCs w:val="20"/>
        </w:rPr>
        <w:t xml:space="preserve">reveals that a -0.35% contribution from </w:t>
      </w:r>
      <w:r w:rsidRPr="00D61662">
        <w:rPr>
          <w:sz w:val="20"/>
          <w:szCs w:val="20"/>
        </w:rPr>
        <w:t xml:space="preserve">security selection </w:t>
      </w:r>
      <w:r>
        <w:rPr>
          <w:sz w:val="20"/>
          <w:szCs w:val="20"/>
        </w:rPr>
        <w:t xml:space="preserve">in the AAE portfolio was the key source of underperformance at the total portfolio level. </w:t>
      </w:r>
      <w:r w:rsidRPr="00773769">
        <w:rPr>
          <w:sz w:val="20"/>
          <w:szCs w:val="20"/>
        </w:rPr>
        <w:t>T</w:t>
      </w:r>
      <w:r>
        <w:rPr>
          <w:sz w:val="20"/>
          <w:szCs w:val="20"/>
        </w:rPr>
        <w:t xml:space="preserve">he </w:t>
      </w:r>
      <w:r w:rsidRPr="00773769">
        <w:rPr>
          <w:sz w:val="20"/>
          <w:szCs w:val="20"/>
        </w:rPr>
        <w:t xml:space="preserve">AAE portfolio underperformed the S&amp;P/ASX200 ETF by -0.74%, </w:t>
      </w:r>
      <w:r>
        <w:rPr>
          <w:sz w:val="20"/>
          <w:szCs w:val="20"/>
        </w:rPr>
        <w:t xml:space="preserve">the primary source of which being </w:t>
      </w:r>
      <w:r w:rsidRPr="00773769">
        <w:rPr>
          <w:sz w:val="20"/>
          <w:szCs w:val="20"/>
        </w:rPr>
        <w:t>a negative contribution of -1.65% from Bingo Industries. The decline in Bingo appears to reflect downward pressure on the company’s share price as institutional investors have sold the stock</w:t>
      </w:r>
      <w:r>
        <w:rPr>
          <w:sz w:val="20"/>
          <w:szCs w:val="20"/>
        </w:rPr>
        <w:t>. H</w:t>
      </w:r>
      <w:r w:rsidRPr="00773769">
        <w:rPr>
          <w:sz w:val="20"/>
          <w:szCs w:val="20"/>
        </w:rPr>
        <w:t>owever</w:t>
      </w:r>
      <w:r>
        <w:rPr>
          <w:sz w:val="20"/>
          <w:szCs w:val="20"/>
        </w:rPr>
        <w:t>,</w:t>
      </w:r>
      <w:r w:rsidRPr="00773769">
        <w:rPr>
          <w:sz w:val="20"/>
          <w:szCs w:val="20"/>
        </w:rPr>
        <w:t xml:space="preserve"> the</w:t>
      </w:r>
      <w:r>
        <w:rPr>
          <w:sz w:val="20"/>
          <w:szCs w:val="20"/>
        </w:rPr>
        <w:t xml:space="preserve"> SMF sees no reason to change its view of the company’s cash flow fundamentals, and hence </w:t>
      </w:r>
      <w:r w:rsidRPr="00773769">
        <w:rPr>
          <w:sz w:val="20"/>
          <w:szCs w:val="20"/>
        </w:rPr>
        <w:t xml:space="preserve">retains confidence in the long-term attractiveness of this investment. Telstra, having weathered similar conditions, provided the largest positive contribution of 0.96% </w:t>
      </w:r>
      <w:r>
        <w:rPr>
          <w:sz w:val="20"/>
          <w:szCs w:val="20"/>
        </w:rPr>
        <w:t xml:space="preserve">to AAE portfolio performance </w:t>
      </w:r>
      <w:r w:rsidRPr="00773769">
        <w:rPr>
          <w:sz w:val="20"/>
          <w:szCs w:val="20"/>
        </w:rPr>
        <w:t>as the market become</w:t>
      </w:r>
      <w:r>
        <w:rPr>
          <w:sz w:val="20"/>
          <w:szCs w:val="20"/>
        </w:rPr>
        <w:t>s</w:t>
      </w:r>
      <w:r w:rsidRPr="00773769">
        <w:rPr>
          <w:sz w:val="20"/>
          <w:szCs w:val="20"/>
        </w:rPr>
        <w:t xml:space="preserve"> less wary of downside risk and perceptions are aligning more closely with our investment thesis</w:t>
      </w:r>
      <w:r w:rsidRPr="00A15C89">
        <w:rPr>
          <w:sz w:val="20"/>
          <w:szCs w:val="20"/>
        </w:rPr>
        <w:t>. The asset allocation contribution of 0.03% is reflective of the interaction between market movements and asset weights, rather</w:t>
      </w:r>
      <w:r w:rsidRPr="00D61662">
        <w:rPr>
          <w:sz w:val="20"/>
          <w:szCs w:val="20"/>
        </w:rPr>
        <w:t xml:space="preserve"> than strategic </w:t>
      </w:r>
      <w:r>
        <w:rPr>
          <w:sz w:val="20"/>
          <w:szCs w:val="20"/>
        </w:rPr>
        <w:t>positions, as no decision has yet been made to actively vary from the reference asset allocation</w:t>
      </w:r>
      <w:r w:rsidRPr="00D61662">
        <w:rPr>
          <w:sz w:val="20"/>
          <w:szCs w:val="20"/>
        </w:rPr>
        <w:t>. With the expected completion of the AA IP in 2019, the SMF will be able to make deliberate changes to its asset allocation in the future.</w:t>
      </w:r>
      <w:r>
        <w:rPr>
          <w:sz w:val="20"/>
          <w:szCs w:val="20"/>
        </w:rPr>
        <w:t xml:space="preserve"> A small negative contribution arose from the cash portfolio as a consequence of holding liquidity within the cash management trust, which offers a lower yield than the benchmark cash ETF. </w:t>
      </w:r>
    </w:p>
    <w:p w14:paraId="1277EA38" w14:textId="77777777" w:rsidR="002E2767" w:rsidRDefault="002E2767" w:rsidP="002E2767">
      <w:pPr>
        <w:spacing w:before="0" w:after="40"/>
        <w:rPr>
          <w:b/>
          <w:sz w:val="20"/>
          <w:szCs w:val="20"/>
          <w:highlight w:val="yellow"/>
          <w:lang w:val="en-US" w:eastAsia="zh-CN"/>
        </w:rPr>
      </w:pPr>
    </w:p>
    <w:p w14:paraId="1D6127E9" w14:textId="77777777" w:rsidR="002E2767" w:rsidRPr="00135051" w:rsidRDefault="002E2767" w:rsidP="002E2767">
      <w:pPr>
        <w:spacing w:before="0" w:after="40"/>
        <w:ind w:left="1080"/>
        <w:rPr>
          <w:b/>
          <w:sz w:val="20"/>
          <w:szCs w:val="20"/>
          <w:lang w:val="en-US"/>
        </w:rPr>
      </w:pPr>
      <w:r w:rsidRPr="00135051">
        <w:rPr>
          <w:b/>
          <w:sz w:val="20"/>
          <w:szCs w:val="20"/>
          <w:lang w:val="en-US" w:eastAsia="zh-CN"/>
        </w:rPr>
        <w:t>Figure 4: Performance Attribution</w:t>
      </w:r>
      <w:r>
        <w:rPr>
          <w:b/>
          <w:sz w:val="20"/>
          <w:szCs w:val="20"/>
          <w:lang w:val="en-US" w:eastAsia="zh-CN"/>
        </w:rPr>
        <w:t>: 10 April 2018 to 13 November 2018</w:t>
      </w:r>
    </w:p>
    <w:tbl>
      <w:tblPr>
        <w:tblStyle w:val="TableGrid"/>
        <w:tblW w:w="7396" w:type="dxa"/>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5120"/>
        <w:gridCol w:w="2276"/>
      </w:tblGrid>
      <w:tr w:rsidR="002E2767" w:rsidRPr="00F80A16" w14:paraId="7085A033" w14:textId="77777777" w:rsidTr="002E2767">
        <w:trPr>
          <w:jc w:val="center"/>
        </w:trPr>
        <w:tc>
          <w:tcPr>
            <w:tcW w:w="7396" w:type="dxa"/>
            <w:gridSpan w:val="2"/>
            <w:shd w:val="clear" w:color="auto" w:fill="DEEAF6"/>
            <w:vAlign w:val="center"/>
          </w:tcPr>
          <w:p w14:paraId="3344C6A6" w14:textId="77777777" w:rsidR="002E2767" w:rsidRPr="00F80A16" w:rsidRDefault="002E2767" w:rsidP="002E2767">
            <w:pPr>
              <w:widowControl/>
              <w:spacing w:before="40" w:after="40"/>
              <w:jc w:val="center"/>
              <w:rPr>
                <w:b/>
                <w:sz w:val="20"/>
                <w:szCs w:val="20"/>
                <w:lang w:eastAsia="zh-CN"/>
              </w:rPr>
            </w:pPr>
            <w:r w:rsidRPr="00703AA1">
              <w:rPr>
                <w:b/>
                <w:sz w:val="20"/>
                <w:szCs w:val="20"/>
                <w:lang w:val="en-US"/>
              </w:rPr>
              <w:t>Contributions to Performanc</w:t>
            </w:r>
            <w:r>
              <w:rPr>
                <w:b/>
                <w:sz w:val="20"/>
                <w:szCs w:val="20"/>
                <w:lang w:val="en-US"/>
              </w:rPr>
              <w:t>e</w:t>
            </w:r>
            <w:r w:rsidRPr="00703AA1">
              <w:rPr>
                <w:b/>
                <w:sz w:val="20"/>
                <w:szCs w:val="20"/>
                <w:lang w:val="en-US"/>
              </w:rPr>
              <w:t xml:space="preserve"> of Portfolio vs. Benchmark</w:t>
            </w:r>
          </w:p>
        </w:tc>
      </w:tr>
      <w:tr w:rsidR="002E2767" w:rsidRPr="00F80A16" w14:paraId="690C36D4" w14:textId="77777777" w:rsidTr="002E2767">
        <w:trPr>
          <w:jc w:val="center"/>
        </w:trPr>
        <w:tc>
          <w:tcPr>
            <w:tcW w:w="5120" w:type="dxa"/>
            <w:vAlign w:val="center"/>
          </w:tcPr>
          <w:p w14:paraId="515FB2D2" w14:textId="77777777" w:rsidR="002E2767" w:rsidRPr="008D3BE7" w:rsidRDefault="002E2767" w:rsidP="002E2767">
            <w:pPr>
              <w:widowControl/>
              <w:spacing w:before="40" w:after="40"/>
              <w:jc w:val="left"/>
              <w:rPr>
                <w:b/>
                <w:i/>
                <w:sz w:val="12"/>
                <w:szCs w:val="12"/>
                <w:lang w:val="en-US"/>
              </w:rPr>
            </w:pPr>
          </w:p>
        </w:tc>
        <w:tc>
          <w:tcPr>
            <w:tcW w:w="2274" w:type="dxa"/>
            <w:vAlign w:val="center"/>
          </w:tcPr>
          <w:p w14:paraId="5F5C0A83" w14:textId="77777777" w:rsidR="002E2767" w:rsidRPr="008D3BE7" w:rsidRDefault="002E2767" w:rsidP="002E2767">
            <w:pPr>
              <w:widowControl/>
              <w:spacing w:before="40" w:after="40"/>
              <w:jc w:val="center"/>
              <w:rPr>
                <w:b/>
                <w:i/>
                <w:sz w:val="12"/>
                <w:szCs w:val="12"/>
                <w:lang w:eastAsia="zh-CN"/>
              </w:rPr>
            </w:pPr>
          </w:p>
        </w:tc>
      </w:tr>
      <w:tr w:rsidR="002E2767" w:rsidRPr="00F80A16" w14:paraId="221FF37D" w14:textId="77777777" w:rsidTr="002E2767">
        <w:trPr>
          <w:jc w:val="center"/>
        </w:trPr>
        <w:tc>
          <w:tcPr>
            <w:tcW w:w="5120" w:type="dxa"/>
            <w:vAlign w:val="center"/>
          </w:tcPr>
          <w:p w14:paraId="14A04ACB" w14:textId="77777777" w:rsidR="002E2767" w:rsidRPr="008D3BE7" w:rsidRDefault="002E2767" w:rsidP="002E2767">
            <w:pPr>
              <w:widowControl/>
              <w:spacing w:before="40" w:after="40"/>
              <w:jc w:val="left"/>
              <w:rPr>
                <w:b/>
                <w:sz w:val="20"/>
                <w:szCs w:val="20"/>
                <w:lang w:eastAsia="zh-CN"/>
              </w:rPr>
            </w:pPr>
            <w:r w:rsidRPr="008D3BE7">
              <w:rPr>
                <w:b/>
                <w:sz w:val="20"/>
                <w:szCs w:val="20"/>
                <w:lang w:val="en-US"/>
              </w:rPr>
              <w:t>SMF Portfolio vs. Reference Portfolio</w:t>
            </w:r>
          </w:p>
        </w:tc>
        <w:tc>
          <w:tcPr>
            <w:tcW w:w="2274" w:type="dxa"/>
            <w:vAlign w:val="center"/>
          </w:tcPr>
          <w:p w14:paraId="6462172D" w14:textId="77777777" w:rsidR="002E2767" w:rsidRPr="00F80A16" w:rsidRDefault="002E2767" w:rsidP="002E2767">
            <w:pPr>
              <w:widowControl/>
              <w:spacing w:before="40" w:after="40"/>
              <w:jc w:val="center"/>
              <w:rPr>
                <w:b/>
                <w:i/>
                <w:sz w:val="20"/>
                <w:szCs w:val="20"/>
                <w:lang w:eastAsia="zh-CN"/>
              </w:rPr>
            </w:pPr>
          </w:p>
        </w:tc>
      </w:tr>
      <w:tr w:rsidR="002E2767" w:rsidRPr="00F80A16" w14:paraId="348BBC5A" w14:textId="77777777" w:rsidTr="002E2767">
        <w:trPr>
          <w:jc w:val="center"/>
        </w:trPr>
        <w:tc>
          <w:tcPr>
            <w:tcW w:w="5120" w:type="dxa"/>
            <w:vAlign w:val="center"/>
          </w:tcPr>
          <w:p w14:paraId="3ECCC998" w14:textId="77777777" w:rsidR="002E2767" w:rsidRPr="00F80A16" w:rsidRDefault="002E2767" w:rsidP="002E2767">
            <w:pPr>
              <w:widowControl/>
              <w:spacing w:before="40" w:after="40"/>
              <w:jc w:val="left"/>
              <w:rPr>
                <w:sz w:val="20"/>
                <w:szCs w:val="20"/>
                <w:lang w:eastAsia="zh-CN"/>
              </w:rPr>
            </w:pPr>
            <w:r>
              <w:rPr>
                <w:sz w:val="20"/>
                <w:szCs w:val="20"/>
                <w:lang w:val="en-US"/>
              </w:rPr>
              <w:t xml:space="preserve">Asset Allocation </w:t>
            </w:r>
          </w:p>
        </w:tc>
        <w:tc>
          <w:tcPr>
            <w:tcW w:w="2274" w:type="dxa"/>
            <w:vAlign w:val="center"/>
          </w:tcPr>
          <w:p w14:paraId="515E9520" w14:textId="77777777" w:rsidR="002E2767" w:rsidRPr="00F80A16" w:rsidRDefault="002E2767" w:rsidP="002E2767">
            <w:pPr>
              <w:widowControl/>
              <w:spacing w:before="40" w:after="40"/>
              <w:jc w:val="center"/>
              <w:rPr>
                <w:sz w:val="20"/>
                <w:szCs w:val="20"/>
                <w:lang w:eastAsia="zh-CN"/>
              </w:rPr>
            </w:pPr>
            <w:r>
              <w:rPr>
                <w:sz w:val="20"/>
                <w:szCs w:val="20"/>
                <w:lang w:eastAsia="zh-CN"/>
              </w:rPr>
              <w:t>0.03%</w:t>
            </w:r>
          </w:p>
        </w:tc>
      </w:tr>
      <w:tr w:rsidR="002E2767" w:rsidRPr="00F80A16" w14:paraId="7ACBC8B3" w14:textId="77777777" w:rsidTr="002E2767">
        <w:trPr>
          <w:jc w:val="center"/>
        </w:trPr>
        <w:tc>
          <w:tcPr>
            <w:tcW w:w="5120" w:type="dxa"/>
            <w:vAlign w:val="center"/>
          </w:tcPr>
          <w:p w14:paraId="6FC5865C" w14:textId="77777777" w:rsidR="002E2767" w:rsidRDefault="002E2767" w:rsidP="002E2767">
            <w:pPr>
              <w:widowControl/>
              <w:spacing w:before="40" w:after="40"/>
              <w:jc w:val="left"/>
              <w:rPr>
                <w:sz w:val="20"/>
                <w:szCs w:val="20"/>
                <w:lang w:val="en-US"/>
              </w:rPr>
            </w:pPr>
            <w:r>
              <w:rPr>
                <w:sz w:val="20"/>
                <w:szCs w:val="20"/>
                <w:lang w:val="en-US"/>
              </w:rPr>
              <w:t xml:space="preserve">Security Selection - AAE Portfolio  </w:t>
            </w:r>
          </w:p>
        </w:tc>
        <w:tc>
          <w:tcPr>
            <w:tcW w:w="2274" w:type="dxa"/>
            <w:vAlign w:val="center"/>
          </w:tcPr>
          <w:p w14:paraId="07C06412" w14:textId="77777777" w:rsidR="002E2767" w:rsidRPr="00F80A16" w:rsidRDefault="002E2767" w:rsidP="002E2767">
            <w:pPr>
              <w:widowControl/>
              <w:spacing w:before="40" w:after="40"/>
              <w:jc w:val="center"/>
              <w:rPr>
                <w:sz w:val="20"/>
                <w:szCs w:val="20"/>
                <w:lang w:eastAsia="zh-CN"/>
              </w:rPr>
            </w:pPr>
            <w:r>
              <w:rPr>
                <w:sz w:val="20"/>
                <w:szCs w:val="20"/>
                <w:lang w:eastAsia="zh-CN"/>
              </w:rPr>
              <w:t>-0.35%</w:t>
            </w:r>
          </w:p>
        </w:tc>
      </w:tr>
      <w:tr w:rsidR="002E2767" w:rsidRPr="00F80A16" w14:paraId="6D3A253C" w14:textId="77777777" w:rsidTr="002E2767">
        <w:trPr>
          <w:jc w:val="center"/>
        </w:trPr>
        <w:tc>
          <w:tcPr>
            <w:tcW w:w="5120" w:type="dxa"/>
            <w:vAlign w:val="center"/>
          </w:tcPr>
          <w:p w14:paraId="76DF63C6" w14:textId="77777777" w:rsidR="002E2767" w:rsidRPr="00F80A16" w:rsidRDefault="002E2767" w:rsidP="002E2767">
            <w:pPr>
              <w:widowControl/>
              <w:spacing w:before="40" w:after="40"/>
              <w:jc w:val="left"/>
              <w:rPr>
                <w:sz w:val="20"/>
                <w:szCs w:val="20"/>
                <w:lang w:val="en-US"/>
              </w:rPr>
            </w:pPr>
            <w:r>
              <w:rPr>
                <w:sz w:val="20"/>
                <w:szCs w:val="20"/>
                <w:lang w:val="en-US"/>
              </w:rPr>
              <w:t xml:space="preserve">Security Selection – Cash Portfolio  </w:t>
            </w:r>
          </w:p>
        </w:tc>
        <w:tc>
          <w:tcPr>
            <w:tcW w:w="2274" w:type="dxa"/>
            <w:vAlign w:val="center"/>
          </w:tcPr>
          <w:p w14:paraId="7303A0BB" w14:textId="77777777" w:rsidR="002E2767" w:rsidRPr="00F80A16" w:rsidRDefault="002E2767" w:rsidP="002E2767">
            <w:pPr>
              <w:widowControl/>
              <w:spacing w:before="40" w:after="40"/>
              <w:jc w:val="center"/>
              <w:rPr>
                <w:sz w:val="20"/>
                <w:szCs w:val="20"/>
                <w:lang w:eastAsia="zh-CN"/>
              </w:rPr>
            </w:pPr>
            <w:r>
              <w:rPr>
                <w:sz w:val="20"/>
                <w:szCs w:val="20"/>
                <w:lang w:eastAsia="zh-CN"/>
              </w:rPr>
              <w:t>-0.01%</w:t>
            </w:r>
          </w:p>
        </w:tc>
      </w:tr>
      <w:tr w:rsidR="002E2767" w:rsidRPr="00F80A16" w14:paraId="3FA9D99D" w14:textId="77777777" w:rsidTr="002E2767">
        <w:trPr>
          <w:jc w:val="center"/>
        </w:trPr>
        <w:tc>
          <w:tcPr>
            <w:tcW w:w="5120" w:type="dxa"/>
            <w:tcBorders>
              <w:top w:val="single" w:sz="4" w:space="0" w:color="auto"/>
              <w:bottom w:val="single" w:sz="4" w:space="0" w:color="auto"/>
            </w:tcBorders>
            <w:vAlign w:val="center"/>
          </w:tcPr>
          <w:p w14:paraId="6AB36003" w14:textId="77777777" w:rsidR="002E2767" w:rsidRDefault="002E2767" w:rsidP="002E2767">
            <w:pPr>
              <w:widowControl/>
              <w:spacing w:before="40" w:after="40"/>
              <w:jc w:val="left"/>
              <w:rPr>
                <w:sz w:val="20"/>
                <w:szCs w:val="20"/>
                <w:lang w:val="en-US"/>
              </w:rPr>
            </w:pPr>
            <w:r>
              <w:rPr>
                <w:sz w:val="20"/>
                <w:szCs w:val="20"/>
                <w:lang w:val="en-US"/>
              </w:rPr>
              <w:t xml:space="preserve">Sum of Above Contributions </w:t>
            </w:r>
          </w:p>
        </w:tc>
        <w:tc>
          <w:tcPr>
            <w:tcW w:w="2274" w:type="dxa"/>
            <w:tcBorders>
              <w:top w:val="single" w:sz="4" w:space="0" w:color="auto"/>
              <w:bottom w:val="single" w:sz="4" w:space="0" w:color="auto"/>
            </w:tcBorders>
            <w:vAlign w:val="center"/>
          </w:tcPr>
          <w:p w14:paraId="7E773E9C" w14:textId="77777777" w:rsidR="002E2767" w:rsidRPr="00F80A16" w:rsidRDefault="002E2767" w:rsidP="002E2767">
            <w:pPr>
              <w:widowControl/>
              <w:spacing w:before="40" w:after="40"/>
              <w:jc w:val="center"/>
              <w:rPr>
                <w:sz w:val="20"/>
                <w:szCs w:val="20"/>
                <w:lang w:eastAsia="zh-CN"/>
              </w:rPr>
            </w:pPr>
            <w:r>
              <w:rPr>
                <w:sz w:val="20"/>
                <w:szCs w:val="20"/>
                <w:lang w:eastAsia="zh-CN"/>
              </w:rPr>
              <w:t>-0.34%</w:t>
            </w:r>
          </w:p>
        </w:tc>
      </w:tr>
      <w:tr w:rsidR="002E2767" w:rsidRPr="00F80A16" w14:paraId="30471E05" w14:textId="77777777" w:rsidTr="002E2767">
        <w:trPr>
          <w:jc w:val="center"/>
        </w:trPr>
        <w:tc>
          <w:tcPr>
            <w:tcW w:w="5120" w:type="dxa"/>
            <w:tcBorders>
              <w:top w:val="single" w:sz="4" w:space="0" w:color="auto"/>
              <w:bottom w:val="single" w:sz="4" w:space="0" w:color="auto"/>
            </w:tcBorders>
            <w:vAlign w:val="center"/>
          </w:tcPr>
          <w:p w14:paraId="720E2816" w14:textId="77777777" w:rsidR="002E2767" w:rsidRDefault="002E2767" w:rsidP="002E2767">
            <w:pPr>
              <w:widowControl/>
              <w:spacing w:before="40" w:after="40"/>
              <w:jc w:val="left"/>
              <w:rPr>
                <w:sz w:val="20"/>
                <w:szCs w:val="20"/>
                <w:lang w:val="en-US"/>
              </w:rPr>
            </w:pPr>
            <w:r>
              <w:rPr>
                <w:sz w:val="20"/>
                <w:szCs w:val="20"/>
                <w:lang w:val="en-US"/>
              </w:rPr>
              <w:t>Difference (Interaction term, time aggregation effects, etc)</w:t>
            </w:r>
          </w:p>
        </w:tc>
        <w:tc>
          <w:tcPr>
            <w:tcW w:w="2274" w:type="dxa"/>
            <w:tcBorders>
              <w:top w:val="single" w:sz="4" w:space="0" w:color="auto"/>
              <w:bottom w:val="single" w:sz="4" w:space="0" w:color="auto"/>
            </w:tcBorders>
            <w:vAlign w:val="center"/>
          </w:tcPr>
          <w:p w14:paraId="2424BBD8" w14:textId="77777777" w:rsidR="002E2767" w:rsidRPr="00F80A16" w:rsidRDefault="002E2767" w:rsidP="002E2767">
            <w:pPr>
              <w:widowControl/>
              <w:spacing w:before="40" w:after="40"/>
              <w:jc w:val="center"/>
              <w:rPr>
                <w:sz w:val="20"/>
                <w:szCs w:val="20"/>
                <w:lang w:eastAsia="zh-CN"/>
              </w:rPr>
            </w:pPr>
            <w:r>
              <w:rPr>
                <w:sz w:val="20"/>
                <w:szCs w:val="20"/>
                <w:lang w:eastAsia="zh-CN"/>
              </w:rPr>
              <w:t>-0.07%</w:t>
            </w:r>
          </w:p>
        </w:tc>
      </w:tr>
      <w:tr w:rsidR="002E2767" w:rsidRPr="00F80A16" w14:paraId="5F6CDF00" w14:textId="77777777" w:rsidTr="002E2767">
        <w:trPr>
          <w:jc w:val="center"/>
        </w:trPr>
        <w:tc>
          <w:tcPr>
            <w:tcW w:w="5120" w:type="dxa"/>
            <w:tcBorders>
              <w:top w:val="single" w:sz="4" w:space="0" w:color="auto"/>
              <w:bottom w:val="single" w:sz="4" w:space="0" w:color="auto"/>
            </w:tcBorders>
            <w:vAlign w:val="center"/>
          </w:tcPr>
          <w:p w14:paraId="33576369" w14:textId="77777777" w:rsidR="002E2767" w:rsidRPr="005A1BD7" w:rsidRDefault="002E2767" w:rsidP="002E2767">
            <w:pPr>
              <w:widowControl/>
              <w:spacing w:before="40" w:after="40"/>
              <w:jc w:val="left"/>
              <w:rPr>
                <w:b/>
                <w:sz w:val="20"/>
                <w:szCs w:val="20"/>
                <w:lang w:val="en-US"/>
              </w:rPr>
            </w:pPr>
            <w:r w:rsidRPr="005A1BD7">
              <w:rPr>
                <w:b/>
                <w:sz w:val="20"/>
                <w:szCs w:val="20"/>
                <w:lang w:val="en-US"/>
              </w:rPr>
              <w:t xml:space="preserve">Total Relative Performance </w:t>
            </w:r>
          </w:p>
        </w:tc>
        <w:tc>
          <w:tcPr>
            <w:tcW w:w="2274" w:type="dxa"/>
            <w:tcBorders>
              <w:top w:val="single" w:sz="4" w:space="0" w:color="auto"/>
              <w:bottom w:val="single" w:sz="4" w:space="0" w:color="auto"/>
            </w:tcBorders>
            <w:vAlign w:val="center"/>
          </w:tcPr>
          <w:p w14:paraId="3A8D7276" w14:textId="77777777" w:rsidR="002E2767" w:rsidRPr="005A1BD7" w:rsidRDefault="002E2767" w:rsidP="002E2767">
            <w:pPr>
              <w:widowControl/>
              <w:spacing w:before="40" w:after="40"/>
              <w:jc w:val="center"/>
              <w:rPr>
                <w:b/>
                <w:sz w:val="20"/>
                <w:szCs w:val="20"/>
                <w:lang w:eastAsia="zh-CN"/>
              </w:rPr>
            </w:pPr>
            <w:r>
              <w:rPr>
                <w:b/>
                <w:sz w:val="20"/>
                <w:szCs w:val="20"/>
                <w:lang w:eastAsia="zh-CN"/>
              </w:rPr>
              <w:t>-0.41</w:t>
            </w:r>
            <w:r w:rsidRPr="005A1BD7">
              <w:rPr>
                <w:b/>
                <w:sz w:val="20"/>
                <w:szCs w:val="20"/>
                <w:lang w:eastAsia="zh-CN"/>
              </w:rPr>
              <w:t>%</w:t>
            </w:r>
          </w:p>
        </w:tc>
      </w:tr>
      <w:tr w:rsidR="002E2767" w:rsidRPr="00F80A16" w14:paraId="74B3FBF4" w14:textId="77777777" w:rsidTr="002E2767">
        <w:trPr>
          <w:jc w:val="center"/>
        </w:trPr>
        <w:tc>
          <w:tcPr>
            <w:tcW w:w="5120" w:type="dxa"/>
            <w:vAlign w:val="center"/>
          </w:tcPr>
          <w:p w14:paraId="6EB3DD70" w14:textId="77777777" w:rsidR="002E2767" w:rsidRPr="008D3BE7" w:rsidRDefault="002E2767" w:rsidP="002E2767">
            <w:pPr>
              <w:widowControl/>
              <w:spacing w:before="40" w:after="40"/>
              <w:jc w:val="left"/>
              <w:rPr>
                <w:b/>
                <w:i/>
                <w:sz w:val="12"/>
                <w:szCs w:val="12"/>
                <w:lang w:eastAsia="zh-CN"/>
              </w:rPr>
            </w:pPr>
          </w:p>
        </w:tc>
        <w:tc>
          <w:tcPr>
            <w:tcW w:w="2274" w:type="dxa"/>
            <w:vAlign w:val="center"/>
          </w:tcPr>
          <w:p w14:paraId="0542F4BF" w14:textId="77777777" w:rsidR="002E2767" w:rsidRPr="008D3BE7" w:rsidRDefault="002E2767" w:rsidP="002E2767">
            <w:pPr>
              <w:widowControl/>
              <w:spacing w:before="40" w:after="40"/>
              <w:jc w:val="center"/>
              <w:rPr>
                <w:sz w:val="12"/>
                <w:szCs w:val="12"/>
                <w:lang w:eastAsia="zh-CN"/>
              </w:rPr>
            </w:pPr>
          </w:p>
        </w:tc>
      </w:tr>
      <w:tr w:rsidR="002E2767" w:rsidRPr="00F80A16" w14:paraId="6AFFC372" w14:textId="77777777" w:rsidTr="002E2767">
        <w:trPr>
          <w:jc w:val="center"/>
        </w:trPr>
        <w:tc>
          <w:tcPr>
            <w:tcW w:w="5120" w:type="dxa"/>
            <w:vAlign w:val="center"/>
          </w:tcPr>
          <w:p w14:paraId="37D5C52A" w14:textId="77777777" w:rsidR="002E2767" w:rsidRPr="008D3BE7" w:rsidRDefault="002E2767" w:rsidP="002E2767">
            <w:pPr>
              <w:widowControl/>
              <w:spacing w:before="40" w:after="40"/>
              <w:jc w:val="left"/>
              <w:rPr>
                <w:sz w:val="20"/>
                <w:szCs w:val="20"/>
                <w:lang w:val="en-US"/>
              </w:rPr>
            </w:pPr>
            <w:r w:rsidRPr="008D3BE7">
              <w:rPr>
                <w:b/>
                <w:sz w:val="20"/>
                <w:szCs w:val="20"/>
                <w:lang w:eastAsia="zh-CN"/>
              </w:rPr>
              <w:t>AAE Portfolio vs. S&amp;P/ASX 200 ETF</w:t>
            </w:r>
          </w:p>
        </w:tc>
        <w:tc>
          <w:tcPr>
            <w:tcW w:w="2274" w:type="dxa"/>
            <w:vAlign w:val="center"/>
          </w:tcPr>
          <w:p w14:paraId="1EF9AA1C" w14:textId="77777777" w:rsidR="002E2767" w:rsidRDefault="002E2767" w:rsidP="002E2767">
            <w:pPr>
              <w:widowControl/>
              <w:spacing w:before="40" w:after="40"/>
              <w:jc w:val="center"/>
              <w:rPr>
                <w:sz w:val="20"/>
                <w:szCs w:val="20"/>
                <w:lang w:eastAsia="zh-CN"/>
              </w:rPr>
            </w:pPr>
          </w:p>
        </w:tc>
      </w:tr>
      <w:tr w:rsidR="002E2767" w:rsidRPr="00F80A16" w14:paraId="65924D03" w14:textId="77777777" w:rsidTr="002E2767">
        <w:trPr>
          <w:jc w:val="center"/>
        </w:trPr>
        <w:tc>
          <w:tcPr>
            <w:tcW w:w="5120" w:type="dxa"/>
            <w:vAlign w:val="center"/>
          </w:tcPr>
          <w:p w14:paraId="70F9CCFE" w14:textId="77777777" w:rsidR="002E2767" w:rsidRPr="00F80A16" w:rsidRDefault="002E2767" w:rsidP="002E2767">
            <w:pPr>
              <w:widowControl/>
              <w:spacing w:before="40" w:after="40"/>
              <w:jc w:val="left"/>
              <w:rPr>
                <w:sz w:val="20"/>
                <w:szCs w:val="20"/>
                <w:lang w:val="en-US"/>
              </w:rPr>
            </w:pPr>
            <w:r>
              <w:rPr>
                <w:sz w:val="20"/>
                <w:szCs w:val="20"/>
                <w:lang w:val="en-US"/>
              </w:rPr>
              <w:t>iShares Core S&amp;P/ASX 200 ETF</w:t>
            </w:r>
          </w:p>
        </w:tc>
        <w:tc>
          <w:tcPr>
            <w:tcW w:w="2274" w:type="dxa"/>
            <w:vAlign w:val="center"/>
          </w:tcPr>
          <w:p w14:paraId="3A3A31B9" w14:textId="77777777" w:rsidR="002E2767" w:rsidRPr="00F80A16" w:rsidRDefault="002E2767" w:rsidP="002E2767">
            <w:pPr>
              <w:widowControl/>
              <w:spacing w:before="40" w:after="40"/>
              <w:jc w:val="center"/>
              <w:rPr>
                <w:sz w:val="20"/>
                <w:szCs w:val="20"/>
                <w:lang w:val="en-US"/>
              </w:rPr>
            </w:pPr>
            <w:r>
              <w:rPr>
                <w:sz w:val="20"/>
                <w:szCs w:val="20"/>
                <w:lang w:eastAsia="zh-CN"/>
              </w:rPr>
              <w:t>0.00%</w:t>
            </w:r>
          </w:p>
        </w:tc>
      </w:tr>
      <w:tr w:rsidR="002E2767" w:rsidRPr="00F80A16" w14:paraId="213EE856" w14:textId="77777777" w:rsidTr="002E2767">
        <w:trPr>
          <w:jc w:val="center"/>
        </w:trPr>
        <w:tc>
          <w:tcPr>
            <w:tcW w:w="5120" w:type="dxa"/>
            <w:vAlign w:val="center"/>
          </w:tcPr>
          <w:p w14:paraId="38A15EE1" w14:textId="77777777" w:rsidR="002E2767" w:rsidRPr="00F80A16" w:rsidRDefault="002E2767" w:rsidP="002E2767">
            <w:pPr>
              <w:widowControl/>
              <w:spacing w:before="40" w:after="40"/>
              <w:jc w:val="left"/>
              <w:rPr>
                <w:sz w:val="20"/>
                <w:szCs w:val="20"/>
                <w:lang w:val="en-US"/>
              </w:rPr>
            </w:pPr>
            <w:r w:rsidRPr="00F80A16">
              <w:rPr>
                <w:sz w:val="20"/>
                <w:szCs w:val="20"/>
                <w:lang w:val="en-US"/>
              </w:rPr>
              <w:t>Rio Tinto</w:t>
            </w:r>
            <w:r>
              <w:rPr>
                <w:sz w:val="20"/>
                <w:szCs w:val="20"/>
                <w:lang w:val="en-US"/>
              </w:rPr>
              <w:t xml:space="preserve"> </w:t>
            </w:r>
          </w:p>
        </w:tc>
        <w:tc>
          <w:tcPr>
            <w:tcW w:w="2274" w:type="dxa"/>
            <w:vAlign w:val="center"/>
          </w:tcPr>
          <w:p w14:paraId="21C1C212" w14:textId="77777777" w:rsidR="002E2767" w:rsidRPr="00F80A16" w:rsidRDefault="002E2767" w:rsidP="002E2767">
            <w:pPr>
              <w:widowControl/>
              <w:spacing w:before="40" w:after="40"/>
              <w:jc w:val="center"/>
              <w:rPr>
                <w:sz w:val="20"/>
                <w:szCs w:val="20"/>
                <w:lang w:val="en-US"/>
              </w:rPr>
            </w:pPr>
            <w:r>
              <w:rPr>
                <w:sz w:val="20"/>
                <w:szCs w:val="20"/>
                <w:lang w:val="en-US"/>
              </w:rPr>
              <w:t>-0.04%</w:t>
            </w:r>
          </w:p>
        </w:tc>
      </w:tr>
      <w:tr w:rsidR="002E2767" w:rsidRPr="00F80A16" w14:paraId="5CCD822F" w14:textId="77777777" w:rsidTr="002E2767">
        <w:trPr>
          <w:jc w:val="center"/>
        </w:trPr>
        <w:tc>
          <w:tcPr>
            <w:tcW w:w="5120" w:type="dxa"/>
            <w:vAlign w:val="center"/>
          </w:tcPr>
          <w:p w14:paraId="0563DCC6" w14:textId="77777777" w:rsidR="002E2767" w:rsidRPr="00F80A16" w:rsidRDefault="002E2767" w:rsidP="002E2767">
            <w:pPr>
              <w:widowControl/>
              <w:spacing w:before="40" w:after="40"/>
              <w:jc w:val="left"/>
              <w:rPr>
                <w:sz w:val="20"/>
                <w:szCs w:val="20"/>
                <w:lang w:val="en-US"/>
              </w:rPr>
            </w:pPr>
            <w:r w:rsidRPr="00F80A16">
              <w:rPr>
                <w:sz w:val="20"/>
                <w:szCs w:val="20"/>
                <w:lang w:val="en-US"/>
              </w:rPr>
              <w:t>Telstra</w:t>
            </w:r>
          </w:p>
        </w:tc>
        <w:tc>
          <w:tcPr>
            <w:tcW w:w="2274" w:type="dxa"/>
            <w:vAlign w:val="center"/>
          </w:tcPr>
          <w:p w14:paraId="63194DE0" w14:textId="77777777" w:rsidR="002E2767" w:rsidRPr="00F80A16" w:rsidRDefault="002E2767" w:rsidP="002E2767">
            <w:pPr>
              <w:widowControl/>
              <w:spacing w:before="40" w:after="40"/>
              <w:jc w:val="center"/>
              <w:rPr>
                <w:sz w:val="20"/>
                <w:szCs w:val="20"/>
                <w:lang w:val="en-US"/>
              </w:rPr>
            </w:pPr>
            <w:r>
              <w:rPr>
                <w:sz w:val="20"/>
                <w:szCs w:val="20"/>
                <w:lang w:eastAsia="zh-CN"/>
              </w:rPr>
              <w:t>0.96%</w:t>
            </w:r>
          </w:p>
        </w:tc>
      </w:tr>
      <w:tr w:rsidR="002E2767" w:rsidRPr="00F80A16" w14:paraId="710D79C7" w14:textId="77777777" w:rsidTr="002E2767">
        <w:trPr>
          <w:jc w:val="center"/>
        </w:trPr>
        <w:tc>
          <w:tcPr>
            <w:tcW w:w="5120" w:type="dxa"/>
            <w:vAlign w:val="center"/>
          </w:tcPr>
          <w:p w14:paraId="53082FEC" w14:textId="77777777" w:rsidR="002E2767" w:rsidRPr="00F80A16" w:rsidRDefault="002E2767" w:rsidP="002E2767">
            <w:pPr>
              <w:widowControl/>
              <w:spacing w:before="40" w:after="40"/>
              <w:jc w:val="left"/>
              <w:rPr>
                <w:sz w:val="20"/>
                <w:szCs w:val="20"/>
                <w:lang w:val="en-US"/>
              </w:rPr>
            </w:pPr>
            <w:r w:rsidRPr="00F80A16">
              <w:rPr>
                <w:sz w:val="20"/>
                <w:szCs w:val="20"/>
                <w:lang w:val="en-US"/>
              </w:rPr>
              <w:t>Bingo Industries</w:t>
            </w:r>
            <w:r>
              <w:rPr>
                <w:sz w:val="20"/>
                <w:szCs w:val="20"/>
                <w:lang w:val="en-US"/>
              </w:rPr>
              <w:t xml:space="preserve"> </w:t>
            </w:r>
          </w:p>
        </w:tc>
        <w:tc>
          <w:tcPr>
            <w:tcW w:w="2274" w:type="dxa"/>
            <w:vAlign w:val="center"/>
          </w:tcPr>
          <w:p w14:paraId="7C234B52" w14:textId="77777777" w:rsidR="002E2767" w:rsidRDefault="002E2767" w:rsidP="002E2767">
            <w:pPr>
              <w:widowControl/>
              <w:spacing w:before="40" w:after="40"/>
              <w:jc w:val="center"/>
              <w:rPr>
                <w:sz w:val="20"/>
                <w:szCs w:val="20"/>
                <w:lang w:eastAsia="zh-CN"/>
              </w:rPr>
            </w:pPr>
            <w:r>
              <w:rPr>
                <w:sz w:val="20"/>
                <w:szCs w:val="20"/>
                <w:lang w:eastAsia="zh-CN"/>
              </w:rPr>
              <w:t>-1.65%</w:t>
            </w:r>
          </w:p>
        </w:tc>
      </w:tr>
      <w:tr w:rsidR="002E2767" w:rsidRPr="00F80A16" w14:paraId="52509F45" w14:textId="77777777" w:rsidTr="002E2767">
        <w:trPr>
          <w:jc w:val="center"/>
        </w:trPr>
        <w:tc>
          <w:tcPr>
            <w:tcW w:w="5120" w:type="dxa"/>
            <w:tcBorders>
              <w:bottom w:val="single" w:sz="4" w:space="0" w:color="auto"/>
            </w:tcBorders>
            <w:vAlign w:val="center"/>
          </w:tcPr>
          <w:p w14:paraId="2D05C433" w14:textId="77777777" w:rsidR="002E2767" w:rsidRPr="00F80A16" w:rsidRDefault="002E2767" w:rsidP="002E2767">
            <w:pPr>
              <w:widowControl/>
              <w:spacing w:before="40" w:after="40"/>
              <w:jc w:val="left"/>
              <w:rPr>
                <w:sz w:val="20"/>
                <w:szCs w:val="20"/>
                <w:lang w:val="en-US"/>
              </w:rPr>
            </w:pPr>
            <w:r>
              <w:rPr>
                <w:sz w:val="20"/>
                <w:szCs w:val="20"/>
                <w:lang w:val="en-US"/>
              </w:rPr>
              <w:t>Difference (Time aggregation effects, etc)</w:t>
            </w:r>
          </w:p>
        </w:tc>
        <w:tc>
          <w:tcPr>
            <w:tcW w:w="2274" w:type="dxa"/>
            <w:tcBorders>
              <w:bottom w:val="single" w:sz="4" w:space="0" w:color="auto"/>
            </w:tcBorders>
            <w:vAlign w:val="center"/>
          </w:tcPr>
          <w:p w14:paraId="5144AA93" w14:textId="77777777" w:rsidR="002E2767" w:rsidRPr="00F80A16" w:rsidRDefault="002E2767" w:rsidP="002E2767">
            <w:pPr>
              <w:widowControl/>
              <w:spacing w:before="40" w:after="40"/>
              <w:jc w:val="center"/>
              <w:rPr>
                <w:sz w:val="20"/>
                <w:szCs w:val="20"/>
                <w:lang w:val="en-US"/>
              </w:rPr>
            </w:pPr>
            <w:r>
              <w:rPr>
                <w:sz w:val="20"/>
                <w:szCs w:val="20"/>
                <w:lang w:val="en-US"/>
              </w:rPr>
              <w:t>0.01%</w:t>
            </w:r>
          </w:p>
        </w:tc>
      </w:tr>
      <w:tr w:rsidR="002E2767" w:rsidRPr="00F80A16" w14:paraId="36964111" w14:textId="77777777" w:rsidTr="002E2767">
        <w:trPr>
          <w:jc w:val="center"/>
        </w:trPr>
        <w:tc>
          <w:tcPr>
            <w:tcW w:w="5120" w:type="dxa"/>
            <w:tcBorders>
              <w:bottom w:val="single" w:sz="4" w:space="0" w:color="auto"/>
            </w:tcBorders>
            <w:vAlign w:val="center"/>
          </w:tcPr>
          <w:p w14:paraId="79FAFA0C" w14:textId="77777777" w:rsidR="002E2767" w:rsidRPr="00F80A16" w:rsidRDefault="002E2767" w:rsidP="002E2767">
            <w:pPr>
              <w:widowControl/>
              <w:spacing w:before="40" w:after="40"/>
              <w:jc w:val="left"/>
              <w:rPr>
                <w:sz w:val="20"/>
                <w:szCs w:val="20"/>
                <w:lang w:val="en-US"/>
              </w:rPr>
            </w:pPr>
            <w:r>
              <w:rPr>
                <w:b/>
                <w:sz w:val="20"/>
                <w:szCs w:val="20"/>
                <w:lang w:val="en-US"/>
              </w:rPr>
              <w:t xml:space="preserve">AAE </w:t>
            </w:r>
            <w:r w:rsidRPr="005A1BD7">
              <w:rPr>
                <w:b/>
                <w:sz w:val="20"/>
                <w:szCs w:val="20"/>
                <w:lang w:val="en-US"/>
              </w:rPr>
              <w:t>Relative Performance</w:t>
            </w:r>
          </w:p>
        </w:tc>
        <w:tc>
          <w:tcPr>
            <w:tcW w:w="2274" w:type="dxa"/>
            <w:tcBorders>
              <w:bottom w:val="single" w:sz="4" w:space="0" w:color="auto"/>
            </w:tcBorders>
            <w:vAlign w:val="center"/>
          </w:tcPr>
          <w:p w14:paraId="2C57925A" w14:textId="77777777" w:rsidR="002E2767" w:rsidRPr="00965AB6" w:rsidRDefault="002E2767" w:rsidP="002E2767">
            <w:pPr>
              <w:widowControl/>
              <w:spacing w:before="40" w:after="40"/>
              <w:jc w:val="center"/>
              <w:rPr>
                <w:b/>
                <w:sz w:val="20"/>
                <w:szCs w:val="20"/>
                <w:lang w:val="en-US"/>
              </w:rPr>
            </w:pPr>
            <w:r w:rsidRPr="00965AB6">
              <w:rPr>
                <w:b/>
                <w:sz w:val="20"/>
                <w:szCs w:val="20"/>
                <w:lang w:val="en-US"/>
              </w:rPr>
              <w:t>-0.74%</w:t>
            </w:r>
          </w:p>
        </w:tc>
      </w:tr>
      <w:tr w:rsidR="002E2767" w:rsidRPr="00F80A16" w14:paraId="763F911C" w14:textId="77777777" w:rsidTr="002E2767">
        <w:trPr>
          <w:jc w:val="center"/>
        </w:trPr>
        <w:tc>
          <w:tcPr>
            <w:tcW w:w="5120" w:type="dxa"/>
            <w:vAlign w:val="center"/>
          </w:tcPr>
          <w:p w14:paraId="3D4AEFC2" w14:textId="77777777" w:rsidR="002E2767" w:rsidRPr="008D3BE7" w:rsidRDefault="002E2767" w:rsidP="002E2767">
            <w:pPr>
              <w:widowControl/>
              <w:spacing w:before="40" w:after="40"/>
              <w:jc w:val="left"/>
              <w:rPr>
                <w:b/>
                <w:i/>
                <w:sz w:val="12"/>
                <w:szCs w:val="12"/>
                <w:lang w:val="en-US"/>
              </w:rPr>
            </w:pPr>
          </w:p>
        </w:tc>
        <w:tc>
          <w:tcPr>
            <w:tcW w:w="2274" w:type="dxa"/>
            <w:vAlign w:val="center"/>
          </w:tcPr>
          <w:p w14:paraId="7EDCC35C" w14:textId="77777777" w:rsidR="002E2767" w:rsidRPr="008D3BE7" w:rsidRDefault="002E2767" w:rsidP="002E2767">
            <w:pPr>
              <w:widowControl/>
              <w:spacing w:before="40" w:after="40"/>
              <w:jc w:val="center"/>
              <w:rPr>
                <w:sz w:val="12"/>
                <w:szCs w:val="12"/>
                <w:lang w:val="en-US"/>
              </w:rPr>
            </w:pPr>
          </w:p>
        </w:tc>
      </w:tr>
      <w:tr w:rsidR="002E2767" w:rsidRPr="00F80A16" w14:paraId="141664B3" w14:textId="77777777" w:rsidTr="002E2767">
        <w:trPr>
          <w:jc w:val="center"/>
        </w:trPr>
        <w:tc>
          <w:tcPr>
            <w:tcW w:w="5120" w:type="dxa"/>
            <w:vAlign w:val="center"/>
          </w:tcPr>
          <w:p w14:paraId="7FAEE690" w14:textId="77777777" w:rsidR="002E2767" w:rsidRPr="008D3BE7" w:rsidRDefault="002E2767" w:rsidP="002E2767">
            <w:pPr>
              <w:widowControl/>
              <w:spacing w:before="40" w:after="40"/>
              <w:jc w:val="left"/>
              <w:rPr>
                <w:b/>
                <w:sz w:val="20"/>
                <w:szCs w:val="20"/>
                <w:lang w:val="en-US"/>
              </w:rPr>
            </w:pPr>
            <w:r w:rsidRPr="008D3BE7">
              <w:rPr>
                <w:b/>
                <w:sz w:val="20"/>
                <w:szCs w:val="20"/>
                <w:lang w:val="en-US"/>
              </w:rPr>
              <w:t>Cash Portfolio vs. BetaShares Cash ETF</w:t>
            </w:r>
          </w:p>
        </w:tc>
        <w:tc>
          <w:tcPr>
            <w:tcW w:w="2274" w:type="dxa"/>
            <w:vAlign w:val="center"/>
          </w:tcPr>
          <w:p w14:paraId="73D02B34" w14:textId="77777777" w:rsidR="002E2767" w:rsidRPr="00F80A16" w:rsidRDefault="002E2767" w:rsidP="002E2767">
            <w:pPr>
              <w:widowControl/>
              <w:spacing w:before="40" w:after="40"/>
              <w:jc w:val="center"/>
              <w:rPr>
                <w:sz w:val="20"/>
                <w:szCs w:val="20"/>
                <w:lang w:val="en-US"/>
              </w:rPr>
            </w:pPr>
          </w:p>
        </w:tc>
      </w:tr>
      <w:tr w:rsidR="002E2767" w:rsidRPr="00F80A16" w14:paraId="5017E95C" w14:textId="77777777" w:rsidTr="002E2767">
        <w:trPr>
          <w:jc w:val="center"/>
        </w:trPr>
        <w:tc>
          <w:tcPr>
            <w:tcW w:w="5120" w:type="dxa"/>
            <w:tcBorders>
              <w:bottom w:val="nil"/>
            </w:tcBorders>
            <w:vAlign w:val="center"/>
          </w:tcPr>
          <w:p w14:paraId="3A21F5C7" w14:textId="77777777" w:rsidR="002E2767" w:rsidRPr="00F80A16" w:rsidRDefault="002E2767" w:rsidP="002E2767">
            <w:pPr>
              <w:widowControl/>
              <w:spacing w:before="40" w:after="40"/>
              <w:jc w:val="left"/>
              <w:rPr>
                <w:sz w:val="20"/>
                <w:szCs w:val="20"/>
                <w:lang w:val="en-US"/>
              </w:rPr>
            </w:pPr>
            <w:r>
              <w:rPr>
                <w:sz w:val="20"/>
                <w:szCs w:val="20"/>
                <w:lang w:val="en-US"/>
              </w:rPr>
              <w:t>BetaShares High Interest Cash ETF</w:t>
            </w:r>
          </w:p>
        </w:tc>
        <w:tc>
          <w:tcPr>
            <w:tcW w:w="2274" w:type="dxa"/>
            <w:tcBorders>
              <w:bottom w:val="nil"/>
            </w:tcBorders>
            <w:vAlign w:val="center"/>
          </w:tcPr>
          <w:p w14:paraId="43DEA976" w14:textId="77777777" w:rsidR="002E2767" w:rsidRPr="00F80A16" w:rsidRDefault="002E2767" w:rsidP="002E2767">
            <w:pPr>
              <w:widowControl/>
              <w:spacing w:before="40" w:after="40"/>
              <w:jc w:val="center"/>
              <w:rPr>
                <w:sz w:val="20"/>
                <w:szCs w:val="20"/>
                <w:lang w:val="en-US"/>
              </w:rPr>
            </w:pPr>
            <w:r>
              <w:rPr>
                <w:sz w:val="20"/>
                <w:szCs w:val="20"/>
                <w:lang w:val="en-US"/>
              </w:rPr>
              <w:t>0.00%</w:t>
            </w:r>
          </w:p>
        </w:tc>
      </w:tr>
      <w:tr w:rsidR="002E2767" w:rsidRPr="00F80A16" w14:paraId="413F1C60" w14:textId="77777777" w:rsidTr="002E2767">
        <w:trPr>
          <w:jc w:val="center"/>
        </w:trPr>
        <w:tc>
          <w:tcPr>
            <w:tcW w:w="5120" w:type="dxa"/>
            <w:tcBorders>
              <w:bottom w:val="nil"/>
            </w:tcBorders>
            <w:vAlign w:val="center"/>
          </w:tcPr>
          <w:p w14:paraId="406051ED" w14:textId="77777777" w:rsidR="002E2767" w:rsidRPr="00F80A16" w:rsidRDefault="002E2767" w:rsidP="002E2767">
            <w:pPr>
              <w:widowControl/>
              <w:spacing w:before="40" w:after="40"/>
              <w:jc w:val="left"/>
              <w:rPr>
                <w:sz w:val="20"/>
                <w:szCs w:val="20"/>
                <w:lang w:val="en-US"/>
              </w:rPr>
            </w:pPr>
            <w:r>
              <w:rPr>
                <w:sz w:val="20"/>
                <w:szCs w:val="20"/>
                <w:lang w:val="en-US"/>
              </w:rPr>
              <w:t>Cash Management Account</w:t>
            </w:r>
          </w:p>
        </w:tc>
        <w:tc>
          <w:tcPr>
            <w:tcW w:w="2274" w:type="dxa"/>
            <w:tcBorders>
              <w:bottom w:val="nil"/>
            </w:tcBorders>
            <w:vAlign w:val="center"/>
          </w:tcPr>
          <w:p w14:paraId="4A33D354" w14:textId="77777777" w:rsidR="002E2767" w:rsidRPr="00F80A16" w:rsidRDefault="002E2767" w:rsidP="002E2767">
            <w:pPr>
              <w:widowControl/>
              <w:spacing w:before="40" w:after="40"/>
              <w:jc w:val="center"/>
              <w:rPr>
                <w:sz w:val="20"/>
                <w:szCs w:val="20"/>
                <w:lang w:val="en-US"/>
              </w:rPr>
            </w:pPr>
            <w:r>
              <w:rPr>
                <w:sz w:val="20"/>
                <w:szCs w:val="20"/>
                <w:lang w:val="en-US"/>
              </w:rPr>
              <w:t>-0.27%</w:t>
            </w:r>
          </w:p>
        </w:tc>
      </w:tr>
      <w:tr w:rsidR="002E2767" w:rsidRPr="00F80A16" w14:paraId="47A1C5F6" w14:textId="77777777" w:rsidTr="002E2767">
        <w:trPr>
          <w:jc w:val="center"/>
        </w:trPr>
        <w:tc>
          <w:tcPr>
            <w:tcW w:w="5120" w:type="dxa"/>
            <w:tcBorders>
              <w:bottom w:val="single" w:sz="4" w:space="0" w:color="auto"/>
            </w:tcBorders>
            <w:vAlign w:val="center"/>
          </w:tcPr>
          <w:p w14:paraId="2D306711" w14:textId="77777777" w:rsidR="002E2767" w:rsidRDefault="002E2767" w:rsidP="002E2767">
            <w:pPr>
              <w:widowControl/>
              <w:spacing w:before="40" w:after="40"/>
              <w:jc w:val="left"/>
              <w:rPr>
                <w:sz w:val="20"/>
                <w:szCs w:val="20"/>
                <w:lang w:val="en-US"/>
              </w:rPr>
            </w:pPr>
            <w:r>
              <w:rPr>
                <w:sz w:val="20"/>
                <w:szCs w:val="20"/>
                <w:lang w:val="en-US"/>
              </w:rPr>
              <w:t>Accrued Income</w:t>
            </w:r>
          </w:p>
        </w:tc>
        <w:tc>
          <w:tcPr>
            <w:tcW w:w="2274" w:type="dxa"/>
            <w:tcBorders>
              <w:bottom w:val="single" w:sz="4" w:space="0" w:color="auto"/>
            </w:tcBorders>
            <w:vAlign w:val="center"/>
          </w:tcPr>
          <w:p w14:paraId="34EEC900" w14:textId="77777777" w:rsidR="002E2767" w:rsidRDefault="002E2767" w:rsidP="002E2767">
            <w:pPr>
              <w:widowControl/>
              <w:spacing w:before="40" w:after="40"/>
              <w:jc w:val="center"/>
              <w:rPr>
                <w:sz w:val="20"/>
                <w:szCs w:val="20"/>
                <w:lang w:val="en-US"/>
              </w:rPr>
            </w:pPr>
            <w:r>
              <w:rPr>
                <w:sz w:val="20"/>
                <w:szCs w:val="20"/>
                <w:lang w:val="en-US"/>
              </w:rPr>
              <w:t>0.00%</w:t>
            </w:r>
          </w:p>
        </w:tc>
      </w:tr>
      <w:tr w:rsidR="002E2767" w:rsidRPr="00F80A16" w14:paraId="2AAB8A7C" w14:textId="77777777" w:rsidTr="002E2767">
        <w:trPr>
          <w:jc w:val="center"/>
        </w:trPr>
        <w:tc>
          <w:tcPr>
            <w:tcW w:w="5120" w:type="dxa"/>
            <w:tcBorders>
              <w:bottom w:val="single" w:sz="4" w:space="0" w:color="auto"/>
            </w:tcBorders>
            <w:vAlign w:val="center"/>
          </w:tcPr>
          <w:p w14:paraId="24345AB7" w14:textId="77777777" w:rsidR="002E2767" w:rsidRPr="00F80A16" w:rsidRDefault="002E2767" w:rsidP="002E2767">
            <w:pPr>
              <w:widowControl/>
              <w:spacing w:before="40" w:after="40"/>
              <w:jc w:val="left"/>
              <w:rPr>
                <w:sz w:val="20"/>
                <w:szCs w:val="20"/>
                <w:lang w:val="en-US"/>
              </w:rPr>
            </w:pPr>
            <w:r>
              <w:rPr>
                <w:sz w:val="20"/>
                <w:szCs w:val="20"/>
                <w:lang w:val="en-US"/>
              </w:rPr>
              <w:t>Difference (Time aggregation effects, etc)</w:t>
            </w:r>
          </w:p>
        </w:tc>
        <w:tc>
          <w:tcPr>
            <w:tcW w:w="2274" w:type="dxa"/>
            <w:tcBorders>
              <w:bottom w:val="single" w:sz="4" w:space="0" w:color="auto"/>
            </w:tcBorders>
            <w:vAlign w:val="center"/>
          </w:tcPr>
          <w:p w14:paraId="0788EAFC" w14:textId="77777777" w:rsidR="002E2767" w:rsidRPr="00F80A16" w:rsidRDefault="002E2767" w:rsidP="002E2767">
            <w:pPr>
              <w:widowControl/>
              <w:spacing w:before="40" w:after="40"/>
              <w:jc w:val="center"/>
              <w:rPr>
                <w:sz w:val="20"/>
                <w:szCs w:val="20"/>
                <w:lang w:val="en-US"/>
              </w:rPr>
            </w:pPr>
            <w:r>
              <w:rPr>
                <w:sz w:val="20"/>
                <w:szCs w:val="20"/>
                <w:lang w:val="en-US"/>
              </w:rPr>
              <w:t>0.00%</w:t>
            </w:r>
          </w:p>
        </w:tc>
      </w:tr>
      <w:tr w:rsidR="002E2767" w:rsidRPr="00F80A16" w14:paraId="2A7A47F7" w14:textId="77777777" w:rsidTr="002E2767">
        <w:trPr>
          <w:jc w:val="center"/>
        </w:trPr>
        <w:tc>
          <w:tcPr>
            <w:tcW w:w="5120" w:type="dxa"/>
            <w:tcBorders>
              <w:top w:val="single" w:sz="4" w:space="0" w:color="auto"/>
              <w:bottom w:val="single" w:sz="8" w:space="0" w:color="auto"/>
            </w:tcBorders>
            <w:vAlign w:val="center"/>
          </w:tcPr>
          <w:p w14:paraId="11EC6EB9" w14:textId="77777777" w:rsidR="002E2767" w:rsidRPr="00135051" w:rsidRDefault="002E2767" w:rsidP="002E2767">
            <w:pPr>
              <w:widowControl/>
              <w:spacing w:before="40" w:after="40"/>
              <w:jc w:val="left"/>
              <w:rPr>
                <w:b/>
                <w:sz w:val="20"/>
                <w:szCs w:val="20"/>
                <w:lang w:val="en-US"/>
              </w:rPr>
            </w:pPr>
            <w:r>
              <w:rPr>
                <w:b/>
                <w:sz w:val="20"/>
                <w:szCs w:val="20"/>
                <w:lang w:val="en-US"/>
              </w:rPr>
              <w:t>Cash</w:t>
            </w:r>
            <w:r w:rsidRPr="005A1BD7">
              <w:rPr>
                <w:b/>
                <w:sz w:val="20"/>
                <w:szCs w:val="20"/>
                <w:lang w:val="en-US"/>
              </w:rPr>
              <w:t xml:space="preserve"> Relative Performance</w:t>
            </w:r>
          </w:p>
        </w:tc>
        <w:tc>
          <w:tcPr>
            <w:tcW w:w="2274" w:type="dxa"/>
            <w:tcBorders>
              <w:top w:val="single" w:sz="4" w:space="0" w:color="auto"/>
              <w:bottom w:val="single" w:sz="8" w:space="0" w:color="auto"/>
            </w:tcBorders>
            <w:vAlign w:val="center"/>
          </w:tcPr>
          <w:p w14:paraId="3660611C" w14:textId="77777777" w:rsidR="002E2767" w:rsidRPr="00F80A16" w:rsidRDefault="002E2767" w:rsidP="002E2767">
            <w:pPr>
              <w:widowControl/>
              <w:spacing w:before="40" w:after="40"/>
              <w:jc w:val="center"/>
              <w:rPr>
                <w:sz w:val="20"/>
                <w:szCs w:val="20"/>
                <w:lang w:val="en-US"/>
              </w:rPr>
            </w:pPr>
            <w:r>
              <w:rPr>
                <w:sz w:val="20"/>
                <w:szCs w:val="20"/>
                <w:lang w:val="en-US"/>
              </w:rPr>
              <w:t>-0.27%</w:t>
            </w:r>
          </w:p>
        </w:tc>
      </w:tr>
      <w:bookmarkEnd w:id="13"/>
    </w:tbl>
    <w:p w14:paraId="6B29DC89" w14:textId="7B69305E" w:rsidR="00895642" w:rsidRDefault="00895642">
      <w:pPr>
        <w:widowControl/>
        <w:spacing w:line="312" w:lineRule="auto"/>
        <w:jc w:val="left"/>
        <w:rPr>
          <w:rFonts w:eastAsiaTheme="minorEastAsia"/>
          <w:b/>
          <w:color w:val="4472C4" w:themeColor="accent1"/>
          <w:spacing w:val="15"/>
          <w:sz w:val="20"/>
          <w:szCs w:val="20"/>
        </w:rPr>
      </w:pPr>
      <w:r>
        <w:rPr>
          <w:sz w:val="20"/>
          <w:szCs w:val="20"/>
        </w:rPr>
        <w:br w:type="page"/>
      </w:r>
    </w:p>
    <w:p w14:paraId="3BD7DC5C" w14:textId="462E47E3" w:rsidR="00380F71" w:rsidRPr="00D61662" w:rsidRDefault="004E4645">
      <w:pPr>
        <w:pStyle w:val="Heading1"/>
        <w:spacing w:before="0"/>
        <w:rPr>
          <w:sz w:val="24"/>
          <w:szCs w:val="24"/>
          <w:lang w:eastAsia="zh-CN"/>
        </w:rPr>
      </w:pPr>
      <w:bookmarkStart w:id="14" w:name="_Toc530654478"/>
      <w:r w:rsidRPr="0053450F">
        <w:rPr>
          <w:sz w:val="24"/>
          <w:szCs w:val="24"/>
          <w:lang w:eastAsia="zh-CN"/>
        </w:rPr>
        <w:lastRenderedPageBreak/>
        <w:t>S</w:t>
      </w:r>
      <w:r w:rsidR="00380F71" w:rsidRPr="0053450F">
        <w:rPr>
          <w:sz w:val="24"/>
          <w:szCs w:val="24"/>
          <w:lang w:eastAsia="zh-CN"/>
        </w:rPr>
        <w:t>ocially Responsible Investment (SRI) Report</w:t>
      </w:r>
      <w:bookmarkEnd w:id="14"/>
    </w:p>
    <w:p w14:paraId="097B5004" w14:textId="1DCA35A9" w:rsidR="00E30558" w:rsidRDefault="004A3134" w:rsidP="001F0125">
      <w:pPr>
        <w:widowControl/>
        <w:spacing w:before="180"/>
        <w:rPr>
          <w:sz w:val="20"/>
          <w:szCs w:val="20"/>
          <w:lang w:val="en-US"/>
        </w:rPr>
      </w:pPr>
      <w:r>
        <w:rPr>
          <w:sz w:val="20"/>
          <w:szCs w:val="20"/>
          <w:lang w:val="en-US"/>
        </w:rPr>
        <w:t xml:space="preserve">During Semester 2 of </w:t>
      </w:r>
      <w:r w:rsidR="001F0125" w:rsidRPr="001F0125">
        <w:rPr>
          <w:sz w:val="20"/>
          <w:szCs w:val="20"/>
          <w:lang w:val="en-US"/>
        </w:rPr>
        <w:t>2018</w:t>
      </w:r>
      <w:r>
        <w:rPr>
          <w:sz w:val="20"/>
          <w:szCs w:val="20"/>
          <w:lang w:val="en-US"/>
        </w:rPr>
        <w:t>,</w:t>
      </w:r>
      <w:r w:rsidR="001F0125" w:rsidRPr="001F0125">
        <w:rPr>
          <w:sz w:val="20"/>
          <w:szCs w:val="20"/>
          <w:lang w:val="en-US"/>
        </w:rPr>
        <w:t xml:space="preserve"> the SMF conducted a major review into the implementation of</w:t>
      </w:r>
      <w:r w:rsidR="00E30558">
        <w:rPr>
          <w:sz w:val="20"/>
          <w:szCs w:val="20"/>
          <w:lang w:val="en-US"/>
        </w:rPr>
        <w:t xml:space="preserve"> the ANU’s</w:t>
      </w:r>
      <w:r w:rsidR="001F0125" w:rsidRPr="001F0125">
        <w:rPr>
          <w:sz w:val="20"/>
          <w:szCs w:val="20"/>
          <w:lang w:val="en-US"/>
        </w:rPr>
        <w:t xml:space="preserve"> SRI </w:t>
      </w:r>
      <w:r w:rsidR="00E30558">
        <w:rPr>
          <w:sz w:val="20"/>
          <w:szCs w:val="20"/>
          <w:lang w:val="en-US"/>
        </w:rPr>
        <w:t>policy withi</w:t>
      </w:r>
      <w:r>
        <w:rPr>
          <w:sz w:val="20"/>
          <w:szCs w:val="20"/>
          <w:lang w:val="en-US"/>
        </w:rPr>
        <w:t>n the Fund</w:t>
      </w:r>
      <w:r w:rsidR="00E30558">
        <w:rPr>
          <w:sz w:val="20"/>
          <w:szCs w:val="20"/>
          <w:lang w:val="en-US"/>
        </w:rPr>
        <w:t>. The</w:t>
      </w:r>
      <w:r w:rsidR="001F0125" w:rsidRPr="001F0125">
        <w:rPr>
          <w:sz w:val="20"/>
          <w:szCs w:val="20"/>
          <w:lang w:val="en-US"/>
        </w:rPr>
        <w:t xml:space="preserve"> </w:t>
      </w:r>
      <w:r>
        <w:rPr>
          <w:sz w:val="20"/>
          <w:szCs w:val="20"/>
          <w:lang w:val="en-US"/>
        </w:rPr>
        <w:t xml:space="preserve">review led to </w:t>
      </w:r>
      <w:r w:rsidR="00E30558">
        <w:rPr>
          <w:sz w:val="20"/>
          <w:szCs w:val="20"/>
          <w:lang w:val="en-US"/>
        </w:rPr>
        <w:t xml:space="preserve">the application of the </w:t>
      </w:r>
      <w:r w:rsidR="001F0125" w:rsidRPr="001F0125">
        <w:rPr>
          <w:sz w:val="20"/>
          <w:szCs w:val="20"/>
          <w:lang w:val="en-US"/>
        </w:rPr>
        <w:t>SRI policy</w:t>
      </w:r>
      <w:r w:rsidR="00E30558">
        <w:rPr>
          <w:sz w:val="20"/>
          <w:szCs w:val="20"/>
          <w:lang w:val="en-US"/>
        </w:rPr>
        <w:t xml:space="preserve"> within the </w:t>
      </w:r>
      <w:r>
        <w:rPr>
          <w:sz w:val="20"/>
          <w:szCs w:val="20"/>
          <w:lang w:val="en-US"/>
        </w:rPr>
        <w:t>AAE</w:t>
      </w:r>
      <w:r w:rsidR="00E30558">
        <w:rPr>
          <w:sz w:val="20"/>
          <w:szCs w:val="20"/>
          <w:lang w:val="en-US"/>
        </w:rPr>
        <w:t xml:space="preserve"> component </w:t>
      </w:r>
      <w:r>
        <w:rPr>
          <w:sz w:val="20"/>
          <w:szCs w:val="20"/>
          <w:lang w:val="en-US"/>
        </w:rPr>
        <w:t>being progressed;</w:t>
      </w:r>
      <w:r w:rsidR="00E30558">
        <w:rPr>
          <w:sz w:val="20"/>
          <w:szCs w:val="20"/>
          <w:lang w:val="en-US"/>
        </w:rPr>
        <w:t xml:space="preserve"> and </w:t>
      </w:r>
      <w:r>
        <w:rPr>
          <w:sz w:val="20"/>
          <w:szCs w:val="20"/>
          <w:lang w:val="en-US"/>
        </w:rPr>
        <w:t xml:space="preserve">also included </w:t>
      </w:r>
      <w:r w:rsidR="00E30558">
        <w:rPr>
          <w:sz w:val="20"/>
          <w:szCs w:val="20"/>
          <w:lang w:val="en-US"/>
        </w:rPr>
        <w:t>a re-examination of the benchmark ETFs used by the Fund. T</w:t>
      </w:r>
      <w:r w:rsidR="00E30558" w:rsidRPr="001F0125">
        <w:rPr>
          <w:sz w:val="20"/>
          <w:szCs w:val="20"/>
          <w:lang w:val="en-US"/>
        </w:rPr>
        <w:t xml:space="preserve">he SRI review </w:t>
      </w:r>
      <w:r w:rsidR="00E30558">
        <w:rPr>
          <w:sz w:val="20"/>
          <w:szCs w:val="20"/>
          <w:lang w:val="en-US"/>
        </w:rPr>
        <w:t>and outcomes were settled</w:t>
      </w:r>
      <w:r w:rsidR="00E30558" w:rsidRPr="001F0125">
        <w:rPr>
          <w:sz w:val="20"/>
          <w:szCs w:val="20"/>
          <w:lang w:val="en-US"/>
        </w:rPr>
        <w:t xml:space="preserve"> after consultation with the IAC </w:t>
      </w:r>
      <w:r w:rsidR="00E30558">
        <w:rPr>
          <w:sz w:val="20"/>
          <w:szCs w:val="20"/>
          <w:lang w:val="en-US"/>
        </w:rPr>
        <w:t xml:space="preserve">at a meeting </w:t>
      </w:r>
      <w:r w:rsidR="00E30558" w:rsidRPr="001F0125">
        <w:rPr>
          <w:sz w:val="20"/>
          <w:szCs w:val="20"/>
          <w:lang w:val="en-US"/>
        </w:rPr>
        <w:t>on 17 September 2018</w:t>
      </w:r>
      <w:r w:rsidR="00E30558">
        <w:rPr>
          <w:sz w:val="20"/>
          <w:szCs w:val="20"/>
          <w:lang w:val="en-US"/>
        </w:rPr>
        <w:t>,</w:t>
      </w:r>
      <w:r w:rsidR="00E30558" w:rsidRPr="001F0125">
        <w:rPr>
          <w:sz w:val="20"/>
          <w:szCs w:val="20"/>
          <w:lang w:val="en-US"/>
        </w:rPr>
        <w:t xml:space="preserve"> and with </w:t>
      </w:r>
      <w:r w:rsidR="00E30558">
        <w:rPr>
          <w:sz w:val="20"/>
          <w:szCs w:val="20"/>
          <w:lang w:val="en-US"/>
        </w:rPr>
        <w:t xml:space="preserve">input </w:t>
      </w:r>
      <w:r w:rsidR="00E30558" w:rsidRPr="001F0125">
        <w:rPr>
          <w:sz w:val="20"/>
          <w:szCs w:val="20"/>
          <w:lang w:val="en-US"/>
        </w:rPr>
        <w:t xml:space="preserve">from the ANU Investment Office. We would like to thank both the IAC and ANU Investment Office for their assistance throughout this process. </w:t>
      </w:r>
    </w:p>
    <w:p w14:paraId="1FCE5F38" w14:textId="63D2585F" w:rsidR="001F0125" w:rsidRPr="001F0125" w:rsidRDefault="004A3134" w:rsidP="001F0125">
      <w:pPr>
        <w:widowControl/>
        <w:spacing w:before="180"/>
        <w:rPr>
          <w:sz w:val="20"/>
          <w:szCs w:val="20"/>
        </w:rPr>
      </w:pPr>
      <w:r>
        <w:rPr>
          <w:sz w:val="20"/>
          <w:szCs w:val="20"/>
          <w:lang w:val="en-US"/>
        </w:rPr>
        <w:t>Prior to the review</w:t>
      </w:r>
      <w:r w:rsidR="00393322">
        <w:rPr>
          <w:sz w:val="20"/>
          <w:szCs w:val="20"/>
          <w:lang w:val="en-US"/>
        </w:rPr>
        <w:t>,</w:t>
      </w:r>
      <w:r w:rsidR="00E30558">
        <w:rPr>
          <w:sz w:val="20"/>
          <w:szCs w:val="20"/>
          <w:lang w:val="en-US"/>
        </w:rPr>
        <w:t xml:space="preserve"> the SMF aimed to meet the criteria used</w:t>
      </w:r>
      <w:r w:rsidR="001F0125" w:rsidRPr="001F0125">
        <w:rPr>
          <w:sz w:val="20"/>
          <w:szCs w:val="20"/>
          <w:lang w:val="en-US"/>
        </w:rPr>
        <w:t xml:space="preserve"> </w:t>
      </w:r>
      <w:r>
        <w:rPr>
          <w:sz w:val="20"/>
          <w:szCs w:val="20"/>
          <w:lang w:val="en-US"/>
        </w:rPr>
        <w:t xml:space="preserve">by </w:t>
      </w:r>
      <w:r w:rsidR="001F0125" w:rsidRPr="001F0125">
        <w:rPr>
          <w:sz w:val="20"/>
          <w:szCs w:val="20"/>
          <w:lang w:val="en-US"/>
        </w:rPr>
        <w:t>ANU’s Long Term Investment Pool (LTIP)</w:t>
      </w:r>
      <w:r>
        <w:rPr>
          <w:sz w:val="20"/>
          <w:szCs w:val="20"/>
          <w:lang w:val="en-US"/>
        </w:rPr>
        <w:t xml:space="preserve"> within its Australian equity portfolio</w:t>
      </w:r>
      <w:r w:rsidR="00E30558">
        <w:rPr>
          <w:sz w:val="20"/>
          <w:szCs w:val="20"/>
          <w:lang w:val="en-US"/>
        </w:rPr>
        <w:t xml:space="preserve">, which requires its </w:t>
      </w:r>
      <w:r w:rsidR="001F0125" w:rsidRPr="001F0125">
        <w:rPr>
          <w:sz w:val="20"/>
          <w:szCs w:val="20"/>
          <w:lang w:val="en-US"/>
        </w:rPr>
        <w:t xml:space="preserve">(enhanced index) equity manager </w:t>
      </w:r>
      <w:r w:rsidR="00393322">
        <w:rPr>
          <w:sz w:val="20"/>
          <w:szCs w:val="20"/>
          <w:lang w:val="en-US"/>
        </w:rPr>
        <w:t xml:space="preserve">to </w:t>
      </w:r>
      <w:r w:rsidR="001F0125" w:rsidRPr="001F0125">
        <w:rPr>
          <w:sz w:val="20"/>
          <w:szCs w:val="20"/>
          <w:lang w:val="en-US"/>
        </w:rPr>
        <w:t>comply with three main conditions</w:t>
      </w:r>
      <w:r w:rsidR="00393322">
        <w:rPr>
          <w:sz w:val="20"/>
          <w:szCs w:val="20"/>
          <w:lang w:val="en-US"/>
        </w:rPr>
        <w:t xml:space="preserve"> related to company exclusions, </w:t>
      </w:r>
      <w:r>
        <w:rPr>
          <w:sz w:val="20"/>
          <w:szCs w:val="20"/>
          <w:lang w:val="en-US"/>
        </w:rPr>
        <w:t>carbon</w:t>
      </w:r>
      <w:r w:rsidR="00393322">
        <w:rPr>
          <w:sz w:val="20"/>
          <w:szCs w:val="20"/>
          <w:lang w:val="en-US"/>
        </w:rPr>
        <w:t xml:space="preserve"> intensity and </w:t>
      </w:r>
      <w:r w:rsidR="00393322" w:rsidRPr="001F0125">
        <w:rPr>
          <w:sz w:val="20"/>
          <w:szCs w:val="20"/>
          <w:lang w:val="en-US"/>
        </w:rPr>
        <w:t>Environment, Social and Governance (ESG)</w:t>
      </w:r>
      <w:r w:rsidR="00393322">
        <w:rPr>
          <w:sz w:val="20"/>
          <w:szCs w:val="20"/>
          <w:lang w:val="en-US"/>
        </w:rPr>
        <w:t xml:space="preserve"> ratings (</w:t>
      </w:r>
      <w:r>
        <w:rPr>
          <w:sz w:val="20"/>
          <w:szCs w:val="20"/>
          <w:lang w:val="en-US"/>
        </w:rPr>
        <w:t xml:space="preserve">see </w:t>
      </w:r>
      <w:r w:rsidR="00393322">
        <w:rPr>
          <w:sz w:val="20"/>
          <w:szCs w:val="20"/>
          <w:lang w:val="en-US"/>
        </w:rPr>
        <w:t>point</w:t>
      </w:r>
      <w:r>
        <w:rPr>
          <w:sz w:val="20"/>
          <w:szCs w:val="20"/>
          <w:lang w:val="en-US"/>
        </w:rPr>
        <w:t>s</w:t>
      </w:r>
      <w:r w:rsidR="00393322">
        <w:rPr>
          <w:sz w:val="20"/>
          <w:szCs w:val="20"/>
          <w:lang w:val="en-US"/>
        </w:rPr>
        <w:t xml:space="preserve"> one through three below). Following the review, </w:t>
      </w:r>
      <w:r w:rsidR="001F0125" w:rsidRPr="001F0125">
        <w:rPr>
          <w:sz w:val="20"/>
          <w:szCs w:val="20"/>
          <w:lang w:val="en-US"/>
        </w:rPr>
        <w:t xml:space="preserve">the SMF </w:t>
      </w:r>
      <w:r>
        <w:rPr>
          <w:sz w:val="20"/>
          <w:szCs w:val="20"/>
          <w:lang w:val="en-US"/>
        </w:rPr>
        <w:t>added</w:t>
      </w:r>
      <w:r w:rsidR="001F0125" w:rsidRPr="001F0125">
        <w:rPr>
          <w:sz w:val="20"/>
          <w:szCs w:val="20"/>
          <w:lang w:val="en-US"/>
        </w:rPr>
        <w:t xml:space="preserve"> conditions four and five: </w:t>
      </w:r>
      <w:r w:rsidR="001F0125" w:rsidRPr="001F0125">
        <w:rPr>
          <w:sz w:val="20"/>
          <w:szCs w:val="20"/>
        </w:rPr>
        <w:t> </w:t>
      </w:r>
    </w:p>
    <w:p w14:paraId="4B27A1B6" w14:textId="77777777" w:rsidR="001F0125" w:rsidRPr="001F0125" w:rsidRDefault="001F0125" w:rsidP="001F0125">
      <w:pPr>
        <w:widowControl/>
        <w:numPr>
          <w:ilvl w:val="0"/>
          <w:numId w:val="34"/>
        </w:numPr>
        <w:spacing w:before="180" w:after="0"/>
        <w:rPr>
          <w:sz w:val="20"/>
          <w:szCs w:val="20"/>
          <w:lang w:val="en-US"/>
        </w:rPr>
      </w:pPr>
      <w:r w:rsidRPr="001F0125">
        <w:rPr>
          <w:sz w:val="20"/>
          <w:szCs w:val="20"/>
          <w:lang w:val="en-US"/>
        </w:rPr>
        <w:t>Exclude companies that derive more than 20% of revenues from coal, gambling, tobacco or pornography.</w:t>
      </w:r>
    </w:p>
    <w:p w14:paraId="4A73B010" w14:textId="77777777" w:rsidR="001F0125" w:rsidRPr="001F0125" w:rsidRDefault="001F0125" w:rsidP="001F0125">
      <w:pPr>
        <w:widowControl/>
        <w:numPr>
          <w:ilvl w:val="0"/>
          <w:numId w:val="34"/>
        </w:numPr>
        <w:spacing w:before="0" w:after="0"/>
        <w:rPr>
          <w:sz w:val="20"/>
          <w:szCs w:val="20"/>
          <w:lang w:val="en-US"/>
        </w:rPr>
      </w:pPr>
      <w:r w:rsidRPr="001F0125">
        <w:rPr>
          <w:sz w:val="20"/>
          <w:szCs w:val="20"/>
          <w:lang w:val="en-US"/>
        </w:rPr>
        <w:t>Hold a portfolio with 25% less carbon intensity than the S&amp;P/ASX 200.</w:t>
      </w:r>
    </w:p>
    <w:p w14:paraId="533633B2" w14:textId="42DE4792" w:rsidR="001F0125" w:rsidRPr="001F0125" w:rsidRDefault="001F0125" w:rsidP="001F0125">
      <w:pPr>
        <w:widowControl/>
        <w:numPr>
          <w:ilvl w:val="0"/>
          <w:numId w:val="34"/>
        </w:numPr>
        <w:spacing w:before="0" w:after="0"/>
        <w:rPr>
          <w:sz w:val="20"/>
          <w:szCs w:val="20"/>
          <w:lang w:val="en-US"/>
        </w:rPr>
      </w:pPr>
      <w:r w:rsidRPr="001F0125">
        <w:rPr>
          <w:sz w:val="20"/>
          <w:szCs w:val="20"/>
          <w:lang w:val="en-US"/>
        </w:rPr>
        <w:t xml:space="preserve">Ensure that the portfolio demonstrates a 10 % improvement in the overall </w:t>
      </w:r>
      <w:r w:rsidR="00393322">
        <w:rPr>
          <w:sz w:val="20"/>
          <w:szCs w:val="20"/>
          <w:lang w:val="en-US"/>
        </w:rPr>
        <w:t xml:space="preserve">ESG </w:t>
      </w:r>
      <w:r w:rsidRPr="001F0125">
        <w:rPr>
          <w:sz w:val="20"/>
          <w:szCs w:val="20"/>
          <w:lang w:val="en-US"/>
        </w:rPr>
        <w:t>rating relative to the benchmark.</w:t>
      </w:r>
    </w:p>
    <w:p w14:paraId="616A245B" w14:textId="1A9709A7" w:rsidR="001F0125" w:rsidRPr="001F0125" w:rsidRDefault="00393322" w:rsidP="001F0125">
      <w:pPr>
        <w:widowControl/>
        <w:numPr>
          <w:ilvl w:val="0"/>
          <w:numId w:val="34"/>
        </w:numPr>
        <w:spacing w:before="0" w:after="0"/>
        <w:rPr>
          <w:sz w:val="20"/>
          <w:szCs w:val="20"/>
          <w:lang w:val="en-US"/>
        </w:rPr>
      </w:pPr>
      <w:r>
        <w:rPr>
          <w:sz w:val="20"/>
          <w:szCs w:val="20"/>
          <w:lang w:val="en-US"/>
        </w:rPr>
        <w:t xml:space="preserve">Evaluate whether </w:t>
      </w:r>
      <w:r w:rsidR="001F0125" w:rsidRPr="001F0125">
        <w:rPr>
          <w:sz w:val="20"/>
          <w:szCs w:val="20"/>
          <w:lang w:val="en-US"/>
        </w:rPr>
        <w:t>a prospective investment</w:t>
      </w:r>
      <w:r>
        <w:rPr>
          <w:sz w:val="20"/>
          <w:szCs w:val="20"/>
          <w:lang w:val="en-US"/>
        </w:rPr>
        <w:t xml:space="preserve"> causes an unacceptable level of ‘social injury</w:t>
      </w:r>
      <w:r w:rsidR="004A3134">
        <w:rPr>
          <w:sz w:val="20"/>
          <w:szCs w:val="20"/>
          <w:lang w:val="en-US"/>
        </w:rPr>
        <w:t>’</w:t>
      </w:r>
      <w:r w:rsidR="001F0125" w:rsidRPr="001F0125">
        <w:rPr>
          <w:sz w:val="20"/>
          <w:szCs w:val="20"/>
          <w:lang w:val="en-US"/>
        </w:rPr>
        <w:t xml:space="preserve">. </w:t>
      </w:r>
    </w:p>
    <w:p w14:paraId="5ACA7A27" w14:textId="1A23CB8F" w:rsidR="001F0125" w:rsidRPr="001F0125" w:rsidRDefault="00393322" w:rsidP="001F0125">
      <w:pPr>
        <w:widowControl/>
        <w:numPr>
          <w:ilvl w:val="0"/>
          <w:numId w:val="34"/>
        </w:numPr>
        <w:spacing w:before="0"/>
        <w:rPr>
          <w:sz w:val="20"/>
          <w:szCs w:val="20"/>
          <w:lang w:val="en-US"/>
        </w:rPr>
      </w:pPr>
      <w:r>
        <w:rPr>
          <w:sz w:val="20"/>
          <w:szCs w:val="20"/>
          <w:lang w:val="en-US"/>
        </w:rPr>
        <w:t>Take into</w:t>
      </w:r>
      <w:r w:rsidR="00D55136">
        <w:rPr>
          <w:sz w:val="20"/>
          <w:szCs w:val="20"/>
          <w:lang w:val="en-US"/>
        </w:rPr>
        <w:t xml:space="preserve"> consideration whether </w:t>
      </w:r>
      <w:r w:rsidR="001F0125" w:rsidRPr="001F0125">
        <w:rPr>
          <w:sz w:val="20"/>
          <w:szCs w:val="20"/>
          <w:lang w:val="en-US"/>
        </w:rPr>
        <w:t>a prospective investment</w:t>
      </w:r>
      <w:r w:rsidR="004A3134">
        <w:rPr>
          <w:sz w:val="20"/>
          <w:szCs w:val="20"/>
          <w:lang w:val="en-US"/>
        </w:rPr>
        <w:t xml:space="preserve"> </w:t>
      </w:r>
      <w:r w:rsidR="00D55136">
        <w:rPr>
          <w:sz w:val="20"/>
          <w:szCs w:val="20"/>
          <w:lang w:val="en-US"/>
        </w:rPr>
        <w:t>create</w:t>
      </w:r>
      <w:r w:rsidR="004A3134">
        <w:rPr>
          <w:sz w:val="20"/>
          <w:szCs w:val="20"/>
          <w:lang w:val="en-US"/>
        </w:rPr>
        <w:t>s</w:t>
      </w:r>
      <w:r w:rsidR="00D55136">
        <w:rPr>
          <w:sz w:val="20"/>
          <w:szCs w:val="20"/>
          <w:lang w:val="en-US"/>
        </w:rPr>
        <w:t xml:space="preserve"> ‘social benefit’</w:t>
      </w:r>
      <w:r w:rsidR="001F0125" w:rsidRPr="001F0125">
        <w:rPr>
          <w:sz w:val="20"/>
          <w:szCs w:val="20"/>
          <w:lang w:val="en-US"/>
        </w:rPr>
        <w:t xml:space="preserve">. </w:t>
      </w:r>
    </w:p>
    <w:p w14:paraId="330AD4F7" w14:textId="2970B5FA" w:rsidR="001F0125" w:rsidRPr="001F0125" w:rsidRDefault="001F0125" w:rsidP="001F0125">
      <w:pPr>
        <w:widowControl/>
        <w:spacing w:before="180"/>
        <w:rPr>
          <w:sz w:val="20"/>
          <w:szCs w:val="20"/>
          <w:lang w:val="en-US"/>
        </w:rPr>
      </w:pPr>
      <w:r w:rsidRPr="001F0125">
        <w:rPr>
          <w:sz w:val="20"/>
          <w:szCs w:val="20"/>
          <w:lang w:val="en-US"/>
        </w:rPr>
        <w:t xml:space="preserve">These additional </w:t>
      </w:r>
      <w:r w:rsidR="004C1F44">
        <w:rPr>
          <w:sz w:val="20"/>
          <w:szCs w:val="20"/>
          <w:lang w:val="en-US"/>
        </w:rPr>
        <w:t>conditions are addressed</w:t>
      </w:r>
      <w:r w:rsidRPr="001F0125">
        <w:rPr>
          <w:sz w:val="20"/>
          <w:szCs w:val="20"/>
          <w:lang w:val="en-US"/>
        </w:rPr>
        <w:t xml:space="preserve"> </w:t>
      </w:r>
      <w:r w:rsidR="004A3134">
        <w:rPr>
          <w:sz w:val="20"/>
          <w:szCs w:val="20"/>
          <w:lang w:val="en-US"/>
        </w:rPr>
        <w:t xml:space="preserve">during </w:t>
      </w:r>
      <w:r w:rsidRPr="001F0125">
        <w:rPr>
          <w:sz w:val="20"/>
          <w:szCs w:val="20"/>
          <w:lang w:val="en-US"/>
        </w:rPr>
        <w:t>candidate stock analysis</w:t>
      </w:r>
      <w:r w:rsidR="00D55136">
        <w:rPr>
          <w:sz w:val="20"/>
          <w:szCs w:val="20"/>
          <w:lang w:val="en-US"/>
        </w:rPr>
        <w:t>,</w:t>
      </w:r>
      <w:r w:rsidR="004C1F44">
        <w:rPr>
          <w:sz w:val="20"/>
          <w:szCs w:val="20"/>
          <w:lang w:val="en-US"/>
        </w:rPr>
        <w:t xml:space="preserve"> with the intention of taking the</w:t>
      </w:r>
      <w:r w:rsidR="004A3134">
        <w:rPr>
          <w:sz w:val="20"/>
          <w:szCs w:val="20"/>
          <w:lang w:val="en-US"/>
        </w:rPr>
        <w:t xml:space="preserve">m into account in determining </w:t>
      </w:r>
      <w:r w:rsidR="004C1F44">
        <w:rPr>
          <w:sz w:val="20"/>
          <w:szCs w:val="20"/>
          <w:lang w:val="en-US"/>
        </w:rPr>
        <w:t>active stock investment</w:t>
      </w:r>
      <w:r w:rsidR="004A3134">
        <w:rPr>
          <w:sz w:val="20"/>
          <w:szCs w:val="20"/>
          <w:lang w:val="en-US"/>
        </w:rPr>
        <w:t>s</w:t>
      </w:r>
      <w:r w:rsidR="004C1F44">
        <w:rPr>
          <w:sz w:val="20"/>
          <w:szCs w:val="20"/>
          <w:lang w:val="en-US"/>
        </w:rPr>
        <w:t xml:space="preserve">. </w:t>
      </w:r>
      <w:r w:rsidR="004A3134">
        <w:rPr>
          <w:sz w:val="20"/>
          <w:szCs w:val="20"/>
          <w:lang w:val="en-US"/>
        </w:rPr>
        <w:t xml:space="preserve">Adding these conditions </w:t>
      </w:r>
      <w:r w:rsidRPr="001F0125">
        <w:rPr>
          <w:sz w:val="20"/>
          <w:szCs w:val="20"/>
          <w:lang w:val="en-US"/>
        </w:rPr>
        <w:t>reflect</w:t>
      </w:r>
      <w:r w:rsidR="004A3134">
        <w:rPr>
          <w:sz w:val="20"/>
          <w:szCs w:val="20"/>
          <w:lang w:val="en-US"/>
        </w:rPr>
        <w:t>s</w:t>
      </w:r>
      <w:r w:rsidRPr="001F0125">
        <w:rPr>
          <w:sz w:val="20"/>
          <w:szCs w:val="20"/>
          <w:lang w:val="en-US"/>
        </w:rPr>
        <w:t xml:space="preserve"> the importance </w:t>
      </w:r>
      <w:r w:rsidR="004A3134">
        <w:rPr>
          <w:sz w:val="20"/>
          <w:szCs w:val="20"/>
          <w:lang w:val="en-US"/>
        </w:rPr>
        <w:t xml:space="preserve">that </w:t>
      </w:r>
      <w:r w:rsidRPr="001F0125">
        <w:rPr>
          <w:sz w:val="20"/>
          <w:szCs w:val="20"/>
          <w:lang w:val="en-US"/>
        </w:rPr>
        <w:t>the SMF places upon SRI considerations</w:t>
      </w:r>
      <w:r w:rsidR="004C1F44">
        <w:rPr>
          <w:sz w:val="20"/>
          <w:szCs w:val="20"/>
          <w:lang w:val="en-US"/>
        </w:rPr>
        <w:t xml:space="preserve">, and moves the SMF towards embracing the intent of the ANU SRI policy. The SRI implementation process is </w:t>
      </w:r>
      <w:r w:rsidRPr="001F0125">
        <w:rPr>
          <w:sz w:val="20"/>
          <w:szCs w:val="20"/>
          <w:lang w:val="en-US"/>
        </w:rPr>
        <w:t xml:space="preserve">further supported by </w:t>
      </w:r>
      <w:r w:rsidR="004C1F44">
        <w:rPr>
          <w:sz w:val="20"/>
          <w:szCs w:val="20"/>
          <w:lang w:val="en-US"/>
        </w:rPr>
        <w:t xml:space="preserve">policy documents and procedures that have been put in place by </w:t>
      </w:r>
      <w:r w:rsidRPr="001F0125">
        <w:rPr>
          <w:sz w:val="20"/>
          <w:szCs w:val="20"/>
          <w:lang w:val="en-US"/>
        </w:rPr>
        <w:t xml:space="preserve">the R&amp;C and AAE teams. </w:t>
      </w:r>
    </w:p>
    <w:p w14:paraId="1EF8E7E6" w14:textId="2DB49DE3" w:rsidR="001F0125" w:rsidRPr="001F0125" w:rsidRDefault="004A3134" w:rsidP="001F0125">
      <w:pPr>
        <w:widowControl/>
        <w:spacing w:before="180"/>
        <w:rPr>
          <w:sz w:val="20"/>
          <w:szCs w:val="20"/>
          <w:lang w:val="en-US"/>
        </w:rPr>
      </w:pPr>
      <w:r>
        <w:rPr>
          <w:sz w:val="20"/>
          <w:szCs w:val="20"/>
          <w:lang w:val="en-US"/>
        </w:rPr>
        <w:t>The SRI review also involved</w:t>
      </w:r>
      <w:r w:rsidR="001F0125" w:rsidRPr="001F0125">
        <w:rPr>
          <w:sz w:val="20"/>
          <w:szCs w:val="20"/>
          <w:lang w:val="en-US"/>
        </w:rPr>
        <w:t xml:space="preserve"> </w:t>
      </w:r>
      <w:r w:rsidR="004C1F44">
        <w:rPr>
          <w:sz w:val="20"/>
          <w:szCs w:val="20"/>
          <w:lang w:val="en-US"/>
        </w:rPr>
        <w:t>an assessment of</w:t>
      </w:r>
      <w:r w:rsidR="001F0125" w:rsidRPr="001F0125">
        <w:rPr>
          <w:sz w:val="20"/>
          <w:szCs w:val="20"/>
          <w:lang w:val="en-US"/>
        </w:rPr>
        <w:t xml:space="preserve"> the benchmark ETFs used </w:t>
      </w:r>
      <w:r>
        <w:rPr>
          <w:sz w:val="20"/>
          <w:szCs w:val="20"/>
          <w:lang w:val="en-US"/>
        </w:rPr>
        <w:t xml:space="preserve">by the Fund </w:t>
      </w:r>
      <w:r w:rsidR="001F0125" w:rsidRPr="001F0125">
        <w:rPr>
          <w:sz w:val="20"/>
          <w:szCs w:val="20"/>
          <w:lang w:val="en-US"/>
        </w:rPr>
        <w:t xml:space="preserve">from an SRI perspective. The outcome </w:t>
      </w:r>
      <w:r w:rsidR="004C1F44">
        <w:rPr>
          <w:sz w:val="20"/>
          <w:szCs w:val="20"/>
          <w:lang w:val="en-US"/>
        </w:rPr>
        <w:t xml:space="preserve">was </w:t>
      </w:r>
      <w:r>
        <w:rPr>
          <w:sz w:val="20"/>
          <w:szCs w:val="20"/>
          <w:lang w:val="en-US"/>
        </w:rPr>
        <w:t>a decision</w:t>
      </w:r>
      <w:r w:rsidR="004C1F44">
        <w:rPr>
          <w:sz w:val="20"/>
          <w:szCs w:val="20"/>
          <w:lang w:val="en-US"/>
        </w:rPr>
        <w:t xml:space="preserve"> </w:t>
      </w:r>
      <w:r w:rsidR="001F0125" w:rsidRPr="001F0125">
        <w:rPr>
          <w:sz w:val="20"/>
          <w:szCs w:val="20"/>
          <w:lang w:val="en-US"/>
        </w:rPr>
        <w:t>to retain the current benchmark ETFs</w:t>
      </w:r>
      <w:r w:rsidR="004C1F44">
        <w:rPr>
          <w:sz w:val="20"/>
          <w:szCs w:val="20"/>
          <w:lang w:val="en-US"/>
        </w:rPr>
        <w:t xml:space="preserve"> at this stage, but to keep the matter </w:t>
      </w:r>
      <w:r w:rsidR="001F0125" w:rsidRPr="001F0125">
        <w:rPr>
          <w:sz w:val="20"/>
          <w:szCs w:val="20"/>
          <w:lang w:val="en-US"/>
        </w:rPr>
        <w:t>under review. The Fund will continually search for suitable alternatives which better balance the requirements of the ANU SRI policy</w:t>
      </w:r>
      <w:r>
        <w:rPr>
          <w:sz w:val="20"/>
          <w:szCs w:val="20"/>
          <w:lang w:val="en-US"/>
        </w:rPr>
        <w:t xml:space="preserve"> as well as its</w:t>
      </w:r>
      <w:r w:rsidR="001F0125" w:rsidRPr="001F0125">
        <w:rPr>
          <w:sz w:val="20"/>
          <w:szCs w:val="20"/>
          <w:lang w:val="en-US"/>
        </w:rPr>
        <w:t xml:space="preserve"> investment and learning objectives. The current </w:t>
      </w:r>
      <w:r>
        <w:rPr>
          <w:sz w:val="20"/>
          <w:szCs w:val="20"/>
          <w:lang w:val="en-US"/>
        </w:rPr>
        <w:t>SRI-based ETFs listed on the ASX</w:t>
      </w:r>
      <w:r w:rsidR="001F0125" w:rsidRPr="001F0125">
        <w:rPr>
          <w:sz w:val="20"/>
          <w:szCs w:val="20"/>
          <w:lang w:val="en-US"/>
        </w:rPr>
        <w:t xml:space="preserve"> are deemed inferior in </w:t>
      </w:r>
      <w:r>
        <w:rPr>
          <w:sz w:val="20"/>
          <w:szCs w:val="20"/>
          <w:lang w:val="en-US"/>
        </w:rPr>
        <w:t xml:space="preserve">this </w:t>
      </w:r>
      <w:r w:rsidR="001F0125" w:rsidRPr="001F0125">
        <w:rPr>
          <w:sz w:val="20"/>
          <w:szCs w:val="20"/>
          <w:lang w:val="en-US"/>
        </w:rPr>
        <w:t>regard</w:t>
      </w:r>
      <w:r w:rsidR="004C1F44">
        <w:rPr>
          <w:sz w:val="20"/>
          <w:szCs w:val="20"/>
          <w:lang w:val="en-US"/>
        </w:rPr>
        <w:t>,</w:t>
      </w:r>
      <w:r w:rsidR="001F0125" w:rsidRPr="001F0125">
        <w:rPr>
          <w:sz w:val="20"/>
          <w:szCs w:val="20"/>
          <w:lang w:val="en-US"/>
        </w:rPr>
        <w:t xml:space="preserve"> and </w:t>
      </w:r>
      <w:r w:rsidR="004C1F44">
        <w:rPr>
          <w:sz w:val="20"/>
          <w:szCs w:val="20"/>
          <w:lang w:val="en-US"/>
        </w:rPr>
        <w:t>un</w:t>
      </w:r>
      <w:r w:rsidR="001F0125" w:rsidRPr="001F0125">
        <w:rPr>
          <w:sz w:val="20"/>
          <w:szCs w:val="20"/>
          <w:lang w:val="en-US"/>
        </w:rPr>
        <w:t xml:space="preserve">suitable </w:t>
      </w:r>
      <w:r w:rsidR="004C1F44">
        <w:rPr>
          <w:sz w:val="20"/>
          <w:szCs w:val="20"/>
          <w:lang w:val="en-US"/>
        </w:rPr>
        <w:t>on balance</w:t>
      </w:r>
      <w:r w:rsidR="001F0125" w:rsidRPr="001F0125">
        <w:rPr>
          <w:sz w:val="20"/>
          <w:szCs w:val="20"/>
          <w:lang w:val="en-US"/>
        </w:rPr>
        <w:t>.</w:t>
      </w:r>
      <w:r>
        <w:rPr>
          <w:sz w:val="20"/>
          <w:szCs w:val="20"/>
          <w:lang w:val="en-US"/>
        </w:rPr>
        <w:t xml:space="preserve"> In particular, they </w:t>
      </w:r>
      <w:r w:rsidR="004C1F44">
        <w:rPr>
          <w:sz w:val="20"/>
          <w:szCs w:val="20"/>
          <w:lang w:val="en-US"/>
        </w:rPr>
        <w:t xml:space="preserve">poorly represent </w:t>
      </w:r>
      <w:r w:rsidR="001F0125" w:rsidRPr="001F0125">
        <w:rPr>
          <w:sz w:val="20"/>
          <w:szCs w:val="20"/>
          <w:lang w:val="en-US"/>
        </w:rPr>
        <w:t xml:space="preserve">the underlying asset class </w:t>
      </w:r>
      <w:r w:rsidR="004C1F44">
        <w:rPr>
          <w:sz w:val="20"/>
          <w:szCs w:val="20"/>
          <w:lang w:val="en-US"/>
        </w:rPr>
        <w:t xml:space="preserve">due to their narrow focus, </w:t>
      </w:r>
      <w:r w:rsidR="00617D8F">
        <w:rPr>
          <w:sz w:val="20"/>
          <w:szCs w:val="20"/>
          <w:lang w:val="en-US"/>
        </w:rPr>
        <w:t xml:space="preserve">which both hampers their effectiveness as an investment while </w:t>
      </w:r>
      <w:r>
        <w:rPr>
          <w:sz w:val="20"/>
          <w:szCs w:val="20"/>
          <w:lang w:val="en-US"/>
        </w:rPr>
        <w:t>making</w:t>
      </w:r>
      <w:r w:rsidR="001F0125" w:rsidRPr="001F0125">
        <w:rPr>
          <w:sz w:val="20"/>
          <w:szCs w:val="20"/>
          <w:lang w:val="en-US"/>
        </w:rPr>
        <w:t xml:space="preserve"> </w:t>
      </w:r>
      <w:r w:rsidR="004C1F44">
        <w:rPr>
          <w:sz w:val="20"/>
          <w:szCs w:val="20"/>
          <w:lang w:val="en-US"/>
        </w:rPr>
        <w:t>it quite difficult for the AA team to analyse th</w:t>
      </w:r>
      <w:r w:rsidR="00617D8F">
        <w:rPr>
          <w:sz w:val="20"/>
          <w:szCs w:val="20"/>
          <w:lang w:val="en-US"/>
        </w:rPr>
        <w:t xml:space="preserve">eir </w:t>
      </w:r>
      <w:r w:rsidR="004C1F44">
        <w:rPr>
          <w:sz w:val="20"/>
          <w:szCs w:val="20"/>
          <w:lang w:val="en-US"/>
        </w:rPr>
        <w:t>characteristics. They also</w:t>
      </w:r>
      <w:r w:rsidR="001F0125" w:rsidRPr="001F0125">
        <w:rPr>
          <w:sz w:val="20"/>
          <w:szCs w:val="20"/>
          <w:lang w:val="en-US"/>
        </w:rPr>
        <w:t xml:space="preserve"> possess higher fees then the ET</w:t>
      </w:r>
      <w:r w:rsidR="004C1F44">
        <w:rPr>
          <w:sz w:val="20"/>
          <w:szCs w:val="20"/>
          <w:lang w:val="en-US"/>
        </w:rPr>
        <w:t xml:space="preserve">Fs currently used by the Fund. </w:t>
      </w:r>
    </w:p>
    <w:p w14:paraId="4DE518F4" w14:textId="412047C0" w:rsidR="001F0125" w:rsidRPr="001F0125" w:rsidRDefault="001F0125" w:rsidP="001F0125">
      <w:pPr>
        <w:widowControl/>
        <w:spacing w:before="180"/>
        <w:rPr>
          <w:sz w:val="20"/>
          <w:szCs w:val="20"/>
          <w:lang w:val="en-US"/>
        </w:rPr>
      </w:pPr>
      <w:r w:rsidRPr="001F0125">
        <w:rPr>
          <w:sz w:val="20"/>
          <w:szCs w:val="20"/>
          <w:lang w:val="en-US"/>
        </w:rPr>
        <w:t xml:space="preserve">The current </w:t>
      </w:r>
      <w:r w:rsidR="00617D8F">
        <w:rPr>
          <w:sz w:val="20"/>
          <w:szCs w:val="20"/>
          <w:lang w:val="en-US"/>
        </w:rPr>
        <w:t xml:space="preserve">formal </w:t>
      </w:r>
      <w:r w:rsidRPr="001F0125">
        <w:rPr>
          <w:sz w:val="20"/>
          <w:szCs w:val="20"/>
          <w:lang w:val="en-US"/>
        </w:rPr>
        <w:t xml:space="preserve">SRI compliance </w:t>
      </w:r>
      <w:r w:rsidR="00617D8F">
        <w:rPr>
          <w:sz w:val="20"/>
          <w:szCs w:val="20"/>
          <w:lang w:val="en-US"/>
        </w:rPr>
        <w:t xml:space="preserve">reporting is based around conditions one to three above, which relate to </w:t>
      </w:r>
      <w:r w:rsidRPr="001F0125">
        <w:rPr>
          <w:sz w:val="20"/>
          <w:szCs w:val="20"/>
          <w:lang w:val="en-US"/>
        </w:rPr>
        <w:t xml:space="preserve">ensuring </w:t>
      </w:r>
      <w:r w:rsidR="00617D8F">
        <w:rPr>
          <w:sz w:val="20"/>
          <w:szCs w:val="20"/>
          <w:lang w:val="en-US"/>
        </w:rPr>
        <w:t xml:space="preserve">that </w:t>
      </w:r>
      <w:r w:rsidRPr="001F0125">
        <w:rPr>
          <w:sz w:val="20"/>
          <w:szCs w:val="20"/>
          <w:lang w:val="en-US"/>
        </w:rPr>
        <w:t xml:space="preserve">the active stock positions within the AAE portfolio are compliant with the </w:t>
      </w:r>
      <w:r w:rsidR="00617D8F">
        <w:rPr>
          <w:sz w:val="20"/>
          <w:szCs w:val="20"/>
          <w:lang w:val="en-US"/>
        </w:rPr>
        <w:t xml:space="preserve">readily </w:t>
      </w:r>
      <w:r w:rsidRPr="001F0125">
        <w:rPr>
          <w:sz w:val="20"/>
          <w:szCs w:val="20"/>
          <w:lang w:val="en-US"/>
        </w:rPr>
        <w:t xml:space="preserve">measurable components of </w:t>
      </w:r>
      <w:r w:rsidR="00617D8F">
        <w:rPr>
          <w:sz w:val="20"/>
          <w:szCs w:val="20"/>
          <w:lang w:val="en-US"/>
        </w:rPr>
        <w:t xml:space="preserve">policy. </w:t>
      </w:r>
      <w:r w:rsidRPr="001F0125">
        <w:rPr>
          <w:sz w:val="20"/>
          <w:szCs w:val="20"/>
          <w:lang w:val="en-US"/>
        </w:rPr>
        <w:t xml:space="preserve">Figure 6 displays the carbon intensity and ESG scores of the AAE portfolio holdings as at 13 November 2018. The carbon intensity data for the holdings in Telstra, Rio Tinto, and Bingo Industries are sourced from Bloomberg. The scores are calculated on the annual carbon emission (in tonnes) per $1 million of revenue earned. The carbon intensity data of the S&amp;P/ASX200 ETF is retrieved from the ANU Socially Responsible Investment Policy 2017 Report. As this is the most recently available report, the score has not changed since the SMF’s report from the end of Semester 1, 2018. The ESG data </w:t>
      </w:r>
      <w:r w:rsidR="00617D8F">
        <w:rPr>
          <w:sz w:val="20"/>
          <w:szCs w:val="20"/>
          <w:lang w:val="en-US"/>
        </w:rPr>
        <w:t xml:space="preserve">is </w:t>
      </w:r>
      <w:r w:rsidRPr="001F0125">
        <w:rPr>
          <w:sz w:val="20"/>
          <w:szCs w:val="20"/>
          <w:lang w:val="en-US"/>
        </w:rPr>
        <w:t>retrieved from Sustainalytics</w:t>
      </w:r>
      <w:r w:rsidR="00617D8F">
        <w:rPr>
          <w:sz w:val="20"/>
          <w:szCs w:val="20"/>
          <w:lang w:val="en-US"/>
        </w:rPr>
        <w:t>, and</w:t>
      </w:r>
      <w:r w:rsidRPr="001F0125">
        <w:rPr>
          <w:sz w:val="20"/>
          <w:szCs w:val="20"/>
          <w:lang w:val="en-US"/>
        </w:rPr>
        <w:t xml:space="preserve"> has been updated to reflect current ESG scores of companies and changes in market capitalisation. </w:t>
      </w:r>
      <w:r w:rsidR="002B34BE">
        <w:rPr>
          <w:sz w:val="20"/>
          <w:szCs w:val="20"/>
          <w:lang w:val="en-US"/>
        </w:rPr>
        <w:t xml:space="preserve">(The Bingo score is based on an industry average). </w:t>
      </w:r>
      <w:r w:rsidRPr="001F0125">
        <w:rPr>
          <w:sz w:val="20"/>
          <w:szCs w:val="20"/>
          <w:lang w:val="en-US"/>
        </w:rPr>
        <w:t>The ASX200 score provided is based on the equally weighted average ESG score, with a market capitalisation weighted average also shown in brackets for reference.</w:t>
      </w:r>
    </w:p>
    <w:p w14:paraId="68FB1D88" w14:textId="0A10B9B0" w:rsidR="001F0125" w:rsidRPr="001F0125" w:rsidRDefault="00617D8F" w:rsidP="001F0125">
      <w:pPr>
        <w:widowControl/>
        <w:spacing w:before="180"/>
        <w:rPr>
          <w:sz w:val="20"/>
          <w:szCs w:val="20"/>
          <w:lang w:val="en-US"/>
        </w:rPr>
      </w:pPr>
      <w:r>
        <w:rPr>
          <w:sz w:val="20"/>
          <w:szCs w:val="20"/>
          <w:lang w:val="en-US"/>
        </w:rPr>
        <w:t>On this basis, t</w:t>
      </w:r>
      <w:r w:rsidR="001F0125" w:rsidRPr="001F0125">
        <w:rPr>
          <w:sz w:val="20"/>
          <w:szCs w:val="20"/>
          <w:lang w:val="en-US"/>
        </w:rPr>
        <w:t>he SMF is in compliance with ANU SRI policy. This compliance is demonstrated by 61.1% reduction in car</w:t>
      </w:r>
      <w:r>
        <w:rPr>
          <w:sz w:val="20"/>
          <w:szCs w:val="20"/>
          <w:lang w:val="en-US"/>
        </w:rPr>
        <w:t xml:space="preserve">bon intensity against a 25% requirement; </w:t>
      </w:r>
      <w:r w:rsidR="001F0125" w:rsidRPr="001F0125">
        <w:rPr>
          <w:sz w:val="20"/>
          <w:szCs w:val="20"/>
          <w:lang w:val="en-US"/>
        </w:rPr>
        <w:t xml:space="preserve">and 13.4% improvement in ESG score against a </w:t>
      </w:r>
      <w:r>
        <w:rPr>
          <w:sz w:val="20"/>
          <w:szCs w:val="20"/>
          <w:lang w:val="en-US"/>
        </w:rPr>
        <w:t>10% required improvement</w:t>
      </w:r>
      <w:r w:rsidR="001F0125" w:rsidRPr="001F0125">
        <w:rPr>
          <w:sz w:val="20"/>
          <w:szCs w:val="20"/>
          <w:lang w:val="en-US"/>
        </w:rPr>
        <w:t xml:space="preserve">. </w:t>
      </w:r>
    </w:p>
    <w:p w14:paraId="5E1521AA" w14:textId="08DC3FED" w:rsidR="001F0125" w:rsidRPr="001F0125" w:rsidRDefault="001F0125" w:rsidP="001F0125">
      <w:pPr>
        <w:widowControl/>
        <w:spacing w:before="180"/>
        <w:rPr>
          <w:b/>
          <w:sz w:val="20"/>
          <w:szCs w:val="20"/>
          <w:lang w:val="en-US"/>
        </w:rPr>
      </w:pPr>
      <w:r w:rsidRPr="001F0125">
        <w:rPr>
          <w:b/>
          <w:sz w:val="20"/>
          <w:szCs w:val="20"/>
          <w:lang w:val="en-US"/>
        </w:rPr>
        <w:t xml:space="preserve">Figure </w:t>
      </w:r>
      <w:r w:rsidR="002E2767">
        <w:rPr>
          <w:b/>
          <w:sz w:val="20"/>
          <w:szCs w:val="20"/>
          <w:lang w:val="en-US"/>
        </w:rPr>
        <w:t>5</w:t>
      </w:r>
      <w:r w:rsidRPr="001F0125">
        <w:rPr>
          <w:b/>
          <w:sz w:val="20"/>
          <w:szCs w:val="20"/>
          <w:lang w:val="en-US"/>
        </w:rPr>
        <w:t>: Current Position of the AAE Component in regard to SRI Compliance</w:t>
      </w:r>
    </w:p>
    <w:tbl>
      <w:tblPr>
        <w:tblStyle w:val="TableGrid"/>
        <w:tblW w:w="962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2477"/>
        <w:gridCol w:w="981"/>
        <w:gridCol w:w="827"/>
        <w:gridCol w:w="1222"/>
        <w:gridCol w:w="1134"/>
        <w:gridCol w:w="1293"/>
        <w:gridCol w:w="1691"/>
      </w:tblGrid>
      <w:tr w:rsidR="001F0125" w:rsidRPr="001F0125" w14:paraId="6096409A" w14:textId="77777777" w:rsidTr="002E2767">
        <w:trPr>
          <w:trHeight w:val="656"/>
        </w:trPr>
        <w:tc>
          <w:tcPr>
            <w:tcW w:w="2477" w:type="dxa"/>
            <w:tcBorders>
              <w:bottom w:val="nil"/>
            </w:tcBorders>
            <w:shd w:val="clear" w:color="auto" w:fill="DEEAF6"/>
          </w:tcPr>
          <w:p w14:paraId="6BB9529E" w14:textId="77777777" w:rsidR="001F0125" w:rsidRPr="001F0125" w:rsidRDefault="001F0125" w:rsidP="001F0125">
            <w:pPr>
              <w:widowControl/>
              <w:spacing w:before="180" w:after="120"/>
              <w:rPr>
                <w:sz w:val="20"/>
                <w:szCs w:val="20"/>
                <w:lang w:val="en-US"/>
              </w:rPr>
            </w:pPr>
          </w:p>
        </w:tc>
        <w:tc>
          <w:tcPr>
            <w:tcW w:w="981" w:type="dxa"/>
            <w:tcBorders>
              <w:bottom w:val="nil"/>
            </w:tcBorders>
            <w:shd w:val="clear" w:color="auto" w:fill="DEEAF6"/>
          </w:tcPr>
          <w:p w14:paraId="3FA36BC3" w14:textId="77777777" w:rsidR="001F0125" w:rsidRPr="001F0125" w:rsidRDefault="001F0125" w:rsidP="00617D8F">
            <w:pPr>
              <w:widowControl/>
              <w:spacing w:before="60" w:after="60"/>
              <w:jc w:val="center"/>
              <w:rPr>
                <w:b/>
                <w:sz w:val="20"/>
                <w:szCs w:val="20"/>
                <w:lang w:val="en-US"/>
              </w:rPr>
            </w:pPr>
            <w:r w:rsidRPr="001F0125">
              <w:rPr>
                <w:b/>
                <w:sz w:val="20"/>
                <w:szCs w:val="20"/>
                <w:lang w:val="en-US"/>
              </w:rPr>
              <w:t>ASX200 ETF</w:t>
            </w:r>
          </w:p>
        </w:tc>
        <w:tc>
          <w:tcPr>
            <w:tcW w:w="827" w:type="dxa"/>
            <w:tcBorders>
              <w:bottom w:val="nil"/>
            </w:tcBorders>
            <w:shd w:val="clear" w:color="auto" w:fill="DEEAF6"/>
          </w:tcPr>
          <w:p w14:paraId="7B69F51F" w14:textId="77777777" w:rsidR="001F0125" w:rsidRPr="001F0125" w:rsidRDefault="001F0125" w:rsidP="00617D8F">
            <w:pPr>
              <w:widowControl/>
              <w:spacing w:before="60" w:after="60"/>
              <w:jc w:val="center"/>
              <w:rPr>
                <w:b/>
                <w:sz w:val="20"/>
                <w:szCs w:val="20"/>
                <w:lang w:val="en-US"/>
              </w:rPr>
            </w:pPr>
            <w:r w:rsidRPr="001F0125">
              <w:rPr>
                <w:b/>
                <w:sz w:val="20"/>
                <w:szCs w:val="20"/>
                <w:lang w:val="en-US"/>
              </w:rPr>
              <w:t>Telstra (TLS)</w:t>
            </w:r>
          </w:p>
        </w:tc>
        <w:tc>
          <w:tcPr>
            <w:tcW w:w="1222" w:type="dxa"/>
            <w:tcBorders>
              <w:bottom w:val="nil"/>
            </w:tcBorders>
            <w:shd w:val="clear" w:color="auto" w:fill="DEEAF6"/>
          </w:tcPr>
          <w:p w14:paraId="2AEDABEF" w14:textId="77777777" w:rsidR="001F0125" w:rsidRPr="001F0125" w:rsidRDefault="001F0125" w:rsidP="00617D8F">
            <w:pPr>
              <w:widowControl/>
              <w:spacing w:before="60" w:after="60"/>
              <w:jc w:val="center"/>
              <w:rPr>
                <w:b/>
                <w:sz w:val="20"/>
                <w:szCs w:val="20"/>
                <w:lang w:val="en-US"/>
              </w:rPr>
            </w:pPr>
            <w:r w:rsidRPr="001F0125">
              <w:rPr>
                <w:b/>
                <w:sz w:val="20"/>
                <w:szCs w:val="20"/>
                <w:lang w:val="en-US"/>
              </w:rPr>
              <w:t>Rio Tinto (RIO)</w:t>
            </w:r>
          </w:p>
        </w:tc>
        <w:tc>
          <w:tcPr>
            <w:tcW w:w="1134" w:type="dxa"/>
            <w:tcBorders>
              <w:bottom w:val="nil"/>
            </w:tcBorders>
            <w:shd w:val="clear" w:color="auto" w:fill="DEEAF6"/>
          </w:tcPr>
          <w:p w14:paraId="7AE9CB75" w14:textId="56419A85" w:rsidR="001F0125" w:rsidRPr="001F0125" w:rsidRDefault="001F0125" w:rsidP="00617D8F">
            <w:pPr>
              <w:widowControl/>
              <w:spacing w:before="60" w:after="60"/>
              <w:jc w:val="center"/>
              <w:rPr>
                <w:b/>
                <w:sz w:val="20"/>
                <w:szCs w:val="20"/>
                <w:lang w:val="en-US"/>
              </w:rPr>
            </w:pPr>
            <w:r w:rsidRPr="001F0125">
              <w:rPr>
                <w:b/>
                <w:sz w:val="20"/>
                <w:szCs w:val="20"/>
                <w:lang w:val="en-US"/>
              </w:rPr>
              <w:t>Bingo Industries (BIN)</w:t>
            </w:r>
          </w:p>
        </w:tc>
        <w:tc>
          <w:tcPr>
            <w:tcW w:w="1293" w:type="dxa"/>
            <w:tcBorders>
              <w:bottom w:val="nil"/>
            </w:tcBorders>
            <w:shd w:val="clear" w:color="auto" w:fill="DEEAF6"/>
          </w:tcPr>
          <w:p w14:paraId="762F4D53" w14:textId="77777777" w:rsidR="001F0125" w:rsidRPr="001F0125" w:rsidRDefault="001F0125" w:rsidP="00617D8F">
            <w:pPr>
              <w:widowControl/>
              <w:spacing w:before="60" w:after="60"/>
              <w:jc w:val="center"/>
              <w:rPr>
                <w:b/>
                <w:sz w:val="20"/>
                <w:szCs w:val="20"/>
                <w:lang w:val="en-US"/>
              </w:rPr>
            </w:pPr>
            <w:r w:rsidRPr="001F0125">
              <w:rPr>
                <w:b/>
                <w:sz w:val="20"/>
                <w:szCs w:val="20"/>
                <w:lang w:val="en-US"/>
              </w:rPr>
              <w:t>Total Active Stock Positions</w:t>
            </w:r>
          </w:p>
        </w:tc>
        <w:tc>
          <w:tcPr>
            <w:tcW w:w="1691" w:type="dxa"/>
            <w:tcBorders>
              <w:bottom w:val="nil"/>
            </w:tcBorders>
            <w:shd w:val="clear" w:color="auto" w:fill="DEEAF6"/>
          </w:tcPr>
          <w:p w14:paraId="0FB652E1" w14:textId="21E6AC22" w:rsidR="001F0125" w:rsidRPr="001F0125" w:rsidRDefault="001F0125" w:rsidP="00617D8F">
            <w:pPr>
              <w:widowControl/>
              <w:spacing w:before="60" w:after="60"/>
              <w:jc w:val="center"/>
              <w:rPr>
                <w:b/>
                <w:sz w:val="20"/>
                <w:szCs w:val="20"/>
                <w:lang w:val="en-US"/>
              </w:rPr>
            </w:pPr>
            <w:r w:rsidRPr="001F0125">
              <w:rPr>
                <w:b/>
                <w:sz w:val="20"/>
                <w:szCs w:val="20"/>
                <w:lang w:val="en-US"/>
              </w:rPr>
              <w:t xml:space="preserve">Active Stock Positions vs. S&amp;P/ASX200 </w:t>
            </w:r>
          </w:p>
        </w:tc>
      </w:tr>
      <w:tr w:rsidR="001F0125" w:rsidRPr="001F0125" w14:paraId="52165831" w14:textId="77777777" w:rsidTr="002E2767">
        <w:trPr>
          <w:trHeight w:val="287"/>
        </w:trPr>
        <w:tc>
          <w:tcPr>
            <w:tcW w:w="2477" w:type="dxa"/>
            <w:tcBorders>
              <w:top w:val="nil"/>
              <w:bottom w:val="single" w:sz="4" w:space="0" w:color="auto"/>
            </w:tcBorders>
          </w:tcPr>
          <w:p w14:paraId="7F393CFE" w14:textId="77777777" w:rsidR="001F0125" w:rsidRPr="001F0125" w:rsidRDefault="001F0125" w:rsidP="00617D8F">
            <w:pPr>
              <w:widowControl/>
              <w:spacing w:before="120" w:after="120"/>
              <w:rPr>
                <w:sz w:val="20"/>
                <w:szCs w:val="20"/>
                <w:lang w:val="en-US"/>
              </w:rPr>
            </w:pPr>
            <w:r w:rsidRPr="001F0125">
              <w:rPr>
                <w:sz w:val="20"/>
                <w:szCs w:val="20"/>
                <w:lang w:val="en-US"/>
              </w:rPr>
              <w:t>Weighting in AAE portfolio</w:t>
            </w:r>
          </w:p>
        </w:tc>
        <w:tc>
          <w:tcPr>
            <w:tcW w:w="981" w:type="dxa"/>
            <w:tcBorders>
              <w:top w:val="nil"/>
              <w:bottom w:val="single" w:sz="4" w:space="0" w:color="auto"/>
            </w:tcBorders>
          </w:tcPr>
          <w:p w14:paraId="51E5CF70" w14:textId="77777777" w:rsidR="001F0125" w:rsidRPr="001F0125" w:rsidRDefault="001F0125" w:rsidP="00617D8F">
            <w:pPr>
              <w:widowControl/>
              <w:spacing w:before="120" w:after="120"/>
              <w:jc w:val="center"/>
              <w:rPr>
                <w:sz w:val="20"/>
                <w:szCs w:val="20"/>
                <w:lang w:val="en-US"/>
              </w:rPr>
            </w:pPr>
            <w:r w:rsidRPr="001F0125">
              <w:rPr>
                <w:sz w:val="20"/>
                <w:szCs w:val="20"/>
                <w:lang w:val="en-US"/>
              </w:rPr>
              <w:t>79.7%</w:t>
            </w:r>
          </w:p>
        </w:tc>
        <w:tc>
          <w:tcPr>
            <w:tcW w:w="827" w:type="dxa"/>
            <w:tcBorders>
              <w:top w:val="nil"/>
              <w:bottom w:val="single" w:sz="4" w:space="0" w:color="auto"/>
            </w:tcBorders>
          </w:tcPr>
          <w:p w14:paraId="7853DC91" w14:textId="77777777" w:rsidR="001F0125" w:rsidRPr="001F0125" w:rsidRDefault="001F0125" w:rsidP="00617D8F">
            <w:pPr>
              <w:widowControl/>
              <w:spacing w:before="120" w:after="120"/>
              <w:jc w:val="center"/>
              <w:rPr>
                <w:sz w:val="20"/>
                <w:szCs w:val="20"/>
                <w:lang w:val="en-US"/>
              </w:rPr>
            </w:pPr>
            <w:r w:rsidRPr="001F0125">
              <w:rPr>
                <w:sz w:val="20"/>
                <w:szCs w:val="20"/>
                <w:lang w:val="en-US"/>
              </w:rPr>
              <w:t>8.9%</w:t>
            </w:r>
          </w:p>
        </w:tc>
        <w:tc>
          <w:tcPr>
            <w:tcW w:w="1222" w:type="dxa"/>
            <w:tcBorders>
              <w:top w:val="nil"/>
              <w:bottom w:val="single" w:sz="4" w:space="0" w:color="auto"/>
            </w:tcBorders>
          </w:tcPr>
          <w:p w14:paraId="4441A18F" w14:textId="77777777" w:rsidR="001F0125" w:rsidRPr="001F0125" w:rsidRDefault="001F0125" w:rsidP="00617D8F">
            <w:pPr>
              <w:widowControl/>
              <w:spacing w:before="120" w:after="120"/>
              <w:jc w:val="center"/>
              <w:rPr>
                <w:sz w:val="20"/>
                <w:szCs w:val="20"/>
                <w:lang w:val="en-US"/>
              </w:rPr>
            </w:pPr>
            <w:r w:rsidRPr="001F0125">
              <w:rPr>
                <w:sz w:val="20"/>
                <w:szCs w:val="20"/>
                <w:lang w:val="en-US"/>
              </w:rPr>
              <w:t>3.0%</w:t>
            </w:r>
          </w:p>
        </w:tc>
        <w:tc>
          <w:tcPr>
            <w:tcW w:w="1134" w:type="dxa"/>
            <w:tcBorders>
              <w:top w:val="nil"/>
              <w:bottom w:val="single" w:sz="4" w:space="0" w:color="auto"/>
            </w:tcBorders>
          </w:tcPr>
          <w:p w14:paraId="24DFC098" w14:textId="77777777" w:rsidR="001F0125" w:rsidRPr="001F0125" w:rsidRDefault="001F0125" w:rsidP="00617D8F">
            <w:pPr>
              <w:widowControl/>
              <w:spacing w:before="120" w:after="120"/>
              <w:jc w:val="center"/>
              <w:rPr>
                <w:sz w:val="20"/>
                <w:szCs w:val="20"/>
              </w:rPr>
            </w:pPr>
            <w:r w:rsidRPr="001F0125">
              <w:rPr>
                <w:sz w:val="20"/>
                <w:szCs w:val="20"/>
              </w:rPr>
              <w:t>8.4%</w:t>
            </w:r>
          </w:p>
        </w:tc>
        <w:tc>
          <w:tcPr>
            <w:tcW w:w="1293" w:type="dxa"/>
            <w:tcBorders>
              <w:top w:val="nil"/>
              <w:bottom w:val="single" w:sz="4" w:space="0" w:color="auto"/>
            </w:tcBorders>
          </w:tcPr>
          <w:p w14:paraId="36EC524C" w14:textId="77777777" w:rsidR="001F0125" w:rsidRPr="001F0125" w:rsidRDefault="001F0125" w:rsidP="00617D8F">
            <w:pPr>
              <w:widowControl/>
              <w:spacing w:before="120" w:after="120"/>
              <w:jc w:val="center"/>
              <w:rPr>
                <w:sz w:val="20"/>
                <w:szCs w:val="20"/>
                <w:lang w:val="en-US"/>
              </w:rPr>
            </w:pPr>
            <w:r w:rsidRPr="001F0125">
              <w:rPr>
                <w:sz w:val="20"/>
                <w:szCs w:val="20"/>
              </w:rPr>
              <w:t>20.3%</w:t>
            </w:r>
          </w:p>
        </w:tc>
        <w:tc>
          <w:tcPr>
            <w:tcW w:w="1691" w:type="dxa"/>
            <w:tcBorders>
              <w:top w:val="nil"/>
              <w:bottom w:val="single" w:sz="4" w:space="0" w:color="auto"/>
            </w:tcBorders>
          </w:tcPr>
          <w:p w14:paraId="231E079A" w14:textId="77777777" w:rsidR="001F0125" w:rsidRPr="001F0125" w:rsidRDefault="001F0125" w:rsidP="00617D8F">
            <w:pPr>
              <w:widowControl/>
              <w:spacing w:before="120" w:after="120"/>
              <w:jc w:val="center"/>
              <w:rPr>
                <w:sz w:val="20"/>
                <w:szCs w:val="20"/>
                <w:lang w:val="en-US"/>
              </w:rPr>
            </w:pPr>
            <w:r w:rsidRPr="001F0125">
              <w:rPr>
                <w:sz w:val="20"/>
                <w:szCs w:val="20"/>
              </w:rPr>
              <w:t>-</w:t>
            </w:r>
          </w:p>
        </w:tc>
      </w:tr>
      <w:tr w:rsidR="001F0125" w:rsidRPr="001F0125" w14:paraId="73229884" w14:textId="77777777" w:rsidTr="002E2767">
        <w:trPr>
          <w:trHeight w:val="269"/>
        </w:trPr>
        <w:tc>
          <w:tcPr>
            <w:tcW w:w="2477" w:type="dxa"/>
            <w:tcBorders>
              <w:top w:val="single" w:sz="4" w:space="0" w:color="auto"/>
              <w:bottom w:val="single" w:sz="4" w:space="0" w:color="auto"/>
            </w:tcBorders>
          </w:tcPr>
          <w:p w14:paraId="3E4220F3" w14:textId="77777777" w:rsidR="001F0125" w:rsidRPr="001F0125" w:rsidRDefault="001F0125" w:rsidP="00617D8F">
            <w:pPr>
              <w:widowControl/>
              <w:spacing w:before="120" w:after="120"/>
              <w:rPr>
                <w:sz w:val="20"/>
                <w:szCs w:val="20"/>
                <w:lang w:val="en-US"/>
              </w:rPr>
            </w:pPr>
            <w:r w:rsidRPr="001F0125">
              <w:rPr>
                <w:sz w:val="20"/>
                <w:szCs w:val="20"/>
                <w:lang w:val="en-US"/>
              </w:rPr>
              <w:t>Carbon intensity</w:t>
            </w:r>
          </w:p>
        </w:tc>
        <w:tc>
          <w:tcPr>
            <w:tcW w:w="981" w:type="dxa"/>
            <w:tcBorders>
              <w:top w:val="single" w:sz="4" w:space="0" w:color="auto"/>
              <w:bottom w:val="single" w:sz="4" w:space="0" w:color="auto"/>
            </w:tcBorders>
          </w:tcPr>
          <w:p w14:paraId="09F6D941" w14:textId="77777777" w:rsidR="001F0125" w:rsidRPr="001F0125" w:rsidRDefault="001F0125" w:rsidP="00617D8F">
            <w:pPr>
              <w:widowControl/>
              <w:spacing w:before="120" w:after="120"/>
              <w:jc w:val="center"/>
              <w:rPr>
                <w:sz w:val="20"/>
                <w:szCs w:val="20"/>
                <w:lang w:val="en-US"/>
              </w:rPr>
            </w:pPr>
            <w:r w:rsidRPr="001F0125">
              <w:rPr>
                <w:sz w:val="20"/>
                <w:szCs w:val="20"/>
                <w:lang w:val="en-US"/>
              </w:rPr>
              <w:t>314.1</w:t>
            </w:r>
          </w:p>
        </w:tc>
        <w:tc>
          <w:tcPr>
            <w:tcW w:w="827" w:type="dxa"/>
            <w:tcBorders>
              <w:top w:val="single" w:sz="4" w:space="0" w:color="auto"/>
              <w:bottom w:val="single" w:sz="4" w:space="0" w:color="auto"/>
            </w:tcBorders>
          </w:tcPr>
          <w:p w14:paraId="5DF95752" w14:textId="77777777" w:rsidR="001F0125" w:rsidRPr="001F0125" w:rsidRDefault="001F0125" w:rsidP="00617D8F">
            <w:pPr>
              <w:widowControl/>
              <w:spacing w:before="120" w:after="120"/>
              <w:jc w:val="center"/>
              <w:rPr>
                <w:sz w:val="20"/>
                <w:szCs w:val="20"/>
                <w:lang w:val="en-US"/>
              </w:rPr>
            </w:pPr>
            <w:r w:rsidRPr="001F0125">
              <w:rPr>
                <w:sz w:val="20"/>
                <w:szCs w:val="20"/>
                <w:lang w:val="en-US"/>
              </w:rPr>
              <w:t>50.2</w:t>
            </w:r>
          </w:p>
        </w:tc>
        <w:tc>
          <w:tcPr>
            <w:tcW w:w="1222" w:type="dxa"/>
            <w:tcBorders>
              <w:top w:val="single" w:sz="4" w:space="0" w:color="auto"/>
              <w:bottom w:val="single" w:sz="4" w:space="0" w:color="auto"/>
            </w:tcBorders>
          </w:tcPr>
          <w:p w14:paraId="4197D448" w14:textId="77777777" w:rsidR="001F0125" w:rsidRPr="001F0125" w:rsidRDefault="001F0125" w:rsidP="00617D8F">
            <w:pPr>
              <w:widowControl/>
              <w:spacing w:before="120" w:after="120"/>
              <w:jc w:val="center"/>
              <w:rPr>
                <w:sz w:val="20"/>
                <w:szCs w:val="20"/>
                <w:lang w:val="en-US"/>
              </w:rPr>
            </w:pPr>
            <w:r w:rsidRPr="001F0125">
              <w:rPr>
                <w:sz w:val="20"/>
                <w:szCs w:val="20"/>
                <w:lang w:val="en-US"/>
              </w:rPr>
              <w:t>565.3</w:t>
            </w:r>
          </w:p>
        </w:tc>
        <w:tc>
          <w:tcPr>
            <w:tcW w:w="1134" w:type="dxa"/>
            <w:tcBorders>
              <w:top w:val="single" w:sz="4" w:space="0" w:color="auto"/>
              <w:bottom w:val="single" w:sz="4" w:space="0" w:color="auto"/>
            </w:tcBorders>
          </w:tcPr>
          <w:p w14:paraId="78B7B2C8" w14:textId="77777777" w:rsidR="001F0125" w:rsidRPr="001F0125" w:rsidRDefault="001F0125" w:rsidP="00617D8F">
            <w:pPr>
              <w:widowControl/>
              <w:spacing w:before="120" w:after="120"/>
              <w:jc w:val="center"/>
              <w:rPr>
                <w:sz w:val="20"/>
                <w:szCs w:val="20"/>
              </w:rPr>
            </w:pPr>
            <w:r w:rsidRPr="001F0125">
              <w:rPr>
                <w:sz w:val="20"/>
                <w:szCs w:val="20"/>
              </w:rPr>
              <w:t>40.6</w:t>
            </w:r>
          </w:p>
        </w:tc>
        <w:tc>
          <w:tcPr>
            <w:tcW w:w="1293" w:type="dxa"/>
            <w:tcBorders>
              <w:top w:val="single" w:sz="4" w:space="0" w:color="auto"/>
              <w:bottom w:val="single" w:sz="4" w:space="0" w:color="auto"/>
            </w:tcBorders>
          </w:tcPr>
          <w:p w14:paraId="3A52A0B0" w14:textId="77777777" w:rsidR="001F0125" w:rsidRPr="001F0125" w:rsidRDefault="001F0125" w:rsidP="00617D8F">
            <w:pPr>
              <w:widowControl/>
              <w:spacing w:before="120" w:after="120"/>
              <w:jc w:val="center"/>
              <w:rPr>
                <w:sz w:val="20"/>
                <w:szCs w:val="20"/>
                <w:lang w:val="en-US"/>
              </w:rPr>
            </w:pPr>
            <w:r w:rsidRPr="001F0125">
              <w:rPr>
                <w:sz w:val="20"/>
                <w:szCs w:val="20"/>
              </w:rPr>
              <w:t>122.3</w:t>
            </w:r>
          </w:p>
        </w:tc>
        <w:tc>
          <w:tcPr>
            <w:tcW w:w="1691" w:type="dxa"/>
            <w:tcBorders>
              <w:top w:val="single" w:sz="4" w:space="0" w:color="auto"/>
              <w:bottom w:val="single" w:sz="4" w:space="0" w:color="auto"/>
            </w:tcBorders>
          </w:tcPr>
          <w:p w14:paraId="0EEB477F" w14:textId="77777777" w:rsidR="001F0125" w:rsidRPr="001F0125" w:rsidRDefault="001F0125" w:rsidP="00617D8F">
            <w:pPr>
              <w:widowControl/>
              <w:spacing w:before="120" w:after="120"/>
              <w:jc w:val="center"/>
              <w:rPr>
                <w:sz w:val="20"/>
                <w:szCs w:val="20"/>
                <w:lang w:val="en-US"/>
              </w:rPr>
            </w:pPr>
            <w:r w:rsidRPr="001F0125">
              <w:rPr>
                <w:sz w:val="20"/>
                <w:szCs w:val="20"/>
              </w:rPr>
              <w:t>-61.1%</w:t>
            </w:r>
          </w:p>
        </w:tc>
      </w:tr>
      <w:tr w:rsidR="001F0125" w:rsidRPr="001F0125" w14:paraId="734CE93D" w14:textId="77777777" w:rsidTr="002E2767">
        <w:trPr>
          <w:trHeight w:val="276"/>
        </w:trPr>
        <w:tc>
          <w:tcPr>
            <w:tcW w:w="2477" w:type="dxa"/>
            <w:tcBorders>
              <w:top w:val="single" w:sz="4" w:space="0" w:color="auto"/>
            </w:tcBorders>
          </w:tcPr>
          <w:p w14:paraId="114207CD" w14:textId="77777777" w:rsidR="001F0125" w:rsidRPr="001F0125" w:rsidRDefault="001F0125" w:rsidP="001F0125">
            <w:pPr>
              <w:widowControl/>
              <w:spacing w:before="180" w:after="120"/>
              <w:rPr>
                <w:sz w:val="20"/>
                <w:szCs w:val="20"/>
                <w:lang w:val="en-US"/>
              </w:rPr>
            </w:pPr>
            <w:r w:rsidRPr="001F0125">
              <w:rPr>
                <w:sz w:val="20"/>
                <w:szCs w:val="20"/>
                <w:lang w:val="en-US"/>
              </w:rPr>
              <w:t xml:space="preserve">ESG score </w:t>
            </w:r>
          </w:p>
        </w:tc>
        <w:tc>
          <w:tcPr>
            <w:tcW w:w="981" w:type="dxa"/>
            <w:tcBorders>
              <w:top w:val="single" w:sz="4" w:space="0" w:color="auto"/>
            </w:tcBorders>
          </w:tcPr>
          <w:p w14:paraId="72385B9C" w14:textId="77777777" w:rsidR="00617D8F" w:rsidRDefault="00617D8F" w:rsidP="00617D8F">
            <w:pPr>
              <w:widowControl/>
              <w:spacing w:before="180" w:after="60"/>
              <w:jc w:val="center"/>
              <w:rPr>
                <w:sz w:val="20"/>
                <w:szCs w:val="20"/>
                <w:lang w:val="en-US"/>
              </w:rPr>
            </w:pPr>
            <w:r>
              <w:rPr>
                <w:sz w:val="20"/>
                <w:szCs w:val="20"/>
                <w:lang w:val="en-US"/>
              </w:rPr>
              <w:t>58.8</w:t>
            </w:r>
          </w:p>
          <w:p w14:paraId="2D320317" w14:textId="5D3C6D42" w:rsidR="001F0125" w:rsidRPr="001F0125" w:rsidRDefault="001F0125" w:rsidP="00617D8F">
            <w:pPr>
              <w:widowControl/>
              <w:spacing w:after="120"/>
              <w:jc w:val="center"/>
              <w:rPr>
                <w:sz w:val="20"/>
                <w:szCs w:val="20"/>
                <w:lang w:val="en-US"/>
              </w:rPr>
            </w:pPr>
            <w:r w:rsidRPr="001F0125">
              <w:rPr>
                <w:sz w:val="20"/>
                <w:szCs w:val="20"/>
                <w:lang w:val="en-US"/>
              </w:rPr>
              <w:t>(+65.8)</w:t>
            </w:r>
          </w:p>
        </w:tc>
        <w:tc>
          <w:tcPr>
            <w:tcW w:w="827" w:type="dxa"/>
            <w:tcBorders>
              <w:top w:val="single" w:sz="4" w:space="0" w:color="auto"/>
            </w:tcBorders>
          </w:tcPr>
          <w:p w14:paraId="72AD44FF" w14:textId="77777777" w:rsidR="001F0125" w:rsidRPr="001F0125" w:rsidRDefault="001F0125" w:rsidP="00617D8F">
            <w:pPr>
              <w:widowControl/>
              <w:spacing w:before="180" w:after="120"/>
              <w:jc w:val="center"/>
              <w:rPr>
                <w:sz w:val="20"/>
                <w:szCs w:val="20"/>
                <w:lang w:val="en-US"/>
              </w:rPr>
            </w:pPr>
            <w:r w:rsidRPr="001F0125">
              <w:rPr>
                <w:sz w:val="20"/>
                <w:szCs w:val="20"/>
                <w:lang w:val="en-US"/>
              </w:rPr>
              <w:t>74.0</w:t>
            </w:r>
          </w:p>
        </w:tc>
        <w:tc>
          <w:tcPr>
            <w:tcW w:w="1222" w:type="dxa"/>
            <w:tcBorders>
              <w:top w:val="single" w:sz="4" w:space="0" w:color="auto"/>
            </w:tcBorders>
          </w:tcPr>
          <w:p w14:paraId="7C3CDAF3" w14:textId="77777777" w:rsidR="001F0125" w:rsidRPr="001F0125" w:rsidRDefault="001F0125" w:rsidP="00617D8F">
            <w:pPr>
              <w:widowControl/>
              <w:spacing w:before="180" w:after="120"/>
              <w:jc w:val="center"/>
              <w:rPr>
                <w:sz w:val="20"/>
                <w:szCs w:val="20"/>
                <w:lang w:val="en-US"/>
              </w:rPr>
            </w:pPr>
            <w:r w:rsidRPr="001F0125">
              <w:rPr>
                <w:sz w:val="20"/>
                <w:szCs w:val="20"/>
                <w:lang w:val="en-US"/>
              </w:rPr>
              <w:t>68.0</w:t>
            </w:r>
          </w:p>
        </w:tc>
        <w:tc>
          <w:tcPr>
            <w:tcW w:w="1134" w:type="dxa"/>
            <w:tcBorders>
              <w:top w:val="single" w:sz="4" w:space="0" w:color="auto"/>
            </w:tcBorders>
          </w:tcPr>
          <w:p w14:paraId="45A8A745" w14:textId="77777777" w:rsidR="001F0125" w:rsidRPr="001F0125" w:rsidRDefault="001F0125" w:rsidP="00617D8F">
            <w:pPr>
              <w:widowControl/>
              <w:spacing w:before="180" w:after="120"/>
              <w:jc w:val="center"/>
              <w:rPr>
                <w:sz w:val="20"/>
                <w:szCs w:val="20"/>
              </w:rPr>
            </w:pPr>
            <w:r w:rsidRPr="001F0125">
              <w:rPr>
                <w:sz w:val="20"/>
                <w:szCs w:val="20"/>
              </w:rPr>
              <w:t>58.3</w:t>
            </w:r>
          </w:p>
        </w:tc>
        <w:tc>
          <w:tcPr>
            <w:tcW w:w="1293" w:type="dxa"/>
            <w:tcBorders>
              <w:top w:val="single" w:sz="4" w:space="0" w:color="auto"/>
            </w:tcBorders>
          </w:tcPr>
          <w:p w14:paraId="7225D9CE" w14:textId="77777777" w:rsidR="001F0125" w:rsidRPr="001F0125" w:rsidRDefault="001F0125" w:rsidP="00617D8F">
            <w:pPr>
              <w:widowControl/>
              <w:spacing w:before="180" w:after="120"/>
              <w:jc w:val="center"/>
              <w:rPr>
                <w:sz w:val="20"/>
                <w:szCs w:val="20"/>
                <w:lang w:val="en-US"/>
              </w:rPr>
            </w:pPr>
            <w:r w:rsidRPr="001F0125">
              <w:rPr>
                <w:sz w:val="20"/>
                <w:szCs w:val="20"/>
              </w:rPr>
              <w:t>66.6</w:t>
            </w:r>
          </w:p>
        </w:tc>
        <w:tc>
          <w:tcPr>
            <w:tcW w:w="1691" w:type="dxa"/>
            <w:tcBorders>
              <w:top w:val="single" w:sz="4" w:space="0" w:color="auto"/>
            </w:tcBorders>
          </w:tcPr>
          <w:p w14:paraId="5A69568F" w14:textId="77777777" w:rsidR="00617D8F" w:rsidRDefault="001F0125" w:rsidP="00617D8F">
            <w:pPr>
              <w:widowControl/>
              <w:spacing w:before="180" w:after="60"/>
              <w:jc w:val="center"/>
              <w:rPr>
                <w:sz w:val="20"/>
                <w:szCs w:val="20"/>
              </w:rPr>
            </w:pPr>
            <w:r w:rsidRPr="001F0125">
              <w:rPr>
                <w:sz w:val="20"/>
                <w:szCs w:val="20"/>
              </w:rPr>
              <w:t xml:space="preserve">+13.4% </w:t>
            </w:r>
          </w:p>
          <w:p w14:paraId="3121A893" w14:textId="3DEA23B9" w:rsidR="001F0125" w:rsidRPr="001F0125" w:rsidRDefault="001F0125" w:rsidP="00617D8F">
            <w:pPr>
              <w:widowControl/>
              <w:spacing w:after="120"/>
              <w:jc w:val="center"/>
              <w:rPr>
                <w:sz w:val="20"/>
                <w:szCs w:val="20"/>
                <w:lang w:val="en-US"/>
              </w:rPr>
            </w:pPr>
            <w:r w:rsidRPr="001F0125">
              <w:rPr>
                <w:sz w:val="20"/>
                <w:szCs w:val="20"/>
              </w:rPr>
              <w:t>(+1.2%)</w:t>
            </w:r>
          </w:p>
        </w:tc>
      </w:tr>
    </w:tbl>
    <w:p w14:paraId="5EF06B36" w14:textId="10453555" w:rsidR="00D22FCC" w:rsidRPr="00D61662" w:rsidRDefault="00D22FCC" w:rsidP="00E01631">
      <w:pPr>
        <w:pStyle w:val="Heading1"/>
        <w:spacing w:after="360"/>
        <w:jc w:val="center"/>
        <w:rPr>
          <w:sz w:val="24"/>
          <w:szCs w:val="24"/>
          <w:lang w:eastAsia="zh-CN"/>
        </w:rPr>
      </w:pPr>
      <w:bookmarkStart w:id="15" w:name="_Toc530654479"/>
      <w:r w:rsidRPr="00D61662">
        <w:rPr>
          <w:sz w:val="24"/>
          <w:szCs w:val="24"/>
          <w:lang w:eastAsia="zh-CN"/>
        </w:rPr>
        <w:lastRenderedPageBreak/>
        <w:t>APPENDIX</w:t>
      </w:r>
      <w:bookmarkEnd w:id="15"/>
    </w:p>
    <w:p w14:paraId="3619E1F0" w14:textId="38BF9D52" w:rsidR="006771EF" w:rsidRPr="00D61662" w:rsidRDefault="006E40EA" w:rsidP="00E01631">
      <w:pPr>
        <w:pStyle w:val="Heading2"/>
      </w:pPr>
      <w:bookmarkStart w:id="16" w:name="_Toc530654480"/>
      <w:r w:rsidRPr="00D61662">
        <w:t xml:space="preserve">SMF </w:t>
      </w:r>
      <w:r w:rsidR="006771EF" w:rsidRPr="00D61662">
        <w:t>Activit</w:t>
      </w:r>
      <w:r w:rsidRPr="00D61662">
        <w:t xml:space="preserve">ies </w:t>
      </w:r>
      <w:r w:rsidR="003A4744" w:rsidRPr="00D61662">
        <w:t>during</w:t>
      </w:r>
      <w:r w:rsidRPr="00D61662">
        <w:t xml:space="preserve"> Semester </w:t>
      </w:r>
      <w:r w:rsidR="003B3873" w:rsidRPr="00D61662">
        <w:t>2</w:t>
      </w:r>
      <w:r w:rsidRPr="00D61662">
        <w:t>, 2018</w:t>
      </w:r>
      <w:bookmarkEnd w:id="16"/>
    </w:p>
    <w:p w14:paraId="19FD7860" w14:textId="77777777" w:rsidR="006771EF" w:rsidRPr="00D61662" w:rsidRDefault="006771EF" w:rsidP="00125773">
      <w:pPr>
        <w:pStyle w:val="ListParagraph"/>
        <w:widowControl/>
        <w:numPr>
          <w:ilvl w:val="0"/>
          <w:numId w:val="33"/>
        </w:numPr>
        <w:spacing w:after="60"/>
        <w:ind w:left="274" w:hanging="274"/>
        <w:contextualSpacing w:val="0"/>
        <w:rPr>
          <w:i/>
          <w:sz w:val="20"/>
          <w:szCs w:val="20"/>
        </w:rPr>
      </w:pPr>
      <w:r w:rsidRPr="00D61662">
        <w:rPr>
          <w:i/>
          <w:sz w:val="20"/>
          <w:szCs w:val="20"/>
        </w:rPr>
        <w:t>SMF student team make-up</w:t>
      </w:r>
    </w:p>
    <w:p w14:paraId="2BFFB997" w14:textId="1A8D8529" w:rsidR="006771EF" w:rsidRPr="00D61662" w:rsidRDefault="00F54FE3" w:rsidP="00C44E7C">
      <w:pPr>
        <w:pStyle w:val="ListParagraph"/>
        <w:widowControl/>
        <w:numPr>
          <w:ilvl w:val="1"/>
          <w:numId w:val="33"/>
        </w:numPr>
        <w:spacing w:before="0" w:after="0"/>
        <w:ind w:left="450" w:hanging="180"/>
        <w:contextualSpacing w:val="0"/>
        <w:rPr>
          <w:sz w:val="20"/>
          <w:szCs w:val="20"/>
        </w:rPr>
      </w:pPr>
      <w:r w:rsidRPr="00D61662">
        <w:rPr>
          <w:sz w:val="20"/>
          <w:szCs w:val="20"/>
        </w:rPr>
        <w:t>The SMF had</w:t>
      </w:r>
      <w:r w:rsidR="003810FD" w:rsidRPr="00D61662">
        <w:rPr>
          <w:sz w:val="20"/>
          <w:szCs w:val="20"/>
        </w:rPr>
        <w:t xml:space="preserve"> </w:t>
      </w:r>
      <w:r w:rsidR="006771EF" w:rsidRPr="00D61662">
        <w:rPr>
          <w:sz w:val="20"/>
          <w:szCs w:val="20"/>
        </w:rPr>
        <w:t>1</w:t>
      </w:r>
      <w:r w:rsidR="00B92021" w:rsidRPr="00D61662">
        <w:rPr>
          <w:sz w:val="20"/>
          <w:szCs w:val="20"/>
        </w:rPr>
        <w:t>8</w:t>
      </w:r>
      <w:r w:rsidR="006771EF" w:rsidRPr="00D61662">
        <w:rPr>
          <w:sz w:val="20"/>
          <w:szCs w:val="20"/>
        </w:rPr>
        <w:t xml:space="preserve"> members during the semester</w:t>
      </w:r>
      <w:r w:rsidR="0035496A">
        <w:rPr>
          <w:sz w:val="20"/>
          <w:szCs w:val="20"/>
        </w:rPr>
        <w:t>,</w:t>
      </w:r>
      <w:r w:rsidR="0094645D" w:rsidRPr="00D61662">
        <w:rPr>
          <w:sz w:val="20"/>
          <w:szCs w:val="20"/>
        </w:rPr>
        <w:t xml:space="preserve"> compris</w:t>
      </w:r>
      <w:r w:rsidR="0035496A">
        <w:rPr>
          <w:sz w:val="20"/>
          <w:szCs w:val="20"/>
        </w:rPr>
        <w:t>ing</w:t>
      </w:r>
      <w:r w:rsidR="0094645D" w:rsidRPr="00D61662">
        <w:rPr>
          <w:sz w:val="20"/>
          <w:szCs w:val="20"/>
        </w:rPr>
        <w:t xml:space="preserve"> </w:t>
      </w:r>
      <w:r w:rsidR="00D162B8">
        <w:rPr>
          <w:sz w:val="20"/>
          <w:szCs w:val="20"/>
        </w:rPr>
        <w:t>eight</w:t>
      </w:r>
      <w:r w:rsidR="0094645D" w:rsidRPr="00D61662">
        <w:rPr>
          <w:sz w:val="20"/>
          <w:szCs w:val="20"/>
        </w:rPr>
        <w:t xml:space="preserve"> seniors continuing </w:t>
      </w:r>
      <w:r w:rsidR="0035496A">
        <w:rPr>
          <w:sz w:val="20"/>
          <w:szCs w:val="20"/>
        </w:rPr>
        <w:t xml:space="preserve">from Semester 1 </w:t>
      </w:r>
      <w:r w:rsidR="0094645D" w:rsidRPr="00D61662">
        <w:rPr>
          <w:sz w:val="20"/>
          <w:szCs w:val="20"/>
        </w:rPr>
        <w:t xml:space="preserve">and 10 juniors joining the Fund. </w:t>
      </w:r>
    </w:p>
    <w:p w14:paraId="0C7FB0F9" w14:textId="423A2CBE" w:rsidR="006771EF" w:rsidRPr="00D61662" w:rsidRDefault="003810FD" w:rsidP="00AE1CA5">
      <w:pPr>
        <w:pStyle w:val="ListParagraph"/>
        <w:widowControl/>
        <w:numPr>
          <w:ilvl w:val="1"/>
          <w:numId w:val="33"/>
        </w:numPr>
        <w:spacing w:before="0" w:after="0"/>
        <w:ind w:left="450" w:hanging="180"/>
        <w:contextualSpacing w:val="0"/>
        <w:rPr>
          <w:sz w:val="20"/>
          <w:szCs w:val="20"/>
        </w:rPr>
      </w:pPr>
      <w:r w:rsidRPr="00D61662">
        <w:rPr>
          <w:sz w:val="20"/>
          <w:szCs w:val="20"/>
        </w:rPr>
        <w:t xml:space="preserve">The </w:t>
      </w:r>
      <w:r w:rsidR="00E00F45" w:rsidRPr="00D61662">
        <w:rPr>
          <w:sz w:val="20"/>
          <w:szCs w:val="20"/>
        </w:rPr>
        <w:t xml:space="preserve">Fund will expand to </w:t>
      </w:r>
      <w:r w:rsidR="0094645D" w:rsidRPr="00D61662">
        <w:rPr>
          <w:sz w:val="20"/>
          <w:szCs w:val="20"/>
        </w:rPr>
        <w:t>19</w:t>
      </w:r>
      <w:r w:rsidR="00E00F45" w:rsidRPr="00D61662">
        <w:rPr>
          <w:sz w:val="20"/>
          <w:szCs w:val="20"/>
        </w:rPr>
        <w:t xml:space="preserve"> members in </w:t>
      </w:r>
      <w:r w:rsidR="00555126" w:rsidRPr="00D61662">
        <w:rPr>
          <w:sz w:val="20"/>
          <w:szCs w:val="20"/>
        </w:rPr>
        <w:t>S</w:t>
      </w:r>
      <w:r w:rsidR="006B3DC0" w:rsidRPr="00D61662">
        <w:rPr>
          <w:sz w:val="20"/>
          <w:szCs w:val="20"/>
        </w:rPr>
        <w:t xml:space="preserve">emester 1 2019. This will include </w:t>
      </w:r>
      <w:r w:rsidR="00D162B8">
        <w:rPr>
          <w:sz w:val="20"/>
          <w:szCs w:val="20"/>
        </w:rPr>
        <w:t>eight</w:t>
      </w:r>
      <w:r w:rsidR="006B3DC0" w:rsidRPr="00D61662">
        <w:rPr>
          <w:sz w:val="20"/>
          <w:szCs w:val="20"/>
        </w:rPr>
        <w:t xml:space="preserve"> senior students and the introduction of </w:t>
      </w:r>
      <w:r w:rsidR="0094645D" w:rsidRPr="00D61662">
        <w:rPr>
          <w:sz w:val="20"/>
          <w:szCs w:val="20"/>
        </w:rPr>
        <w:t>11</w:t>
      </w:r>
      <w:r w:rsidR="006B3DC0" w:rsidRPr="00D61662">
        <w:rPr>
          <w:sz w:val="20"/>
          <w:szCs w:val="20"/>
        </w:rPr>
        <w:t xml:space="preserve"> juniors. </w:t>
      </w:r>
    </w:p>
    <w:p w14:paraId="19B4EF24" w14:textId="3F1A693A" w:rsidR="006771EF" w:rsidRPr="00D61662" w:rsidRDefault="006771EF" w:rsidP="009823DC">
      <w:pPr>
        <w:pStyle w:val="ListParagraph"/>
        <w:widowControl/>
        <w:numPr>
          <w:ilvl w:val="1"/>
          <w:numId w:val="33"/>
        </w:numPr>
        <w:spacing w:before="0"/>
        <w:ind w:left="450" w:hanging="187"/>
        <w:contextualSpacing w:val="0"/>
        <w:rPr>
          <w:sz w:val="20"/>
          <w:szCs w:val="20"/>
        </w:rPr>
      </w:pPr>
      <w:r w:rsidRPr="00D61662">
        <w:rPr>
          <w:sz w:val="20"/>
          <w:szCs w:val="20"/>
        </w:rPr>
        <w:t>Team compositions in 2018</w:t>
      </w:r>
      <w:r w:rsidR="006B3DC0" w:rsidRPr="00D61662">
        <w:rPr>
          <w:sz w:val="20"/>
          <w:szCs w:val="20"/>
        </w:rPr>
        <w:t>/2019</w:t>
      </w:r>
      <w:r w:rsidRPr="00D61662">
        <w:rPr>
          <w:sz w:val="20"/>
          <w:szCs w:val="20"/>
        </w:rPr>
        <w:t>:</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1715"/>
        <w:gridCol w:w="1620"/>
      </w:tblGrid>
      <w:tr w:rsidR="006771EF" w:rsidRPr="00D61662" w14:paraId="205EC635" w14:textId="77777777" w:rsidTr="003439A1">
        <w:tc>
          <w:tcPr>
            <w:tcW w:w="2605" w:type="dxa"/>
          </w:tcPr>
          <w:p w14:paraId="4D46F1C6" w14:textId="77777777" w:rsidR="006771EF" w:rsidRPr="00D61662" w:rsidRDefault="006771EF" w:rsidP="002D09EA">
            <w:pPr>
              <w:rPr>
                <w:i/>
                <w:sz w:val="20"/>
                <w:szCs w:val="20"/>
              </w:rPr>
            </w:pPr>
            <w:r w:rsidRPr="00D61662">
              <w:rPr>
                <w:i/>
                <w:sz w:val="20"/>
                <w:szCs w:val="20"/>
              </w:rPr>
              <w:t>Team / Position</w:t>
            </w:r>
          </w:p>
        </w:tc>
        <w:tc>
          <w:tcPr>
            <w:tcW w:w="1715" w:type="dxa"/>
          </w:tcPr>
          <w:p w14:paraId="35B60D86" w14:textId="238E3672" w:rsidR="006771EF" w:rsidRPr="00D61662" w:rsidRDefault="006771EF" w:rsidP="00525440">
            <w:pPr>
              <w:rPr>
                <w:i/>
                <w:sz w:val="20"/>
                <w:szCs w:val="20"/>
              </w:rPr>
            </w:pPr>
            <w:r w:rsidRPr="00D61662">
              <w:rPr>
                <w:i/>
                <w:sz w:val="20"/>
                <w:szCs w:val="20"/>
              </w:rPr>
              <w:t xml:space="preserve">Semester </w:t>
            </w:r>
            <w:r w:rsidR="00B92021" w:rsidRPr="00D61662">
              <w:rPr>
                <w:i/>
                <w:sz w:val="20"/>
                <w:szCs w:val="20"/>
              </w:rPr>
              <w:t>2</w:t>
            </w:r>
            <w:r w:rsidRPr="00D61662">
              <w:rPr>
                <w:i/>
                <w:sz w:val="20"/>
                <w:szCs w:val="20"/>
              </w:rPr>
              <w:t>, 2018</w:t>
            </w:r>
          </w:p>
        </w:tc>
        <w:tc>
          <w:tcPr>
            <w:tcW w:w="1620" w:type="dxa"/>
          </w:tcPr>
          <w:p w14:paraId="2431AA4B" w14:textId="1941CEEE" w:rsidR="006771EF" w:rsidRPr="00D61662" w:rsidRDefault="006771EF" w:rsidP="005574D6">
            <w:pPr>
              <w:rPr>
                <w:i/>
                <w:sz w:val="20"/>
                <w:szCs w:val="20"/>
              </w:rPr>
            </w:pPr>
            <w:r w:rsidRPr="00D61662">
              <w:rPr>
                <w:i/>
                <w:sz w:val="20"/>
                <w:szCs w:val="20"/>
              </w:rPr>
              <w:t xml:space="preserve">Semester </w:t>
            </w:r>
            <w:r w:rsidR="00B92021" w:rsidRPr="00D61662">
              <w:rPr>
                <w:i/>
                <w:sz w:val="20"/>
                <w:szCs w:val="20"/>
              </w:rPr>
              <w:t>1</w:t>
            </w:r>
            <w:r w:rsidRPr="00D61662">
              <w:rPr>
                <w:i/>
                <w:sz w:val="20"/>
                <w:szCs w:val="20"/>
              </w:rPr>
              <w:t>, 201</w:t>
            </w:r>
            <w:r w:rsidR="00B92021" w:rsidRPr="00D61662">
              <w:rPr>
                <w:i/>
                <w:sz w:val="20"/>
                <w:szCs w:val="20"/>
              </w:rPr>
              <w:t>9</w:t>
            </w:r>
          </w:p>
        </w:tc>
      </w:tr>
      <w:tr w:rsidR="00B92021" w:rsidRPr="00D61662" w14:paraId="6E8A428A" w14:textId="77777777" w:rsidTr="003439A1">
        <w:tc>
          <w:tcPr>
            <w:tcW w:w="2605" w:type="dxa"/>
          </w:tcPr>
          <w:p w14:paraId="6EE69340" w14:textId="77777777" w:rsidR="00B92021" w:rsidRPr="00D61662" w:rsidRDefault="00B92021" w:rsidP="00E01631">
            <w:pPr>
              <w:ind w:left="-22"/>
              <w:rPr>
                <w:sz w:val="20"/>
                <w:szCs w:val="20"/>
              </w:rPr>
            </w:pPr>
            <w:r w:rsidRPr="00D61662">
              <w:rPr>
                <w:sz w:val="20"/>
                <w:szCs w:val="20"/>
              </w:rPr>
              <w:t>Chief Investment Officer</w:t>
            </w:r>
          </w:p>
        </w:tc>
        <w:tc>
          <w:tcPr>
            <w:tcW w:w="1715" w:type="dxa"/>
          </w:tcPr>
          <w:p w14:paraId="1EAC00B4" w14:textId="1EEBB1B7" w:rsidR="00B92021" w:rsidRPr="00D61662" w:rsidRDefault="00B92021" w:rsidP="00E01631">
            <w:pPr>
              <w:rPr>
                <w:sz w:val="20"/>
                <w:szCs w:val="20"/>
              </w:rPr>
            </w:pPr>
            <w:r w:rsidRPr="00D61662">
              <w:rPr>
                <w:sz w:val="20"/>
                <w:szCs w:val="20"/>
              </w:rPr>
              <w:t>1</w:t>
            </w:r>
          </w:p>
        </w:tc>
        <w:tc>
          <w:tcPr>
            <w:tcW w:w="1620" w:type="dxa"/>
          </w:tcPr>
          <w:p w14:paraId="47A3B602" w14:textId="77777777" w:rsidR="00B92021" w:rsidRPr="00D61662" w:rsidRDefault="00B92021" w:rsidP="00125773">
            <w:pPr>
              <w:rPr>
                <w:sz w:val="20"/>
                <w:szCs w:val="20"/>
              </w:rPr>
            </w:pPr>
            <w:r w:rsidRPr="00D61662">
              <w:rPr>
                <w:sz w:val="20"/>
                <w:szCs w:val="20"/>
              </w:rPr>
              <w:t>1</w:t>
            </w:r>
          </w:p>
        </w:tc>
      </w:tr>
      <w:tr w:rsidR="00B92021" w:rsidRPr="00D61662" w14:paraId="2EBC5302" w14:textId="77777777" w:rsidTr="003439A1">
        <w:tc>
          <w:tcPr>
            <w:tcW w:w="2605" w:type="dxa"/>
          </w:tcPr>
          <w:p w14:paraId="4927A3D7" w14:textId="77777777" w:rsidR="00B92021" w:rsidRPr="00D61662" w:rsidRDefault="00B92021" w:rsidP="00E01631">
            <w:pPr>
              <w:rPr>
                <w:sz w:val="20"/>
                <w:szCs w:val="20"/>
              </w:rPr>
            </w:pPr>
            <w:r w:rsidRPr="00D61662">
              <w:rPr>
                <w:sz w:val="20"/>
                <w:szCs w:val="20"/>
              </w:rPr>
              <w:t>Asset Allocation</w:t>
            </w:r>
          </w:p>
        </w:tc>
        <w:tc>
          <w:tcPr>
            <w:tcW w:w="1715" w:type="dxa"/>
          </w:tcPr>
          <w:p w14:paraId="10C544C0" w14:textId="44B52934" w:rsidR="00B92021" w:rsidRPr="00D61662" w:rsidRDefault="00B92021" w:rsidP="00E01631">
            <w:pPr>
              <w:rPr>
                <w:sz w:val="20"/>
                <w:szCs w:val="20"/>
              </w:rPr>
            </w:pPr>
            <w:r w:rsidRPr="00D61662">
              <w:rPr>
                <w:sz w:val="20"/>
                <w:szCs w:val="20"/>
              </w:rPr>
              <w:t>4</w:t>
            </w:r>
          </w:p>
        </w:tc>
        <w:tc>
          <w:tcPr>
            <w:tcW w:w="1620" w:type="dxa"/>
          </w:tcPr>
          <w:p w14:paraId="7AEB44D3" w14:textId="2073574B" w:rsidR="00B92021" w:rsidRPr="00D61662" w:rsidRDefault="0094645D" w:rsidP="00125773">
            <w:pPr>
              <w:rPr>
                <w:sz w:val="20"/>
                <w:szCs w:val="20"/>
              </w:rPr>
            </w:pPr>
            <w:r w:rsidRPr="00D61662">
              <w:rPr>
                <w:sz w:val="20"/>
                <w:szCs w:val="20"/>
              </w:rPr>
              <w:t>5</w:t>
            </w:r>
          </w:p>
        </w:tc>
      </w:tr>
      <w:tr w:rsidR="00B92021" w:rsidRPr="00D61662" w14:paraId="6ED80F6E" w14:textId="77777777" w:rsidTr="003439A1">
        <w:tc>
          <w:tcPr>
            <w:tcW w:w="2605" w:type="dxa"/>
          </w:tcPr>
          <w:p w14:paraId="09C92D0D" w14:textId="77777777" w:rsidR="00B92021" w:rsidRPr="00D61662" w:rsidRDefault="00B92021" w:rsidP="00E01631">
            <w:pPr>
              <w:rPr>
                <w:sz w:val="20"/>
                <w:szCs w:val="20"/>
              </w:rPr>
            </w:pPr>
            <w:r w:rsidRPr="00D61662">
              <w:rPr>
                <w:sz w:val="20"/>
                <w:szCs w:val="20"/>
              </w:rPr>
              <w:t>Active Australian Equities</w:t>
            </w:r>
          </w:p>
        </w:tc>
        <w:tc>
          <w:tcPr>
            <w:tcW w:w="1715" w:type="dxa"/>
          </w:tcPr>
          <w:p w14:paraId="05D1FD7B" w14:textId="490FCD4A" w:rsidR="00B92021" w:rsidRPr="00D61662" w:rsidRDefault="00B92021" w:rsidP="00E01631">
            <w:pPr>
              <w:rPr>
                <w:sz w:val="20"/>
                <w:szCs w:val="20"/>
              </w:rPr>
            </w:pPr>
            <w:r w:rsidRPr="00D61662">
              <w:rPr>
                <w:sz w:val="20"/>
                <w:szCs w:val="20"/>
              </w:rPr>
              <w:t>8</w:t>
            </w:r>
          </w:p>
        </w:tc>
        <w:tc>
          <w:tcPr>
            <w:tcW w:w="1620" w:type="dxa"/>
          </w:tcPr>
          <w:p w14:paraId="63F5FC2C" w14:textId="77777777" w:rsidR="00B92021" w:rsidRPr="00D61662" w:rsidRDefault="00B92021" w:rsidP="00125773">
            <w:pPr>
              <w:rPr>
                <w:sz w:val="20"/>
                <w:szCs w:val="20"/>
              </w:rPr>
            </w:pPr>
            <w:r w:rsidRPr="00D61662">
              <w:rPr>
                <w:sz w:val="20"/>
                <w:szCs w:val="20"/>
              </w:rPr>
              <w:t>8</w:t>
            </w:r>
          </w:p>
        </w:tc>
      </w:tr>
      <w:tr w:rsidR="00B92021" w:rsidRPr="00D61662" w14:paraId="75996A6F" w14:textId="77777777" w:rsidTr="003439A1">
        <w:tc>
          <w:tcPr>
            <w:tcW w:w="2605" w:type="dxa"/>
          </w:tcPr>
          <w:p w14:paraId="71D4DAEE" w14:textId="77777777" w:rsidR="00B92021" w:rsidRPr="00D61662" w:rsidRDefault="00B92021" w:rsidP="00E01631">
            <w:pPr>
              <w:rPr>
                <w:sz w:val="20"/>
                <w:szCs w:val="20"/>
              </w:rPr>
            </w:pPr>
            <w:r w:rsidRPr="00D61662">
              <w:rPr>
                <w:sz w:val="20"/>
                <w:szCs w:val="20"/>
              </w:rPr>
              <w:t>Risk and Compliance</w:t>
            </w:r>
          </w:p>
        </w:tc>
        <w:tc>
          <w:tcPr>
            <w:tcW w:w="1715" w:type="dxa"/>
          </w:tcPr>
          <w:p w14:paraId="0DDFD2ED" w14:textId="7A5B79F7" w:rsidR="00B92021" w:rsidRPr="00D61662" w:rsidRDefault="00B92021" w:rsidP="00E01631">
            <w:pPr>
              <w:rPr>
                <w:sz w:val="20"/>
                <w:szCs w:val="20"/>
              </w:rPr>
            </w:pPr>
            <w:r w:rsidRPr="00D61662">
              <w:rPr>
                <w:sz w:val="20"/>
                <w:szCs w:val="20"/>
              </w:rPr>
              <w:t>3.5</w:t>
            </w:r>
          </w:p>
        </w:tc>
        <w:tc>
          <w:tcPr>
            <w:tcW w:w="1620" w:type="dxa"/>
          </w:tcPr>
          <w:p w14:paraId="5EAB8851" w14:textId="0DAC2E35" w:rsidR="00B92021" w:rsidRPr="00D61662" w:rsidRDefault="0094645D" w:rsidP="00125773">
            <w:pPr>
              <w:rPr>
                <w:sz w:val="20"/>
                <w:szCs w:val="20"/>
              </w:rPr>
            </w:pPr>
            <w:r w:rsidRPr="00D61662">
              <w:rPr>
                <w:sz w:val="20"/>
                <w:szCs w:val="20"/>
              </w:rPr>
              <w:t>2</w:t>
            </w:r>
            <w:r w:rsidR="00B92021" w:rsidRPr="00D61662">
              <w:rPr>
                <w:sz w:val="20"/>
                <w:szCs w:val="20"/>
              </w:rPr>
              <w:t>.5</w:t>
            </w:r>
          </w:p>
        </w:tc>
      </w:tr>
      <w:tr w:rsidR="00B92021" w:rsidRPr="00D61662" w14:paraId="3C6ECD91" w14:textId="77777777" w:rsidTr="00B92021">
        <w:trPr>
          <w:trHeight w:val="50"/>
        </w:trPr>
        <w:tc>
          <w:tcPr>
            <w:tcW w:w="2605" w:type="dxa"/>
          </w:tcPr>
          <w:p w14:paraId="19950A74" w14:textId="77777777" w:rsidR="00B92021" w:rsidRPr="00D61662" w:rsidRDefault="00B92021" w:rsidP="00E01631">
            <w:pPr>
              <w:rPr>
                <w:sz w:val="20"/>
                <w:szCs w:val="20"/>
              </w:rPr>
            </w:pPr>
            <w:r w:rsidRPr="00D61662">
              <w:rPr>
                <w:sz w:val="20"/>
                <w:szCs w:val="20"/>
              </w:rPr>
              <w:t>Relationship</w:t>
            </w:r>
          </w:p>
        </w:tc>
        <w:tc>
          <w:tcPr>
            <w:tcW w:w="1715" w:type="dxa"/>
          </w:tcPr>
          <w:p w14:paraId="05BECDCD" w14:textId="46516479" w:rsidR="00B92021" w:rsidRPr="00D61662" w:rsidRDefault="00B92021" w:rsidP="00E01631">
            <w:pPr>
              <w:rPr>
                <w:sz w:val="20"/>
                <w:szCs w:val="20"/>
              </w:rPr>
            </w:pPr>
            <w:r w:rsidRPr="00D61662">
              <w:rPr>
                <w:sz w:val="20"/>
                <w:szCs w:val="20"/>
              </w:rPr>
              <w:t>1.5</w:t>
            </w:r>
          </w:p>
        </w:tc>
        <w:tc>
          <w:tcPr>
            <w:tcW w:w="1620" w:type="dxa"/>
          </w:tcPr>
          <w:p w14:paraId="03E9D3CB" w14:textId="2E26899B" w:rsidR="00B92021" w:rsidRPr="00D61662" w:rsidRDefault="0094645D" w:rsidP="00125773">
            <w:pPr>
              <w:rPr>
                <w:sz w:val="20"/>
                <w:szCs w:val="20"/>
              </w:rPr>
            </w:pPr>
            <w:r w:rsidRPr="00D61662">
              <w:rPr>
                <w:sz w:val="20"/>
                <w:szCs w:val="20"/>
              </w:rPr>
              <w:t>2</w:t>
            </w:r>
            <w:r w:rsidR="00B92021" w:rsidRPr="00D61662">
              <w:rPr>
                <w:sz w:val="20"/>
                <w:szCs w:val="20"/>
              </w:rPr>
              <w:t>.5</w:t>
            </w:r>
          </w:p>
        </w:tc>
      </w:tr>
      <w:tr w:rsidR="00B92021" w:rsidRPr="00D61662" w14:paraId="4DB79B66" w14:textId="77777777" w:rsidTr="003439A1">
        <w:tc>
          <w:tcPr>
            <w:tcW w:w="2605" w:type="dxa"/>
          </w:tcPr>
          <w:p w14:paraId="01D0FDB6" w14:textId="77777777" w:rsidR="00B92021" w:rsidRPr="00D61662" w:rsidRDefault="00B92021" w:rsidP="00E01631">
            <w:pPr>
              <w:rPr>
                <w:i/>
                <w:sz w:val="20"/>
                <w:szCs w:val="20"/>
              </w:rPr>
            </w:pPr>
            <w:r w:rsidRPr="00D61662">
              <w:rPr>
                <w:i/>
                <w:sz w:val="20"/>
                <w:szCs w:val="20"/>
              </w:rPr>
              <w:t>Total</w:t>
            </w:r>
          </w:p>
        </w:tc>
        <w:tc>
          <w:tcPr>
            <w:tcW w:w="1715" w:type="dxa"/>
          </w:tcPr>
          <w:p w14:paraId="49A1CDEA" w14:textId="7744B876" w:rsidR="00B92021" w:rsidRPr="00D61662" w:rsidRDefault="00B92021" w:rsidP="00E01631">
            <w:pPr>
              <w:rPr>
                <w:i/>
                <w:sz w:val="20"/>
                <w:szCs w:val="20"/>
              </w:rPr>
            </w:pPr>
            <w:r w:rsidRPr="00D61662">
              <w:rPr>
                <w:i/>
                <w:sz w:val="20"/>
                <w:szCs w:val="20"/>
              </w:rPr>
              <w:t>18</w:t>
            </w:r>
          </w:p>
        </w:tc>
        <w:tc>
          <w:tcPr>
            <w:tcW w:w="1620" w:type="dxa"/>
          </w:tcPr>
          <w:p w14:paraId="5F655696" w14:textId="387B1941" w:rsidR="00B92021" w:rsidRPr="00D61662" w:rsidRDefault="00B92021" w:rsidP="00125773">
            <w:pPr>
              <w:rPr>
                <w:i/>
                <w:sz w:val="20"/>
                <w:szCs w:val="20"/>
              </w:rPr>
            </w:pPr>
            <w:r w:rsidRPr="00D61662">
              <w:rPr>
                <w:i/>
                <w:sz w:val="20"/>
                <w:szCs w:val="20"/>
              </w:rPr>
              <w:t>1</w:t>
            </w:r>
            <w:r w:rsidR="0094645D" w:rsidRPr="00D61662">
              <w:rPr>
                <w:i/>
                <w:sz w:val="20"/>
                <w:szCs w:val="20"/>
              </w:rPr>
              <w:t>9</w:t>
            </w:r>
          </w:p>
        </w:tc>
      </w:tr>
    </w:tbl>
    <w:p w14:paraId="57B23F62" w14:textId="77777777" w:rsidR="006771EF" w:rsidRPr="00D61662" w:rsidRDefault="006771EF" w:rsidP="00E01631">
      <w:pPr>
        <w:pStyle w:val="ListParagraph"/>
        <w:widowControl/>
        <w:numPr>
          <w:ilvl w:val="0"/>
          <w:numId w:val="33"/>
        </w:numPr>
        <w:spacing w:after="60"/>
        <w:ind w:left="274" w:hanging="274"/>
        <w:contextualSpacing w:val="0"/>
        <w:rPr>
          <w:sz w:val="20"/>
          <w:szCs w:val="20"/>
        </w:rPr>
      </w:pPr>
      <w:r w:rsidRPr="00D61662">
        <w:rPr>
          <w:i/>
          <w:sz w:val="20"/>
          <w:szCs w:val="20"/>
        </w:rPr>
        <w:t xml:space="preserve">SMF meetings </w:t>
      </w:r>
    </w:p>
    <w:p w14:paraId="6C3667CB" w14:textId="34075ADB" w:rsidR="006771EF" w:rsidRPr="00D61662" w:rsidRDefault="006771EF" w:rsidP="00E01631">
      <w:pPr>
        <w:pStyle w:val="ListParagraph"/>
        <w:widowControl/>
        <w:numPr>
          <w:ilvl w:val="3"/>
          <w:numId w:val="33"/>
        </w:numPr>
        <w:tabs>
          <w:tab w:val="left" w:pos="630"/>
        </w:tabs>
        <w:spacing w:before="0" w:after="0"/>
        <w:ind w:left="540" w:hanging="180"/>
        <w:rPr>
          <w:sz w:val="20"/>
          <w:szCs w:val="20"/>
        </w:rPr>
      </w:pPr>
      <w:r w:rsidRPr="00D61662">
        <w:rPr>
          <w:sz w:val="20"/>
          <w:szCs w:val="20"/>
        </w:rPr>
        <w:t xml:space="preserve">11 </w:t>
      </w:r>
      <w:r w:rsidR="00713924" w:rsidRPr="00D61662">
        <w:rPr>
          <w:sz w:val="20"/>
          <w:szCs w:val="20"/>
        </w:rPr>
        <w:t xml:space="preserve">weekly meetings were held </w:t>
      </w:r>
      <w:r w:rsidR="00390156" w:rsidRPr="00D61662">
        <w:rPr>
          <w:sz w:val="20"/>
          <w:szCs w:val="20"/>
        </w:rPr>
        <w:t xml:space="preserve">throughout the semester on </w:t>
      </w:r>
      <w:r w:rsidRPr="00D61662">
        <w:rPr>
          <w:sz w:val="20"/>
          <w:szCs w:val="20"/>
        </w:rPr>
        <w:t xml:space="preserve">Mondays, 9 am-12 noon, </w:t>
      </w:r>
      <w:r w:rsidR="000E349D" w:rsidRPr="00D61662">
        <w:rPr>
          <w:sz w:val="20"/>
          <w:szCs w:val="20"/>
        </w:rPr>
        <w:t>MORAN G007</w:t>
      </w:r>
      <w:r w:rsidRPr="00D61662">
        <w:rPr>
          <w:sz w:val="20"/>
          <w:szCs w:val="20"/>
        </w:rPr>
        <w:t>.</w:t>
      </w:r>
    </w:p>
    <w:p w14:paraId="7E38C4BD" w14:textId="15431799" w:rsidR="006771EF" w:rsidRPr="00D61662" w:rsidRDefault="000E349D" w:rsidP="00125773">
      <w:pPr>
        <w:pStyle w:val="ListParagraph"/>
        <w:widowControl/>
        <w:numPr>
          <w:ilvl w:val="3"/>
          <w:numId w:val="33"/>
        </w:numPr>
        <w:tabs>
          <w:tab w:val="left" w:pos="630"/>
        </w:tabs>
        <w:spacing w:before="0" w:after="0"/>
        <w:ind w:left="540" w:hanging="180"/>
        <w:rPr>
          <w:sz w:val="20"/>
          <w:szCs w:val="20"/>
        </w:rPr>
      </w:pPr>
      <w:r w:rsidRPr="00D61662">
        <w:rPr>
          <w:sz w:val="20"/>
          <w:szCs w:val="20"/>
        </w:rPr>
        <w:t xml:space="preserve">The SMF </w:t>
      </w:r>
      <w:r w:rsidR="000841CE" w:rsidRPr="00D61662">
        <w:rPr>
          <w:sz w:val="20"/>
          <w:szCs w:val="20"/>
        </w:rPr>
        <w:t>celebrated its achievements and welcomed new members at a</w:t>
      </w:r>
      <w:r w:rsidR="000F6B85" w:rsidRPr="00D61662">
        <w:rPr>
          <w:sz w:val="20"/>
          <w:szCs w:val="20"/>
        </w:rPr>
        <w:t>n</w:t>
      </w:r>
      <w:r w:rsidR="000841CE" w:rsidRPr="00D61662">
        <w:rPr>
          <w:sz w:val="20"/>
          <w:szCs w:val="20"/>
        </w:rPr>
        <w:t xml:space="preserve"> </w:t>
      </w:r>
      <w:r w:rsidR="006771EF" w:rsidRPr="00D61662">
        <w:rPr>
          <w:sz w:val="20"/>
          <w:szCs w:val="20"/>
        </w:rPr>
        <w:t>End-</w:t>
      </w:r>
      <w:r w:rsidR="00505BF3" w:rsidRPr="00D61662">
        <w:rPr>
          <w:sz w:val="20"/>
          <w:szCs w:val="20"/>
        </w:rPr>
        <w:t>of</w:t>
      </w:r>
      <w:r w:rsidR="00505BF3">
        <w:rPr>
          <w:sz w:val="20"/>
          <w:szCs w:val="20"/>
        </w:rPr>
        <w:t>-</w:t>
      </w:r>
      <w:r w:rsidR="006771EF" w:rsidRPr="00D61662">
        <w:rPr>
          <w:sz w:val="20"/>
          <w:szCs w:val="20"/>
        </w:rPr>
        <w:t>semester get-together</w:t>
      </w:r>
      <w:r w:rsidR="000841CE" w:rsidRPr="00D61662">
        <w:rPr>
          <w:sz w:val="20"/>
          <w:szCs w:val="20"/>
        </w:rPr>
        <w:t xml:space="preserve"> </w:t>
      </w:r>
      <w:r w:rsidR="006771EF" w:rsidRPr="00D61662">
        <w:rPr>
          <w:sz w:val="20"/>
          <w:szCs w:val="20"/>
        </w:rPr>
        <w:t>on 2</w:t>
      </w:r>
      <w:r w:rsidR="00E626C4" w:rsidRPr="00D61662">
        <w:rPr>
          <w:sz w:val="20"/>
          <w:szCs w:val="20"/>
        </w:rPr>
        <w:t>6</w:t>
      </w:r>
      <w:r w:rsidR="009A4F38" w:rsidRPr="00D61662">
        <w:rPr>
          <w:sz w:val="20"/>
          <w:szCs w:val="20"/>
        </w:rPr>
        <w:t xml:space="preserve"> </w:t>
      </w:r>
      <w:r w:rsidR="0094645D" w:rsidRPr="00D61662">
        <w:rPr>
          <w:sz w:val="20"/>
          <w:szCs w:val="20"/>
        </w:rPr>
        <w:t>October</w:t>
      </w:r>
      <w:r w:rsidR="006771EF" w:rsidRPr="00D61662">
        <w:rPr>
          <w:sz w:val="20"/>
          <w:szCs w:val="20"/>
        </w:rPr>
        <w:t xml:space="preserve"> 2018. </w:t>
      </w:r>
    </w:p>
    <w:p w14:paraId="62E07960" w14:textId="77777777" w:rsidR="006771EF" w:rsidRPr="00D61662" w:rsidRDefault="006771EF" w:rsidP="00C44E7C">
      <w:pPr>
        <w:pStyle w:val="ListParagraph"/>
        <w:widowControl/>
        <w:numPr>
          <w:ilvl w:val="0"/>
          <w:numId w:val="33"/>
        </w:numPr>
        <w:spacing w:after="60"/>
        <w:ind w:left="274" w:hanging="274"/>
        <w:contextualSpacing w:val="0"/>
        <w:rPr>
          <w:sz w:val="20"/>
          <w:szCs w:val="20"/>
        </w:rPr>
      </w:pPr>
      <w:r w:rsidRPr="00D61662">
        <w:rPr>
          <w:i/>
          <w:sz w:val="20"/>
          <w:szCs w:val="20"/>
        </w:rPr>
        <w:t>SMF Investment Advisory Committee (IAC) meetings</w:t>
      </w:r>
    </w:p>
    <w:p w14:paraId="61F2CD55" w14:textId="2E958C87" w:rsidR="00F55FA1" w:rsidRPr="00D61662" w:rsidRDefault="00AB2579" w:rsidP="00AE1CA5">
      <w:pPr>
        <w:pStyle w:val="ListParagraph"/>
        <w:widowControl/>
        <w:numPr>
          <w:ilvl w:val="3"/>
          <w:numId w:val="33"/>
        </w:numPr>
        <w:tabs>
          <w:tab w:val="left" w:pos="630"/>
        </w:tabs>
        <w:spacing w:before="0" w:after="0"/>
        <w:ind w:left="540" w:hanging="180"/>
        <w:rPr>
          <w:sz w:val="20"/>
          <w:szCs w:val="20"/>
        </w:rPr>
      </w:pPr>
      <w:r w:rsidRPr="00D61662">
        <w:rPr>
          <w:sz w:val="20"/>
          <w:szCs w:val="20"/>
        </w:rPr>
        <w:t>T</w:t>
      </w:r>
      <w:r w:rsidR="0094645D" w:rsidRPr="00D61662">
        <w:rPr>
          <w:sz w:val="20"/>
          <w:szCs w:val="20"/>
        </w:rPr>
        <w:t>wo</w:t>
      </w:r>
      <w:r w:rsidRPr="00D61662">
        <w:rPr>
          <w:sz w:val="20"/>
          <w:szCs w:val="20"/>
        </w:rPr>
        <w:t xml:space="preserve"> IAC meetings occurred during the semester as the SMF progressed with </w:t>
      </w:r>
      <w:r w:rsidR="00F55FA1" w:rsidRPr="00D61662">
        <w:rPr>
          <w:sz w:val="20"/>
          <w:szCs w:val="20"/>
        </w:rPr>
        <w:t xml:space="preserve">policy creation and </w:t>
      </w:r>
      <w:r w:rsidR="002C036D" w:rsidRPr="00D61662">
        <w:rPr>
          <w:sz w:val="20"/>
          <w:szCs w:val="20"/>
        </w:rPr>
        <w:t>implementation</w:t>
      </w:r>
      <w:r w:rsidR="00505BF3">
        <w:rPr>
          <w:sz w:val="20"/>
          <w:szCs w:val="20"/>
        </w:rPr>
        <w:t>,</w:t>
      </w:r>
      <w:r w:rsidR="00F55FA1" w:rsidRPr="00D61662">
        <w:rPr>
          <w:sz w:val="20"/>
          <w:szCs w:val="20"/>
        </w:rPr>
        <w:t xml:space="preserve"> as well as investment recommendations. </w:t>
      </w:r>
    </w:p>
    <w:p w14:paraId="53EE7511" w14:textId="276B70A3" w:rsidR="00156DFF" w:rsidRPr="00D61662" w:rsidRDefault="00F55FA1" w:rsidP="009823DC">
      <w:pPr>
        <w:pStyle w:val="ListParagraph"/>
        <w:widowControl/>
        <w:numPr>
          <w:ilvl w:val="3"/>
          <w:numId w:val="33"/>
        </w:numPr>
        <w:tabs>
          <w:tab w:val="left" w:pos="630"/>
        </w:tabs>
        <w:spacing w:before="0" w:after="0"/>
        <w:ind w:left="540" w:hanging="180"/>
        <w:rPr>
          <w:sz w:val="20"/>
          <w:szCs w:val="20"/>
        </w:rPr>
      </w:pPr>
      <w:r w:rsidRPr="00D61662">
        <w:rPr>
          <w:sz w:val="20"/>
          <w:szCs w:val="20"/>
        </w:rPr>
        <w:t xml:space="preserve">The first IAC meeting was held on </w:t>
      </w:r>
      <w:r w:rsidR="00B15657" w:rsidRPr="00D61662">
        <w:rPr>
          <w:sz w:val="20"/>
          <w:szCs w:val="20"/>
        </w:rPr>
        <w:t xml:space="preserve">17 September 2018 to discuss </w:t>
      </w:r>
      <w:r w:rsidR="002C036D" w:rsidRPr="00D61662">
        <w:rPr>
          <w:sz w:val="20"/>
          <w:szCs w:val="20"/>
        </w:rPr>
        <w:t xml:space="preserve">the </w:t>
      </w:r>
      <w:r w:rsidR="0010598F" w:rsidRPr="00D61662">
        <w:rPr>
          <w:sz w:val="20"/>
          <w:szCs w:val="20"/>
        </w:rPr>
        <w:t xml:space="preserve">R&amp;C SRI compliance process as well as </w:t>
      </w:r>
      <w:r w:rsidR="00FE7550" w:rsidRPr="00D61662">
        <w:rPr>
          <w:sz w:val="20"/>
          <w:szCs w:val="20"/>
        </w:rPr>
        <w:t xml:space="preserve">its proposed implementation within the </w:t>
      </w:r>
      <w:r w:rsidR="009528CD" w:rsidRPr="00D61662">
        <w:rPr>
          <w:sz w:val="20"/>
          <w:szCs w:val="20"/>
        </w:rPr>
        <w:t xml:space="preserve">AAE IP. </w:t>
      </w:r>
      <w:r w:rsidR="00340C91" w:rsidRPr="00D61662">
        <w:rPr>
          <w:sz w:val="20"/>
          <w:szCs w:val="20"/>
        </w:rPr>
        <w:t xml:space="preserve">The IAC members accepted both documents and </w:t>
      </w:r>
      <w:r w:rsidR="007604B2">
        <w:rPr>
          <w:sz w:val="20"/>
          <w:szCs w:val="20"/>
        </w:rPr>
        <w:t>the commitment</w:t>
      </w:r>
      <w:r w:rsidR="007604B2" w:rsidRPr="00D61662">
        <w:rPr>
          <w:sz w:val="20"/>
          <w:szCs w:val="20"/>
        </w:rPr>
        <w:t xml:space="preserve"> </w:t>
      </w:r>
      <w:r w:rsidR="00156DFF" w:rsidRPr="00D61662">
        <w:rPr>
          <w:sz w:val="20"/>
          <w:szCs w:val="20"/>
        </w:rPr>
        <w:t xml:space="preserve">to implementing SRI policies across the Fund when suitable ETFs become available. </w:t>
      </w:r>
    </w:p>
    <w:p w14:paraId="5F73EC52" w14:textId="57B9D92F" w:rsidR="00F55FA1" w:rsidRPr="00D61662" w:rsidRDefault="00156DFF" w:rsidP="002D09EA">
      <w:pPr>
        <w:pStyle w:val="ListParagraph"/>
        <w:widowControl/>
        <w:numPr>
          <w:ilvl w:val="3"/>
          <w:numId w:val="33"/>
        </w:numPr>
        <w:tabs>
          <w:tab w:val="left" w:pos="630"/>
        </w:tabs>
        <w:spacing w:before="0" w:after="0"/>
        <w:ind w:left="540" w:hanging="180"/>
        <w:rPr>
          <w:sz w:val="20"/>
          <w:szCs w:val="20"/>
        </w:rPr>
      </w:pPr>
      <w:r w:rsidRPr="00D61662">
        <w:rPr>
          <w:sz w:val="20"/>
          <w:szCs w:val="20"/>
        </w:rPr>
        <w:t>The second IAC mee</w:t>
      </w:r>
      <w:r w:rsidR="00CB172F" w:rsidRPr="00D61662">
        <w:rPr>
          <w:sz w:val="20"/>
          <w:szCs w:val="20"/>
        </w:rPr>
        <w:t xml:space="preserve">ting on </w:t>
      </w:r>
      <w:r w:rsidR="00A22474" w:rsidRPr="00D61662">
        <w:rPr>
          <w:sz w:val="20"/>
          <w:szCs w:val="20"/>
        </w:rPr>
        <w:t>5</w:t>
      </w:r>
      <w:r w:rsidR="00B2628F" w:rsidRPr="00D61662">
        <w:rPr>
          <w:sz w:val="20"/>
          <w:szCs w:val="20"/>
          <w:vertAlign w:val="superscript"/>
        </w:rPr>
        <w:t xml:space="preserve"> </w:t>
      </w:r>
      <w:r w:rsidR="00763BDF" w:rsidRPr="00D61662">
        <w:rPr>
          <w:sz w:val="20"/>
          <w:szCs w:val="20"/>
        </w:rPr>
        <w:t>October</w:t>
      </w:r>
      <w:r w:rsidR="009A4F38" w:rsidRPr="00D61662">
        <w:rPr>
          <w:sz w:val="20"/>
          <w:szCs w:val="20"/>
        </w:rPr>
        <w:t xml:space="preserve"> </w:t>
      </w:r>
      <w:r w:rsidR="00763BDF" w:rsidRPr="00D61662">
        <w:rPr>
          <w:sz w:val="20"/>
          <w:szCs w:val="20"/>
        </w:rPr>
        <w:t xml:space="preserve">2018 </w:t>
      </w:r>
      <w:r w:rsidR="00826D3B" w:rsidRPr="00D61662">
        <w:rPr>
          <w:sz w:val="20"/>
          <w:szCs w:val="20"/>
        </w:rPr>
        <w:t xml:space="preserve">was used by the </w:t>
      </w:r>
      <w:r w:rsidR="007604B2">
        <w:rPr>
          <w:sz w:val="20"/>
          <w:szCs w:val="20"/>
        </w:rPr>
        <w:t>AAE</w:t>
      </w:r>
      <w:r w:rsidR="007604B2" w:rsidRPr="00D61662">
        <w:rPr>
          <w:sz w:val="20"/>
          <w:szCs w:val="20"/>
        </w:rPr>
        <w:t xml:space="preserve"> </w:t>
      </w:r>
      <w:r w:rsidR="00826D3B" w:rsidRPr="00D61662">
        <w:rPr>
          <w:sz w:val="20"/>
          <w:szCs w:val="20"/>
        </w:rPr>
        <w:t xml:space="preserve">team to propose </w:t>
      </w:r>
      <w:r w:rsidR="0062518A" w:rsidRPr="00D61662">
        <w:rPr>
          <w:sz w:val="20"/>
          <w:szCs w:val="20"/>
        </w:rPr>
        <w:t xml:space="preserve">the additions of </w:t>
      </w:r>
      <w:r w:rsidR="0094645D" w:rsidRPr="00D61662">
        <w:rPr>
          <w:sz w:val="20"/>
          <w:szCs w:val="20"/>
        </w:rPr>
        <w:t>Bingo Industries</w:t>
      </w:r>
      <w:r w:rsidR="003E2F63" w:rsidRPr="00D61662">
        <w:rPr>
          <w:sz w:val="20"/>
          <w:szCs w:val="20"/>
        </w:rPr>
        <w:t xml:space="preserve"> </w:t>
      </w:r>
      <w:r w:rsidR="0062518A" w:rsidRPr="00D61662">
        <w:rPr>
          <w:sz w:val="20"/>
          <w:szCs w:val="20"/>
        </w:rPr>
        <w:t>and</w:t>
      </w:r>
      <w:r w:rsidR="003E2F63" w:rsidRPr="00D61662">
        <w:rPr>
          <w:sz w:val="20"/>
          <w:szCs w:val="20"/>
        </w:rPr>
        <w:t xml:space="preserve"> a</w:t>
      </w:r>
      <w:r w:rsidR="007604B2">
        <w:rPr>
          <w:sz w:val="20"/>
          <w:szCs w:val="20"/>
        </w:rPr>
        <w:t xml:space="preserve"> further</w:t>
      </w:r>
      <w:r w:rsidR="003E2F63" w:rsidRPr="00D61662">
        <w:rPr>
          <w:sz w:val="20"/>
          <w:szCs w:val="20"/>
        </w:rPr>
        <w:t xml:space="preserve"> investment in Telstra</w:t>
      </w:r>
      <w:r w:rsidR="00507829" w:rsidRPr="00D61662">
        <w:rPr>
          <w:sz w:val="20"/>
          <w:szCs w:val="20"/>
        </w:rPr>
        <w:t>, funded via</w:t>
      </w:r>
      <w:r w:rsidR="003E2F63" w:rsidRPr="00D61662">
        <w:rPr>
          <w:sz w:val="20"/>
          <w:szCs w:val="20"/>
        </w:rPr>
        <w:t xml:space="preserve"> a reduction of the i</w:t>
      </w:r>
      <w:r w:rsidR="00507829" w:rsidRPr="00D61662">
        <w:rPr>
          <w:sz w:val="20"/>
          <w:szCs w:val="20"/>
        </w:rPr>
        <w:t xml:space="preserve">Shares Core S&amp;P/ASX200 ETF. The IAC </w:t>
      </w:r>
      <w:r w:rsidR="00AA2FED" w:rsidRPr="00D61662">
        <w:rPr>
          <w:sz w:val="20"/>
          <w:szCs w:val="20"/>
        </w:rPr>
        <w:t>endorsed both proposals</w:t>
      </w:r>
      <w:r w:rsidR="007604B2">
        <w:rPr>
          <w:sz w:val="20"/>
          <w:szCs w:val="20"/>
        </w:rPr>
        <w:t>,</w:t>
      </w:r>
      <w:r w:rsidR="00AA2FED" w:rsidRPr="00D61662">
        <w:rPr>
          <w:sz w:val="20"/>
          <w:szCs w:val="20"/>
        </w:rPr>
        <w:t xml:space="preserve"> with </w:t>
      </w:r>
      <w:r w:rsidR="004D3813" w:rsidRPr="00D61662">
        <w:rPr>
          <w:sz w:val="20"/>
          <w:szCs w:val="20"/>
        </w:rPr>
        <w:t xml:space="preserve">weightings of </w:t>
      </w:r>
      <w:r w:rsidR="003E2F63" w:rsidRPr="00D61662">
        <w:rPr>
          <w:sz w:val="20"/>
          <w:szCs w:val="20"/>
        </w:rPr>
        <w:t>10</w:t>
      </w:r>
      <w:r w:rsidR="004D3813" w:rsidRPr="00D61662">
        <w:rPr>
          <w:sz w:val="20"/>
          <w:szCs w:val="20"/>
        </w:rPr>
        <w:t xml:space="preserve">% in </w:t>
      </w:r>
      <w:r w:rsidR="003E2F63" w:rsidRPr="00D61662">
        <w:rPr>
          <w:sz w:val="20"/>
          <w:szCs w:val="20"/>
        </w:rPr>
        <w:t>Bingo Industries</w:t>
      </w:r>
      <w:r w:rsidR="004D3813" w:rsidRPr="00D61662">
        <w:rPr>
          <w:sz w:val="20"/>
          <w:szCs w:val="20"/>
        </w:rPr>
        <w:t xml:space="preserve"> and </w:t>
      </w:r>
      <w:r w:rsidR="003E2F63" w:rsidRPr="00D61662">
        <w:rPr>
          <w:sz w:val="20"/>
          <w:szCs w:val="20"/>
        </w:rPr>
        <w:t>an additional 3</w:t>
      </w:r>
      <w:r w:rsidR="004D3813" w:rsidRPr="00D61662">
        <w:rPr>
          <w:sz w:val="20"/>
          <w:szCs w:val="20"/>
        </w:rPr>
        <w:t xml:space="preserve">% in </w:t>
      </w:r>
      <w:r w:rsidR="003E2F63" w:rsidRPr="00D61662">
        <w:rPr>
          <w:sz w:val="20"/>
          <w:szCs w:val="20"/>
        </w:rPr>
        <w:t xml:space="preserve">Telstra </w:t>
      </w:r>
      <w:r w:rsidR="007604B2">
        <w:rPr>
          <w:sz w:val="20"/>
          <w:szCs w:val="20"/>
        </w:rPr>
        <w:t xml:space="preserve">to </w:t>
      </w:r>
      <w:r w:rsidR="003E2F63" w:rsidRPr="00D61662">
        <w:rPr>
          <w:sz w:val="20"/>
          <w:szCs w:val="20"/>
        </w:rPr>
        <w:t>the 6% target weight endorsed by the IAC on 21</w:t>
      </w:r>
      <w:r w:rsidR="00B2628F" w:rsidRPr="00D61662">
        <w:rPr>
          <w:sz w:val="20"/>
          <w:szCs w:val="20"/>
          <w:vertAlign w:val="superscript"/>
        </w:rPr>
        <w:t xml:space="preserve"> </w:t>
      </w:r>
      <w:r w:rsidR="003E2F63" w:rsidRPr="00D61662">
        <w:rPr>
          <w:sz w:val="20"/>
          <w:szCs w:val="20"/>
        </w:rPr>
        <w:t xml:space="preserve">May 2018. </w:t>
      </w:r>
      <w:r w:rsidR="004D3813" w:rsidRPr="00D61662">
        <w:rPr>
          <w:sz w:val="20"/>
          <w:szCs w:val="20"/>
        </w:rPr>
        <w:t xml:space="preserve">The subsequent transactions were completed on </w:t>
      </w:r>
      <w:r w:rsidR="00B2628F" w:rsidRPr="00D61662">
        <w:rPr>
          <w:sz w:val="20"/>
          <w:szCs w:val="20"/>
        </w:rPr>
        <w:t>8</w:t>
      </w:r>
      <w:r w:rsidR="00A22474" w:rsidRPr="00D61662">
        <w:rPr>
          <w:sz w:val="20"/>
          <w:szCs w:val="20"/>
        </w:rPr>
        <w:t xml:space="preserve"> October 2018</w:t>
      </w:r>
      <w:r w:rsidR="00943C0C" w:rsidRPr="00D61662">
        <w:rPr>
          <w:sz w:val="20"/>
          <w:szCs w:val="20"/>
        </w:rPr>
        <w:t xml:space="preserve">. </w:t>
      </w:r>
    </w:p>
    <w:p w14:paraId="221304F2" w14:textId="77777777" w:rsidR="006771EF" w:rsidRPr="00D61662" w:rsidRDefault="006771EF" w:rsidP="00525440">
      <w:pPr>
        <w:pStyle w:val="ListParagraph"/>
        <w:widowControl/>
        <w:numPr>
          <w:ilvl w:val="0"/>
          <w:numId w:val="33"/>
        </w:numPr>
        <w:spacing w:after="60"/>
        <w:ind w:left="274" w:hanging="274"/>
        <w:contextualSpacing w:val="0"/>
        <w:rPr>
          <w:i/>
          <w:sz w:val="20"/>
          <w:szCs w:val="20"/>
        </w:rPr>
      </w:pPr>
      <w:r w:rsidRPr="00D61662">
        <w:rPr>
          <w:i/>
          <w:sz w:val="20"/>
          <w:szCs w:val="20"/>
        </w:rPr>
        <w:t>Guest speakers</w:t>
      </w:r>
    </w:p>
    <w:p w14:paraId="4EB18B4F" w14:textId="16E6F354" w:rsidR="006771EF" w:rsidRPr="00D61662" w:rsidRDefault="006771EF" w:rsidP="00525440">
      <w:pPr>
        <w:pStyle w:val="ListParagraph"/>
        <w:widowControl/>
        <w:numPr>
          <w:ilvl w:val="1"/>
          <w:numId w:val="33"/>
        </w:numPr>
        <w:spacing w:before="0" w:after="0"/>
        <w:ind w:left="540" w:hanging="180"/>
        <w:contextualSpacing w:val="0"/>
        <w:rPr>
          <w:sz w:val="20"/>
          <w:szCs w:val="20"/>
        </w:rPr>
      </w:pPr>
      <w:r w:rsidRPr="00D61662">
        <w:rPr>
          <w:sz w:val="20"/>
          <w:szCs w:val="20"/>
        </w:rPr>
        <w:t>D</w:t>
      </w:r>
      <w:r w:rsidR="00391256" w:rsidRPr="00D61662">
        <w:rPr>
          <w:sz w:val="20"/>
          <w:szCs w:val="20"/>
        </w:rPr>
        <w:t>avid Nolan</w:t>
      </w:r>
      <w:r w:rsidRPr="00D61662">
        <w:rPr>
          <w:sz w:val="20"/>
          <w:szCs w:val="20"/>
        </w:rPr>
        <w:t>,</w:t>
      </w:r>
      <w:r w:rsidR="003216AA" w:rsidRPr="00D61662">
        <w:rPr>
          <w:sz w:val="20"/>
          <w:szCs w:val="20"/>
        </w:rPr>
        <w:t xml:space="preserve"> </w:t>
      </w:r>
      <w:r w:rsidR="00CB7B54">
        <w:rPr>
          <w:sz w:val="20"/>
          <w:szCs w:val="20"/>
        </w:rPr>
        <w:t xml:space="preserve">Point72, </w:t>
      </w:r>
      <w:r w:rsidRPr="00D61662">
        <w:rPr>
          <w:sz w:val="20"/>
          <w:szCs w:val="20"/>
        </w:rPr>
        <w:t xml:space="preserve">Monday </w:t>
      </w:r>
      <w:r w:rsidR="00A22474" w:rsidRPr="00D61662">
        <w:rPr>
          <w:sz w:val="20"/>
          <w:szCs w:val="20"/>
        </w:rPr>
        <w:t>6</w:t>
      </w:r>
      <w:r w:rsidR="00B2628F" w:rsidRPr="00D61662">
        <w:rPr>
          <w:sz w:val="20"/>
          <w:szCs w:val="20"/>
          <w:vertAlign w:val="superscript"/>
        </w:rPr>
        <w:t xml:space="preserve"> </w:t>
      </w:r>
      <w:r w:rsidR="00A22474" w:rsidRPr="00D61662">
        <w:rPr>
          <w:sz w:val="20"/>
          <w:szCs w:val="20"/>
        </w:rPr>
        <w:t>August</w:t>
      </w:r>
      <w:r w:rsidR="009A4F38" w:rsidRPr="00D61662">
        <w:rPr>
          <w:sz w:val="20"/>
          <w:szCs w:val="20"/>
        </w:rPr>
        <w:t xml:space="preserve"> </w:t>
      </w:r>
      <w:r w:rsidRPr="00D61662">
        <w:rPr>
          <w:sz w:val="20"/>
          <w:szCs w:val="20"/>
        </w:rPr>
        <w:t>2018</w:t>
      </w:r>
    </w:p>
    <w:p w14:paraId="0C3A35E9" w14:textId="5DBDB8AE" w:rsidR="006771EF" w:rsidRDefault="00391256" w:rsidP="005574D6">
      <w:pPr>
        <w:pStyle w:val="ListParagraph"/>
        <w:widowControl/>
        <w:numPr>
          <w:ilvl w:val="1"/>
          <w:numId w:val="33"/>
        </w:numPr>
        <w:spacing w:before="0" w:after="0"/>
        <w:ind w:left="540" w:hanging="180"/>
        <w:contextualSpacing w:val="0"/>
        <w:rPr>
          <w:sz w:val="20"/>
          <w:szCs w:val="20"/>
        </w:rPr>
      </w:pPr>
      <w:r w:rsidRPr="00D61662">
        <w:rPr>
          <w:sz w:val="20"/>
          <w:szCs w:val="20"/>
        </w:rPr>
        <w:t>Risman Cornelius</w:t>
      </w:r>
      <w:r w:rsidR="006771EF" w:rsidRPr="00D61662">
        <w:rPr>
          <w:sz w:val="20"/>
          <w:szCs w:val="20"/>
        </w:rPr>
        <w:t xml:space="preserve">, </w:t>
      </w:r>
      <w:r w:rsidR="00A22474" w:rsidRPr="00D61662">
        <w:rPr>
          <w:sz w:val="20"/>
          <w:szCs w:val="20"/>
        </w:rPr>
        <w:t>Whitehelm Capital, Monday 20 August</w:t>
      </w:r>
      <w:r w:rsidR="009A4F38" w:rsidRPr="00D61662">
        <w:rPr>
          <w:sz w:val="20"/>
          <w:szCs w:val="20"/>
        </w:rPr>
        <w:t xml:space="preserve"> </w:t>
      </w:r>
      <w:r w:rsidR="00A22474" w:rsidRPr="00D61662">
        <w:rPr>
          <w:sz w:val="20"/>
          <w:szCs w:val="20"/>
        </w:rPr>
        <w:t>2018</w:t>
      </w:r>
    </w:p>
    <w:p w14:paraId="760979D6" w14:textId="557C17B5" w:rsidR="006B2556" w:rsidRPr="00D61662" w:rsidRDefault="006B2556" w:rsidP="006B2556">
      <w:pPr>
        <w:pStyle w:val="ListParagraph"/>
        <w:widowControl/>
        <w:numPr>
          <w:ilvl w:val="1"/>
          <w:numId w:val="33"/>
        </w:numPr>
        <w:spacing w:before="0" w:after="0"/>
        <w:ind w:left="540" w:hanging="180"/>
        <w:contextualSpacing w:val="0"/>
        <w:rPr>
          <w:sz w:val="20"/>
          <w:szCs w:val="20"/>
        </w:rPr>
      </w:pPr>
      <w:r>
        <w:rPr>
          <w:sz w:val="20"/>
          <w:szCs w:val="20"/>
        </w:rPr>
        <w:t>R</w:t>
      </w:r>
      <w:r w:rsidR="00F876EB">
        <w:rPr>
          <w:sz w:val="20"/>
          <w:szCs w:val="20"/>
        </w:rPr>
        <w:t xml:space="preserve">ussell Clark, Horseman Capital Management, </w:t>
      </w:r>
      <w:r>
        <w:rPr>
          <w:sz w:val="20"/>
          <w:szCs w:val="20"/>
        </w:rPr>
        <w:t>Wednesday 19 September 2018</w:t>
      </w:r>
    </w:p>
    <w:p w14:paraId="5262DA08" w14:textId="14255B71" w:rsidR="006B2556" w:rsidRDefault="006B2556" w:rsidP="005574D6">
      <w:pPr>
        <w:pStyle w:val="ListParagraph"/>
        <w:widowControl/>
        <w:numPr>
          <w:ilvl w:val="1"/>
          <w:numId w:val="33"/>
        </w:numPr>
        <w:spacing w:before="0" w:after="0"/>
        <w:ind w:left="540" w:hanging="180"/>
        <w:contextualSpacing w:val="0"/>
        <w:rPr>
          <w:sz w:val="20"/>
          <w:szCs w:val="20"/>
        </w:rPr>
      </w:pPr>
      <w:r>
        <w:rPr>
          <w:sz w:val="20"/>
          <w:szCs w:val="20"/>
        </w:rPr>
        <w:t>Heath Behncke, Holon Global Investments, Monday 15 October 2018</w:t>
      </w:r>
    </w:p>
    <w:p w14:paraId="3032E7D0" w14:textId="77777777" w:rsidR="006771EF" w:rsidRPr="00D61662" w:rsidRDefault="006771EF" w:rsidP="005574D6">
      <w:pPr>
        <w:pStyle w:val="ListParagraph"/>
        <w:widowControl/>
        <w:numPr>
          <w:ilvl w:val="0"/>
          <w:numId w:val="33"/>
        </w:numPr>
        <w:spacing w:after="60"/>
        <w:ind w:left="274" w:hanging="274"/>
        <w:contextualSpacing w:val="0"/>
        <w:rPr>
          <w:sz w:val="20"/>
          <w:szCs w:val="20"/>
        </w:rPr>
      </w:pPr>
      <w:r w:rsidRPr="00D61662">
        <w:rPr>
          <w:i/>
          <w:sz w:val="20"/>
          <w:szCs w:val="20"/>
        </w:rPr>
        <w:t>Reports finalised</w:t>
      </w:r>
      <w:r w:rsidRPr="00D61662">
        <w:rPr>
          <w:sz w:val="20"/>
          <w:szCs w:val="20"/>
        </w:rPr>
        <w:t xml:space="preserve"> </w:t>
      </w:r>
    </w:p>
    <w:p w14:paraId="2BF3EAEF" w14:textId="11276021" w:rsidR="006771EF" w:rsidRDefault="006771EF">
      <w:pPr>
        <w:pStyle w:val="ListParagraph"/>
        <w:widowControl/>
        <w:numPr>
          <w:ilvl w:val="3"/>
          <w:numId w:val="33"/>
        </w:numPr>
        <w:tabs>
          <w:tab w:val="left" w:pos="630"/>
        </w:tabs>
        <w:spacing w:before="0" w:after="0"/>
        <w:ind w:left="540" w:hanging="180"/>
        <w:rPr>
          <w:sz w:val="20"/>
          <w:szCs w:val="20"/>
        </w:rPr>
      </w:pPr>
      <w:r w:rsidRPr="00D61662">
        <w:rPr>
          <w:sz w:val="20"/>
          <w:szCs w:val="20"/>
        </w:rPr>
        <w:t xml:space="preserve">Reports on </w:t>
      </w:r>
      <w:r w:rsidR="00906876" w:rsidRPr="00D61662">
        <w:rPr>
          <w:sz w:val="20"/>
          <w:szCs w:val="20"/>
        </w:rPr>
        <w:t xml:space="preserve">Bingo Industries </w:t>
      </w:r>
      <w:r w:rsidRPr="00D61662">
        <w:rPr>
          <w:sz w:val="20"/>
          <w:szCs w:val="20"/>
        </w:rPr>
        <w:t xml:space="preserve">and </w:t>
      </w:r>
      <w:r w:rsidR="00906876" w:rsidRPr="00D61662">
        <w:rPr>
          <w:sz w:val="20"/>
          <w:szCs w:val="20"/>
        </w:rPr>
        <w:t>Telstra we</w:t>
      </w:r>
      <w:r w:rsidRPr="00D61662">
        <w:rPr>
          <w:sz w:val="20"/>
          <w:szCs w:val="20"/>
        </w:rPr>
        <w:t xml:space="preserve">re </w:t>
      </w:r>
      <w:r w:rsidR="00EB0DF5" w:rsidRPr="00D61662">
        <w:rPr>
          <w:sz w:val="20"/>
          <w:szCs w:val="20"/>
        </w:rPr>
        <w:t>created</w:t>
      </w:r>
      <w:r w:rsidRPr="00D61662">
        <w:rPr>
          <w:sz w:val="20"/>
          <w:szCs w:val="20"/>
        </w:rPr>
        <w:t xml:space="preserve"> in support of the investment recommendations.  </w:t>
      </w:r>
    </w:p>
    <w:p w14:paraId="2E9F9F3E" w14:textId="2FC13D65" w:rsidR="00C62BC9" w:rsidRPr="00C62BC9" w:rsidRDefault="00C62BC9" w:rsidP="00C62BC9">
      <w:pPr>
        <w:pStyle w:val="ListParagraph"/>
        <w:widowControl/>
        <w:numPr>
          <w:ilvl w:val="1"/>
          <w:numId w:val="33"/>
        </w:numPr>
        <w:spacing w:before="0" w:after="0"/>
        <w:ind w:left="540" w:hanging="180"/>
        <w:contextualSpacing w:val="0"/>
        <w:rPr>
          <w:sz w:val="20"/>
          <w:szCs w:val="20"/>
        </w:rPr>
      </w:pPr>
      <w:r w:rsidRPr="00D61662">
        <w:rPr>
          <w:sz w:val="20"/>
          <w:szCs w:val="20"/>
        </w:rPr>
        <w:t xml:space="preserve">The Relationship </w:t>
      </w:r>
      <w:r w:rsidR="001727C6">
        <w:rPr>
          <w:sz w:val="20"/>
          <w:szCs w:val="20"/>
        </w:rPr>
        <w:t>t</w:t>
      </w:r>
      <w:r w:rsidRPr="00D61662">
        <w:rPr>
          <w:sz w:val="20"/>
          <w:szCs w:val="20"/>
        </w:rPr>
        <w:t>eam finalised the Social Media Policy Statement</w:t>
      </w:r>
      <w:r>
        <w:rPr>
          <w:sz w:val="20"/>
          <w:szCs w:val="20"/>
        </w:rPr>
        <w:t>,</w:t>
      </w:r>
      <w:r w:rsidRPr="00D61662">
        <w:rPr>
          <w:sz w:val="20"/>
          <w:szCs w:val="20"/>
        </w:rPr>
        <w:t xml:space="preserve"> which </w:t>
      </w:r>
      <w:r>
        <w:rPr>
          <w:sz w:val="20"/>
          <w:szCs w:val="20"/>
        </w:rPr>
        <w:t>has been</w:t>
      </w:r>
      <w:r w:rsidRPr="00D61662">
        <w:rPr>
          <w:sz w:val="20"/>
          <w:szCs w:val="20"/>
        </w:rPr>
        <w:t xml:space="preserve"> </w:t>
      </w:r>
      <w:r>
        <w:rPr>
          <w:sz w:val="20"/>
          <w:szCs w:val="20"/>
        </w:rPr>
        <w:t>endorsed</w:t>
      </w:r>
      <w:r w:rsidRPr="00D61662">
        <w:rPr>
          <w:sz w:val="20"/>
          <w:szCs w:val="20"/>
        </w:rPr>
        <w:t xml:space="preserve"> by the Director of RSFAS and </w:t>
      </w:r>
      <w:r>
        <w:rPr>
          <w:sz w:val="20"/>
          <w:szCs w:val="20"/>
        </w:rPr>
        <w:t xml:space="preserve">will be </w:t>
      </w:r>
      <w:r w:rsidRPr="00D61662">
        <w:rPr>
          <w:sz w:val="20"/>
          <w:szCs w:val="20"/>
        </w:rPr>
        <w:t xml:space="preserve">implemented in Semester 1, 2019. </w:t>
      </w:r>
    </w:p>
    <w:p w14:paraId="47889A88" w14:textId="77777777" w:rsidR="006771EF" w:rsidRPr="00D61662" w:rsidRDefault="006771EF">
      <w:pPr>
        <w:pStyle w:val="ListParagraph"/>
        <w:widowControl/>
        <w:numPr>
          <w:ilvl w:val="0"/>
          <w:numId w:val="33"/>
        </w:numPr>
        <w:spacing w:after="60"/>
        <w:ind w:left="274" w:hanging="274"/>
        <w:contextualSpacing w:val="0"/>
        <w:rPr>
          <w:i/>
          <w:sz w:val="20"/>
          <w:szCs w:val="20"/>
        </w:rPr>
      </w:pPr>
      <w:r w:rsidRPr="00D61662">
        <w:rPr>
          <w:i/>
          <w:sz w:val="20"/>
          <w:szCs w:val="20"/>
        </w:rPr>
        <w:t>Other notable items</w:t>
      </w:r>
    </w:p>
    <w:p w14:paraId="5C83A016" w14:textId="49A81929" w:rsidR="00A27798" w:rsidRPr="00D61662" w:rsidRDefault="00A27798">
      <w:pPr>
        <w:pStyle w:val="ListParagraph"/>
        <w:widowControl/>
        <w:numPr>
          <w:ilvl w:val="1"/>
          <w:numId w:val="33"/>
        </w:numPr>
        <w:spacing w:before="0" w:after="0"/>
        <w:ind w:left="540" w:hanging="180"/>
        <w:contextualSpacing w:val="0"/>
        <w:rPr>
          <w:sz w:val="20"/>
          <w:szCs w:val="20"/>
        </w:rPr>
      </w:pPr>
      <w:r w:rsidRPr="00D61662">
        <w:rPr>
          <w:sz w:val="20"/>
          <w:szCs w:val="20"/>
        </w:rPr>
        <w:t xml:space="preserve">Significant progress was made across the SMF to </w:t>
      </w:r>
      <w:r w:rsidR="001868D1" w:rsidRPr="00D61662">
        <w:rPr>
          <w:sz w:val="20"/>
          <w:szCs w:val="20"/>
        </w:rPr>
        <w:t>en</w:t>
      </w:r>
      <w:r w:rsidR="009D6DE5" w:rsidRPr="00D61662">
        <w:rPr>
          <w:sz w:val="20"/>
          <w:szCs w:val="20"/>
        </w:rPr>
        <w:t xml:space="preserve">sure documents and processes have appropriate user guides and manuals to ensure the legacy of the Fund. </w:t>
      </w:r>
    </w:p>
    <w:p w14:paraId="50DA06D8" w14:textId="255B79CA" w:rsidR="009D6DE5" w:rsidRPr="00D61662" w:rsidRDefault="00E872B1">
      <w:pPr>
        <w:pStyle w:val="ListParagraph"/>
        <w:widowControl/>
        <w:numPr>
          <w:ilvl w:val="1"/>
          <w:numId w:val="33"/>
        </w:numPr>
        <w:spacing w:before="0" w:after="0"/>
        <w:ind w:left="540" w:hanging="180"/>
        <w:contextualSpacing w:val="0"/>
        <w:rPr>
          <w:sz w:val="20"/>
          <w:szCs w:val="20"/>
        </w:rPr>
      </w:pPr>
      <w:r w:rsidRPr="00D61662">
        <w:rPr>
          <w:sz w:val="20"/>
          <w:szCs w:val="20"/>
        </w:rPr>
        <w:t>The SMF received a</w:t>
      </w:r>
      <w:r w:rsidR="007604B2">
        <w:rPr>
          <w:sz w:val="20"/>
          <w:szCs w:val="20"/>
        </w:rPr>
        <w:t>n increased</w:t>
      </w:r>
      <w:r w:rsidRPr="00D61662">
        <w:rPr>
          <w:sz w:val="20"/>
          <w:szCs w:val="20"/>
        </w:rPr>
        <w:t xml:space="preserve"> </w:t>
      </w:r>
      <w:r w:rsidR="007604B2">
        <w:rPr>
          <w:sz w:val="20"/>
          <w:szCs w:val="20"/>
        </w:rPr>
        <w:t>number</w:t>
      </w:r>
      <w:r w:rsidR="007604B2" w:rsidRPr="00D61662">
        <w:rPr>
          <w:sz w:val="20"/>
          <w:szCs w:val="20"/>
        </w:rPr>
        <w:t xml:space="preserve"> </w:t>
      </w:r>
      <w:r w:rsidRPr="00D61662">
        <w:rPr>
          <w:sz w:val="20"/>
          <w:szCs w:val="20"/>
        </w:rPr>
        <w:t xml:space="preserve">of applications as a result of </w:t>
      </w:r>
      <w:r w:rsidR="00C170A8" w:rsidRPr="00D61662">
        <w:rPr>
          <w:sz w:val="20"/>
          <w:szCs w:val="20"/>
        </w:rPr>
        <w:t xml:space="preserve">several engagement activities. The Fund was promoted to </w:t>
      </w:r>
      <w:r w:rsidR="00055CEC" w:rsidRPr="00D61662">
        <w:rPr>
          <w:sz w:val="20"/>
          <w:szCs w:val="20"/>
        </w:rPr>
        <w:t>eligible</w:t>
      </w:r>
      <w:r w:rsidR="00C170A8" w:rsidRPr="00D61662">
        <w:rPr>
          <w:sz w:val="20"/>
          <w:szCs w:val="20"/>
        </w:rPr>
        <w:t xml:space="preserve"> </w:t>
      </w:r>
      <w:r w:rsidR="007604B2">
        <w:rPr>
          <w:sz w:val="20"/>
          <w:szCs w:val="20"/>
        </w:rPr>
        <w:t>students</w:t>
      </w:r>
      <w:r w:rsidR="007604B2" w:rsidRPr="00D61662">
        <w:rPr>
          <w:sz w:val="20"/>
          <w:szCs w:val="20"/>
        </w:rPr>
        <w:t xml:space="preserve"> </w:t>
      </w:r>
      <w:r w:rsidR="003216AA" w:rsidRPr="00D61662">
        <w:rPr>
          <w:sz w:val="20"/>
          <w:szCs w:val="20"/>
        </w:rPr>
        <w:t>in finance classes</w:t>
      </w:r>
      <w:r w:rsidR="00C170A8" w:rsidRPr="00D61662">
        <w:rPr>
          <w:sz w:val="20"/>
          <w:szCs w:val="20"/>
        </w:rPr>
        <w:t xml:space="preserve">, </w:t>
      </w:r>
      <w:r w:rsidR="00E0185F" w:rsidRPr="00D61662">
        <w:rPr>
          <w:sz w:val="20"/>
          <w:szCs w:val="20"/>
        </w:rPr>
        <w:t xml:space="preserve">represented at the CBE welcome day and </w:t>
      </w:r>
      <w:r w:rsidR="00055CEC" w:rsidRPr="00D61662">
        <w:rPr>
          <w:sz w:val="20"/>
          <w:szCs w:val="20"/>
        </w:rPr>
        <w:t xml:space="preserve">included in </w:t>
      </w:r>
      <w:r w:rsidR="00F53D4E">
        <w:rPr>
          <w:sz w:val="20"/>
          <w:szCs w:val="20"/>
        </w:rPr>
        <w:t xml:space="preserve">a forthcoming publication by Universities Australia </w:t>
      </w:r>
      <w:r w:rsidR="007A55DC">
        <w:rPr>
          <w:sz w:val="20"/>
          <w:szCs w:val="20"/>
        </w:rPr>
        <w:t>showcasing</w:t>
      </w:r>
      <w:r w:rsidR="00F53D4E">
        <w:rPr>
          <w:sz w:val="20"/>
          <w:szCs w:val="20"/>
        </w:rPr>
        <w:t xml:space="preserve"> Work</w:t>
      </w:r>
      <w:r w:rsidR="007A55DC">
        <w:rPr>
          <w:sz w:val="20"/>
          <w:szCs w:val="20"/>
        </w:rPr>
        <w:t xml:space="preserve"> Integrated Learning activities in Australia</w:t>
      </w:r>
      <w:r w:rsidR="00055CEC" w:rsidRPr="00D61662">
        <w:rPr>
          <w:sz w:val="20"/>
          <w:szCs w:val="20"/>
        </w:rPr>
        <w:t xml:space="preserve"> as </w:t>
      </w:r>
      <w:r w:rsidR="003216AA" w:rsidRPr="00D61662">
        <w:rPr>
          <w:sz w:val="20"/>
          <w:szCs w:val="20"/>
        </w:rPr>
        <w:t>an</w:t>
      </w:r>
      <w:r w:rsidR="00055CEC" w:rsidRPr="00D61662">
        <w:rPr>
          <w:sz w:val="20"/>
          <w:szCs w:val="20"/>
        </w:rPr>
        <w:t xml:space="preserve"> excellent </w:t>
      </w:r>
      <w:r w:rsidR="003216AA" w:rsidRPr="00D61662">
        <w:rPr>
          <w:sz w:val="20"/>
          <w:szCs w:val="20"/>
        </w:rPr>
        <w:t>real-world</w:t>
      </w:r>
      <w:r w:rsidR="00055CEC" w:rsidRPr="00D61662">
        <w:rPr>
          <w:sz w:val="20"/>
          <w:szCs w:val="20"/>
        </w:rPr>
        <w:t xml:space="preserve"> learning experience. </w:t>
      </w:r>
    </w:p>
    <w:p w14:paraId="345415DB" w14:textId="05DE2D21" w:rsidR="003B3873" w:rsidRPr="00D61662" w:rsidRDefault="003B3873">
      <w:pPr>
        <w:pStyle w:val="Heading2"/>
      </w:pPr>
    </w:p>
    <w:p w14:paraId="37761192" w14:textId="478CEBED" w:rsidR="003B3873" w:rsidRPr="00D61662" w:rsidRDefault="003B3873"/>
    <w:p w14:paraId="2DA175F2" w14:textId="26369251" w:rsidR="003B3873" w:rsidRPr="00D61662" w:rsidRDefault="003B3873"/>
    <w:p w14:paraId="7683023E" w14:textId="5A6A1FD5" w:rsidR="00813981" w:rsidRPr="00D61662" w:rsidRDefault="006771EF">
      <w:pPr>
        <w:pStyle w:val="Heading2"/>
      </w:pPr>
      <w:bookmarkStart w:id="17" w:name="_Toc530654481"/>
      <w:r w:rsidRPr="00D61662">
        <w:t>SMF Team</w:t>
      </w:r>
      <w:r w:rsidR="00136215" w:rsidRPr="00D61662">
        <w:t xml:space="preserve"> Membership</w:t>
      </w:r>
      <w:bookmarkEnd w:id="17"/>
    </w:p>
    <w:p w14:paraId="54E73BBB" w14:textId="5EA5CFAC" w:rsidR="00813981" w:rsidRPr="00D61662" w:rsidRDefault="00813981">
      <w:pPr>
        <w:tabs>
          <w:tab w:val="left" w:pos="2660"/>
        </w:tabs>
        <w:spacing w:before="180" w:after="0"/>
        <w:rPr>
          <w:i/>
          <w:sz w:val="20"/>
          <w:szCs w:val="20"/>
        </w:rPr>
      </w:pPr>
      <w:r w:rsidRPr="00D61662">
        <w:rPr>
          <w:b/>
          <w:i/>
          <w:color w:val="4472C4" w:themeColor="accent1"/>
          <w:sz w:val="22"/>
          <w:szCs w:val="22"/>
        </w:rPr>
        <w:t xml:space="preserve">Members for Semester </w:t>
      </w:r>
      <w:r w:rsidR="003134B8" w:rsidRPr="00D61662">
        <w:rPr>
          <w:b/>
          <w:i/>
          <w:color w:val="4472C4" w:themeColor="accent1"/>
          <w:sz w:val="22"/>
          <w:szCs w:val="22"/>
        </w:rPr>
        <w:t>2</w:t>
      </w:r>
      <w:r w:rsidRPr="00D61662">
        <w:rPr>
          <w:b/>
          <w:i/>
          <w:color w:val="4472C4" w:themeColor="accent1"/>
          <w:sz w:val="22"/>
          <w:szCs w:val="22"/>
        </w:rPr>
        <w:t>, 2018</w:t>
      </w:r>
    </w:p>
    <w:p w14:paraId="51F79043" w14:textId="3390CBCD" w:rsidR="006771EF" w:rsidRPr="00D61662" w:rsidRDefault="006771EF">
      <w:pPr>
        <w:tabs>
          <w:tab w:val="left" w:pos="2660"/>
        </w:tabs>
        <w:spacing w:before="180" w:after="0"/>
        <w:rPr>
          <w:i/>
          <w:sz w:val="20"/>
          <w:szCs w:val="20"/>
        </w:rPr>
      </w:pPr>
      <w:r w:rsidRPr="00D61662">
        <w:rPr>
          <w:i/>
          <w:sz w:val="20"/>
          <w:szCs w:val="20"/>
        </w:rPr>
        <w:t>Chief Investment Officer</w:t>
      </w:r>
    </w:p>
    <w:p w14:paraId="216648B6" w14:textId="74F483EA" w:rsidR="006771EF" w:rsidRPr="00D61662" w:rsidRDefault="008A0989">
      <w:pPr>
        <w:tabs>
          <w:tab w:val="left" w:pos="2660"/>
        </w:tabs>
        <w:spacing w:before="0" w:after="0"/>
        <w:rPr>
          <w:sz w:val="20"/>
          <w:szCs w:val="20"/>
        </w:rPr>
      </w:pPr>
      <w:r w:rsidRPr="00D61662">
        <w:rPr>
          <w:sz w:val="20"/>
          <w:szCs w:val="20"/>
        </w:rPr>
        <w:t xml:space="preserve">Ruolin (Alex) Mai </w:t>
      </w:r>
    </w:p>
    <w:p w14:paraId="6B590539" w14:textId="77777777" w:rsidR="00D16E34" w:rsidRPr="00D61662" w:rsidRDefault="00D16E34">
      <w:pPr>
        <w:tabs>
          <w:tab w:val="left" w:pos="2660"/>
          <w:tab w:val="left" w:pos="2790"/>
        </w:tabs>
        <w:spacing w:before="180" w:after="0"/>
        <w:rPr>
          <w:i/>
          <w:sz w:val="20"/>
          <w:szCs w:val="20"/>
        </w:rPr>
      </w:pPr>
      <w:r w:rsidRPr="00D61662">
        <w:rPr>
          <w:i/>
          <w:sz w:val="20"/>
          <w:szCs w:val="20"/>
        </w:rPr>
        <w:t>Risk and Compliance Team</w:t>
      </w:r>
    </w:p>
    <w:p w14:paraId="512A437B" w14:textId="77777777" w:rsidR="00D16E34" w:rsidRPr="00D61662" w:rsidRDefault="00D16E34">
      <w:pPr>
        <w:tabs>
          <w:tab w:val="left" w:pos="2790"/>
        </w:tabs>
        <w:spacing w:before="0" w:after="0"/>
        <w:rPr>
          <w:sz w:val="20"/>
          <w:szCs w:val="20"/>
        </w:rPr>
      </w:pPr>
      <w:r w:rsidRPr="00D61662">
        <w:rPr>
          <w:sz w:val="20"/>
          <w:szCs w:val="20"/>
        </w:rPr>
        <w:t>Zhongxi Zheng</w:t>
      </w:r>
      <w:r w:rsidRPr="00D61662">
        <w:rPr>
          <w:sz w:val="20"/>
          <w:szCs w:val="20"/>
        </w:rPr>
        <w:tab/>
        <w:t>Chief Risk Officer</w:t>
      </w:r>
    </w:p>
    <w:p w14:paraId="5D6BB58D" w14:textId="77777777" w:rsidR="00D16E34" w:rsidRPr="00D61662" w:rsidRDefault="00D16E34">
      <w:pPr>
        <w:tabs>
          <w:tab w:val="left" w:pos="2790"/>
        </w:tabs>
        <w:spacing w:before="0" w:after="0"/>
        <w:rPr>
          <w:i/>
          <w:sz w:val="20"/>
          <w:szCs w:val="20"/>
        </w:rPr>
      </w:pPr>
      <w:r w:rsidRPr="00D61662">
        <w:rPr>
          <w:sz w:val="20"/>
          <w:szCs w:val="20"/>
        </w:rPr>
        <w:t>Lanyu Zhang</w:t>
      </w:r>
      <w:r w:rsidRPr="00D61662">
        <w:rPr>
          <w:sz w:val="20"/>
          <w:szCs w:val="20"/>
        </w:rPr>
        <w:tab/>
        <w:t>Compliance &amp; Reporting Manager</w:t>
      </w:r>
    </w:p>
    <w:p w14:paraId="0820C355" w14:textId="77777777" w:rsidR="00D16E34" w:rsidRPr="00D61662" w:rsidRDefault="00D16E34">
      <w:pPr>
        <w:tabs>
          <w:tab w:val="left" w:pos="2790"/>
        </w:tabs>
        <w:spacing w:before="0" w:after="0"/>
        <w:rPr>
          <w:sz w:val="20"/>
          <w:szCs w:val="20"/>
        </w:rPr>
      </w:pPr>
      <w:r w:rsidRPr="00D61662">
        <w:rPr>
          <w:sz w:val="20"/>
          <w:szCs w:val="20"/>
        </w:rPr>
        <w:t>Azmina Hossain</w:t>
      </w:r>
      <w:r w:rsidRPr="00D61662">
        <w:rPr>
          <w:sz w:val="20"/>
          <w:szCs w:val="20"/>
        </w:rPr>
        <w:tab/>
        <w:t>Analyst</w:t>
      </w:r>
    </w:p>
    <w:p w14:paraId="6BF256F0" w14:textId="77777777" w:rsidR="00D16E34" w:rsidRPr="00D61662" w:rsidRDefault="00D16E34">
      <w:pPr>
        <w:tabs>
          <w:tab w:val="left" w:pos="2790"/>
        </w:tabs>
        <w:spacing w:before="0" w:after="0"/>
        <w:rPr>
          <w:sz w:val="20"/>
          <w:szCs w:val="20"/>
        </w:rPr>
      </w:pPr>
      <w:r w:rsidRPr="00D61662">
        <w:rPr>
          <w:sz w:val="20"/>
          <w:szCs w:val="20"/>
        </w:rPr>
        <w:t>Saurav Patel</w:t>
      </w:r>
      <w:r w:rsidRPr="00D61662">
        <w:rPr>
          <w:sz w:val="20"/>
          <w:szCs w:val="20"/>
        </w:rPr>
        <w:tab/>
        <w:t>Analyst (50%)</w:t>
      </w:r>
    </w:p>
    <w:p w14:paraId="3E461C4A" w14:textId="77777777" w:rsidR="00D16E34" w:rsidRPr="00D61662" w:rsidRDefault="00D16E34">
      <w:pPr>
        <w:tabs>
          <w:tab w:val="left" w:pos="2790"/>
        </w:tabs>
        <w:spacing w:before="180" w:after="0"/>
        <w:rPr>
          <w:i/>
          <w:sz w:val="20"/>
          <w:szCs w:val="20"/>
        </w:rPr>
      </w:pPr>
      <w:r w:rsidRPr="00D61662">
        <w:rPr>
          <w:i/>
          <w:sz w:val="20"/>
          <w:szCs w:val="20"/>
        </w:rPr>
        <w:t>Asset Allocation Team</w:t>
      </w:r>
    </w:p>
    <w:p w14:paraId="22B80D97" w14:textId="77777777" w:rsidR="00D16E34" w:rsidRPr="00D61662" w:rsidRDefault="00D16E34">
      <w:pPr>
        <w:tabs>
          <w:tab w:val="left" w:pos="2790"/>
        </w:tabs>
        <w:spacing w:before="0" w:after="0"/>
        <w:rPr>
          <w:sz w:val="20"/>
          <w:szCs w:val="20"/>
        </w:rPr>
      </w:pPr>
      <w:r w:rsidRPr="00D61662">
        <w:rPr>
          <w:sz w:val="20"/>
          <w:szCs w:val="20"/>
        </w:rPr>
        <w:t>Harrison Papworth</w:t>
      </w:r>
      <w:r w:rsidRPr="00D61662">
        <w:rPr>
          <w:sz w:val="20"/>
          <w:szCs w:val="20"/>
        </w:rPr>
        <w:tab/>
        <w:t>Joint Team Leader</w:t>
      </w:r>
    </w:p>
    <w:p w14:paraId="09EE1102" w14:textId="77777777" w:rsidR="00D16E34" w:rsidRPr="00D61662" w:rsidRDefault="00D16E34">
      <w:pPr>
        <w:tabs>
          <w:tab w:val="left" w:pos="2790"/>
        </w:tabs>
        <w:spacing w:before="0" w:after="0"/>
        <w:rPr>
          <w:sz w:val="20"/>
          <w:szCs w:val="20"/>
        </w:rPr>
      </w:pPr>
      <w:r w:rsidRPr="00D61662">
        <w:rPr>
          <w:sz w:val="20"/>
          <w:szCs w:val="20"/>
        </w:rPr>
        <w:t>Victor Munagala</w:t>
      </w:r>
      <w:r w:rsidRPr="00D61662">
        <w:rPr>
          <w:sz w:val="20"/>
          <w:szCs w:val="20"/>
        </w:rPr>
        <w:tab/>
        <w:t>Joint Team Leader</w:t>
      </w:r>
    </w:p>
    <w:p w14:paraId="17C7D61E" w14:textId="77777777" w:rsidR="00297882" w:rsidRPr="00D61662" w:rsidRDefault="00297882">
      <w:pPr>
        <w:tabs>
          <w:tab w:val="left" w:pos="2790"/>
        </w:tabs>
        <w:spacing w:before="0" w:after="0"/>
        <w:rPr>
          <w:sz w:val="20"/>
          <w:szCs w:val="20"/>
        </w:rPr>
      </w:pPr>
      <w:r w:rsidRPr="00D61662">
        <w:rPr>
          <w:sz w:val="20"/>
          <w:szCs w:val="20"/>
        </w:rPr>
        <w:t>Jak Carty</w:t>
      </w:r>
      <w:r w:rsidRPr="00D61662">
        <w:rPr>
          <w:sz w:val="20"/>
          <w:szCs w:val="20"/>
        </w:rPr>
        <w:tab/>
        <w:t>Analyst</w:t>
      </w:r>
      <w:r w:rsidRPr="00D61662">
        <w:rPr>
          <w:sz w:val="20"/>
          <w:szCs w:val="20"/>
        </w:rPr>
        <w:tab/>
      </w:r>
    </w:p>
    <w:p w14:paraId="0D0F2138" w14:textId="77777777" w:rsidR="00D16E34" w:rsidRPr="00D61662" w:rsidRDefault="00D16E34">
      <w:pPr>
        <w:tabs>
          <w:tab w:val="left" w:pos="2790"/>
        </w:tabs>
        <w:spacing w:before="0" w:after="0"/>
        <w:rPr>
          <w:sz w:val="20"/>
          <w:szCs w:val="20"/>
        </w:rPr>
      </w:pPr>
      <w:r w:rsidRPr="00D61662">
        <w:rPr>
          <w:sz w:val="20"/>
          <w:szCs w:val="20"/>
        </w:rPr>
        <w:t xml:space="preserve">Hongyi (Leo) Xu </w:t>
      </w:r>
      <w:r w:rsidRPr="00D61662">
        <w:rPr>
          <w:sz w:val="20"/>
          <w:szCs w:val="20"/>
        </w:rPr>
        <w:tab/>
        <w:t>Analyst</w:t>
      </w:r>
    </w:p>
    <w:p w14:paraId="0A0A2067" w14:textId="77777777" w:rsidR="004B44FD" w:rsidRPr="00D61662" w:rsidRDefault="004B44FD">
      <w:pPr>
        <w:tabs>
          <w:tab w:val="left" w:pos="2790"/>
        </w:tabs>
        <w:spacing w:before="180" w:after="0"/>
        <w:rPr>
          <w:i/>
          <w:sz w:val="20"/>
          <w:szCs w:val="20"/>
        </w:rPr>
      </w:pPr>
      <w:r w:rsidRPr="00D61662">
        <w:rPr>
          <w:i/>
          <w:sz w:val="20"/>
          <w:szCs w:val="20"/>
        </w:rPr>
        <w:t>Active Australian Equities Team</w:t>
      </w:r>
    </w:p>
    <w:p w14:paraId="4189D361" w14:textId="77777777" w:rsidR="004B44FD" w:rsidRPr="00D61662" w:rsidRDefault="004B44FD">
      <w:pPr>
        <w:tabs>
          <w:tab w:val="left" w:pos="2790"/>
        </w:tabs>
        <w:spacing w:before="0" w:after="0"/>
        <w:rPr>
          <w:sz w:val="20"/>
          <w:szCs w:val="20"/>
        </w:rPr>
      </w:pPr>
      <w:r w:rsidRPr="00D61662">
        <w:rPr>
          <w:sz w:val="20"/>
          <w:szCs w:val="20"/>
        </w:rPr>
        <w:t xml:space="preserve">Zhan Zhang </w:t>
      </w:r>
      <w:r w:rsidRPr="00D61662">
        <w:rPr>
          <w:sz w:val="20"/>
          <w:szCs w:val="20"/>
        </w:rPr>
        <w:tab/>
        <w:t>Team Leader</w:t>
      </w:r>
    </w:p>
    <w:p w14:paraId="5F7F0069" w14:textId="77777777" w:rsidR="004B44FD" w:rsidRPr="00D61662" w:rsidRDefault="004B44FD">
      <w:pPr>
        <w:tabs>
          <w:tab w:val="left" w:pos="2790"/>
        </w:tabs>
        <w:spacing w:before="0" w:after="0"/>
        <w:rPr>
          <w:sz w:val="20"/>
          <w:szCs w:val="20"/>
        </w:rPr>
      </w:pPr>
      <w:r w:rsidRPr="00D61662">
        <w:rPr>
          <w:sz w:val="20"/>
          <w:szCs w:val="20"/>
        </w:rPr>
        <w:t>Isabella Mortimore</w:t>
      </w:r>
      <w:r w:rsidRPr="00D61662">
        <w:rPr>
          <w:sz w:val="20"/>
          <w:szCs w:val="20"/>
        </w:rPr>
        <w:tab/>
        <w:t>Portfolio Manager</w:t>
      </w:r>
    </w:p>
    <w:p w14:paraId="263FA39F" w14:textId="77777777" w:rsidR="004B44FD" w:rsidRPr="00D61662" w:rsidRDefault="004B44FD">
      <w:pPr>
        <w:tabs>
          <w:tab w:val="left" w:pos="2790"/>
        </w:tabs>
        <w:spacing w:before="0" w:after="0"/>
        <w:rPr>
          <w:sz w:val="20"/>
          <w:szCs w:val="20"/>
        </w:rPr>
      </w:pPr>
      <w:r w:rsidRPr="00D61662">
        <w:rPr>
          <w:sz w:val="20"/>
          <w:szCs w:val="20"/>
        </w:rPr>
        <w:t>Wayne Wang</w:t>
      </w:r>
      <w:r w:rsidRPr="00D61662">
        <w:rPr>
          <w:sz w:val="20"/>
          <w:szCs w:val="20"/>
        </w:rPr>
        <w:tab/>
        <w:t>Research Manager</w:t>
      </w:r>
    </w:p>
    <w:p w14:paraId="33141763" w14:textId="77777777" w:rsidR="00297882" w:rsidRPr="00D61662" w:rsidRDefault="00297882">
      <w:pPr>
        <w:tabs>
          <w:tab w:val="left" w:pos="2790"/>
        </w:tabs>
        <w:spacing w:before="0" w:after="0"/>
        <w:rPr>
          <w:sz w:val="20"/>
          <w:szCs w:val="20"/>
        </w:rPr>
      </w:pPr>
      <w:r w:rsidRPr="00D61662">
        <w:rPr>
          <w:sz w:val="20"/>
          <w:szCs w:val="20"/>
        </w:rPr>
        <w:t>Ruixin (Chasel) Chi</w:t>
      </w:r>
      <w:r w:rsidRPr="00D61662">
        <w:rPr>
          <w:sz w:val="20"/>
          <w:szCs w:val="20"/>
        </w:rPr>
        <w:tab/>
        <w:t>Analyst</w:t>
      </w:r>
    </w:p>
    <w:p w14:paraId="43BD5F05" w14:textId="77777777" w:rsidR="00297882" w:rsidRPr="00D61662" w:rsidRDefault="00297882">
      <w:pPr>
        <w:tabs>
          <w:tab w:val="left" w:pos="2790"/>
        </w:tabs>
        <w:spacing w:before="0" w:after="0"/>
        <w:rPr>
          <w:sz w:val="20"/>
          <w:szCs w:val="20"/>
        </w:rPr>
      </w:pPr>
      <w:r w:rsidRPr="00D61662">
        <w:rPr>
          <w:sz w:val="20"/>
          <w:szCs w:val="20"/>
        </w:rPr>
        <w:t>Chuxuan (Jessie) Jiang</w:t>
      </w:r>
      <w:r w:rsidRPr="00D61662">
        <w:rPr>
          <w:sz w:val="20"/>
          <w:szCs w:val="20"/>
        </w:rPr>
        <w:tab/>
        <w:t>Analyst</w:t>
      </w:r>
    </w:p>
    <w:p w14:paraId="1824BFBE" w14:textId="77777777" w:rsidR="00297882" w:rsidRPr="00D61662" w:rsidRDefault="00297882">
      <w:pPr>
        <w:tabs>
          <w:tab w:val="left" w:pos="2790"/>
        </w:tabs>
        <w:spacing w:before="0" w:after="0"/>
        <w:rPr>
          <w:sz w:val="20"/>
          <w:szCs w:val="20"/>
        </w:rPr>
      </w:pPr>
      <w:r w:rsidRPr="00D61662">
        <w:rPr>
          <w:sz w:val="20"/>
          <w:szCs w:val="20"/>
        </w:rPr>
        <w:t>Aiyun Li</w:t>
      </w:r>
      <w:r w:rsidRPr="00D61662">
        <w:rPr>
          <w:sz w:val="20"/>
          <w:szCs w:val="20"/>
        </w:rPr>
        <w:tab/>
        <w:t>Analyst</w:t>
      </w:r>
    </w:p>
    <w:p w14:paraId="00B45D7B" w14:textId="3E2DD0D2" w:rsidR="00297882" w:rsidRPr="00D61662" w:rsidRDefault="00297882">
      <w:pPr>
        <w:tabs>
          <w:tab w:val="left" w:pos="2790"/>
        </w:tabs>
        <w:spacing w:before="0" w:after="0"/>
        <w:rPr>
          <w:sz w:val="20"/>
          <w:szCs w:val="20"/>
        </w:rPr>
      </w:pPr>
      <w:r w:rsidRPr="00D61662">
        <w:rPr>
          <w:sz w:val="20"/>
          <w:szCs w:val="20"/>
        </w:rPr>
        <w:t>Jiaqi (Leon) Liu</w:t>
      </w:r>
      <w:r w:rsidRPr="00D61662">
        <w:rPr>
          <w:sz w:val="20"/>
          <w:szCs w:val="20"/>
        </w:rPr>
        <w:tab/>
        <w:t>Analyst</w:t>
      </w:r>
    </w:p>
    <w:p w14:paraId="088FA3D6" w14:textId="77777777" w:rsidR="004B44FD" w:rsidRPr="00D61662" w:rsidRDefault="004B44FD">
      <w:pPr>
        <w:tabs>
          <w:tab w:val="left" w:pos="2790"/>
        </w:tabs>
        <w:spacing w:before="0" w:after="0"/>
        <w:rPr>
          <w:sz w:val="20"/>
          <w:szCs w:val="20"/>
        </w:rPr>
      </w:pPr>
      <w:r w:rsidRPr="00D61662">
        <w:rPr>
          <w:sz w:val="20"/>
          <w:szCs w:val="20"/>
        </w:rPr>
        <w:t xml:space="preserve">Chengxuan (Charles) Zhang </w:t>
      </w:r>
      <w:r w:rsidRPr="00D61662">
        <w:rPr>
          <w:sz w:val="20"/>
          <w:szCs w:val="20"/>
        </w:rPr>
        <w:tab/>
        <w:t>Analyst</w:t>
      </w:r>
    </w:p>
    <w:p w14:paraId="434CF549" w14:textId="4D359D23" w:rsidR="004B44FD" w:rsidRPr="00D61662" w:rsidRDefault="004B44FD">
      <w:pPr>
        <w:tabs>
          <w:tab w:val="left" w:pos="2660"/>
          <w:tab w:val="left" w:pos="2790"/>
        </w:tabs>
        <w:spacing w:before="180" w:after="0"/>
        <w:rPr>
          <w:i/>
          <w:sz w:val="20"/>
          <w:szCs w:val="20"/>
        </w:rPr>
      </w:pPr>
      <w:r w:rsidRPr="00D61662">
        <w:rPr>
          <w:i/>
          <w:sz w:val="20"/>
          <w:szCs w:val="20"/>
        </w:rPr>
        <w:t xml:space="preserve">Relationship Team </w:t>
      </w:r>
    </w:p>
    <w:p w14:paraId="1CF2E06B" w14:textId="77777777" w:rsidR="00297882" w:rsidRPr="00D61662" w:rsidRDefault="00297882">
      <w:pPr>
        <w:tabs>
          <w:tab w:val="left" w:pos="2790"/>
        </w:tabs>
        <w:spacing w:before="0" w:after="0"/>
        <w:rPr>
          <w:sz w:val="20"/>
          <w:szCs w:val="20"/>
        </w:rPr>
      </w:pPr>
      <w:r w:rsidRPr="00D61662">
        <w:rPr>
          <w:sz w:val="20"/>
          <w:szCs w:val="20"/>
        </w:rPr>
        <w:t>Saurav Patel</w:t>
      </w:r>
      <w:r w:rsidRPr="00D61662">
        <w:rPr>
          <w:sz w:val="20"/>
          <w:szCs w:val="20"/>
        </w:rPr>
        <w:tab/>
        <w:t>Relationship Officer (50%)</w:t>
      </w:r>
    </w:p>
    <w:p w14:paraId="76C4BC13" w14:textId="4DF354FF" w:rsidR="004B44FD" w:rsidRPr="00D61662" w:rsidRDefault="00D16E34">
      <w:pPr>
        <w:tabs>
          <w:tab w:val="left" w:pos="2790"/>
        </w:tabs>
        <w:spacing w:before="0" w:after="0"/>
        <w:rPr>
          <w:sz w:val="20"/>
          <w:szCs w:val="20"/>
        </w:rPr>
      </w:pPr>
      <w:r w:rsidRPr="00D61662">
        <w:rPr>
          <w:sz w:val="20"/>
          <w:szCs w:val="20"/>
        </w:rPr>
        <w:t>Rory Roche</w:t>
      </w:r>
      <w:r w:rsidR="004B44FD" w:rsidRPr="00D61662">
        <w:rPr>
          <w:sz w:val="20"/>
          <w:szCs w:val="20"/>
        </w:rPr>
        <w:tab/>
      </w:r>
      <w:r w:rsidR="00607CBF" w:rsidRPr="00D61662">
        <w:rPr>
          <w:sz w:val="20"/>
          <w:szCs w:val="20"/>
        </w:rPr>
        <w:t>Relationship Officer</w:t>
      </w:r>
    </w:p>
    <w:p w14:paraId="2361E6DE" w14:textId="77777777" w:rsidR="00390CD1" w:rsidRPr="00D61662" w:rsidRDefault="00390CD1">
      <w:pPr>
        <w:tabs>
          <w:tab w:val="left" w:pos="2790"/>
        </w:tabs>
        <w:spacing w:before="0" w:after="0"/>
        <w:rPr>
          <w:sz w:val="20"/>
          <w:szCs w:val="20"/>
        </w:rPr>
      </w:pPr>
    </w:p>
    <w:p w14:paraId="766F560A" w14:textId="77777777" w:rsidR="006771EF" w:rsidRPr="00D61662" w:rsidRDefault="006771EF">
      <w:pPr>
        <w:tabs>
          <w:tab w:val="left" w:pos="2660"/>
          <w:tab w:val="left" w:pos="2790"/>
        </w:tabs>
        <w:spacing w:before="180" w:after="0"/>
        <w:rPr>
          <w:i/>
          <w:sz w:val="20"/>
          <w:szCs w:val="20"/>
        </w:rPr>
      </w:pPr>
      <w:r w:rsidRPr="00D61662">
        <w:rPr>
          <w:i/>
          <w:sz w:val="20"/>
          <w:szCs w:val="20"/>
        </w:rPr>
        <w:t>Convenors</w:t>
      </w:r>
    </w:p>
    <w:p w14:paraId="2844AEED" w14:textId="77777777" w:rsidR="006771EF" w:rsidRPr="00D61662" w:rsidRDefault="006771EF">
      <w:pPr>
        <w:tabs>
          <w:tab w:val="left" w:pos="2790"/>
        </w:tabs>
        <w:spacing w:before="0" w:after="0"/>
        <w:rPr>
          <w:sz w:val="20"/>
          <w:szCs w:val="20"/>
        </w:rPr>
      </w:pPr>
      <w:r w:rsidRPr="00D61662">
        <w:rPr>
          <w:sz w:val="20"/>
          <w:szCs w:val="20"/>
        </w:rPr>
        <w:t>Anna von Reibnitz</w:t>
      </w:r>
      <w:r w:rsidRPr="00D61662">
        <w:rPr>
          <w:sz w:val="20"/>
          <w:szCs w:val="20"/>
        </w:rPr>
        <w:tab/>
        <w:t>Course Convenor</w:t>
      </w:r>
    </w:p>
    <w:p w14:paraId="4BE247A8" w14:textId="6A2BFCDC" w:rsidR="006771EF" w:rsidRPr="00D61662" w:rsidRDefault="006771EF">
      <w:pPr>
        <w:tabs>
          <w:tab w:val="left" w:pos="2790"/>
        </w:tabs>
        <w:spacing w:before="0" w:after="0"/>
        <w:rPr>
          <w:sz w:val="20"/>
          <w:szCs w:val="20"/>
        </w:rPr>
      </w:pPr>
      <w:r w:rsidRPr="00D61662">
        <w:rPr>
          <w:sz w:val="20"/>
          <w:szCs w:val="20"/>
        </w:rPr>
        <w:t>Geoff Warren</w:t>
      </w:r>
      <w:r w:rsidRPr="00D61662">
        <w:rPr>
          <w:sz w:val="20"/>
          <w:szCs w:val="20"/>
        </w:rPr>
        <w:tab/>
        <w:t>Fund Convenor</w:t>
      </w:r>
    </w:p>
    <w:p w14:paraId="349061BC" w14:textId="77777777" w:rsidR="0094645D" w:rsidRPr="00D61662" w:rsidRDefault="0094645D">
      <w:pPr>
        <w:tabs>
          <w:tab w:val="left" w:pos="2790"/>
        </w:tabs>
        <w:spacing w:before="0" w:after="0"/>
        <w:rPr>
          <w:sz w:val="20"/>
          <w:szCs w:val="20"/>
        </w:rPr>
      </w:pPr>
    </w:p>
    <w:p w14:paraId="42E3C894" w14:textId="295ECFA1" w:rsidR="006771EF" w:rsidRPr="00D61662" w:rsidRDefault="006771EF">
      <w:pPr>
        <w:tabs>
          <w:tab w:val="left" w:pos="2410"/>
          <w:tab w:val="left" w:pos="2770"/>
        </w:tabs>
        <w:spacing w:before="240"/>
        <w:rPr>
          <w:b/>
          <w:i/>
          <w:color w:val="4472C4" w:themeColor="accent1"/>
          <w:sz w:val="22"/>
          <w:szCs w:val="22"/>
        </w:rPr>
      </w:pPr>
      <w:r w:rsidRPr="00D61662">
        <w:rPr>
          <w:b/>
          <w:i/>
          <w:color w:val="4472C4" w:themeColor="accent1"/>
          <w:sz w:val="22"/>
          <w:szCs w:val="22"/>
        </w:rPr>
        <w:t xml:space="preserve">New </w:t>
      </w:r>
      <w:r w:rsidR="00136215" w:rsidRPr="00D61662">
        <w:rPr>
          <w:b/>
          <w:i/>
          <w:color w:val="4472C4" w:themeColor="accent1"/>
          <w:sz w:val="22"/>
          <w:szCs w:val="22"/>
        </w:rPr>
        <w:t xml:space="preserve">Team </w:t>
      </w:r>
      <w:r w:rsidRPr="00D61662">
        <w:rPr>
          <w:b/>
          <w:i/>
          <w:color w:val="4472C4" w:themeColor="accent1"/>
          <w:sz w:val="22"/>
          <w:szCs w:val="22"/>
        </w:rPr>
        <w:t xml:space="preserve">Members for Semester </w:t>
      </w:r>
      <w:r w:rsidR="003134B8" w:rsidRPr="00D61662">
        <w:rPr>
          <w:b/>
          <w:i/>
          <w:color w:val="4472C4" w:themeColor="accent1"/>
          <w:sz w:val="22"/>
          <w:szCs w:val="22"/>
        </w:rPr>
        <w:t>1</w:t>
      </w:r>
      <w:r w:rsidRPr="00D61662">
        <w:rPr>
          <w:b/>
          <w:i/>
          <w:color w:val="4472C4" w:themeColor="accent1"/>
          <w:sz w:val="22"/>
          <w:szCs w:val="22"/>
        </w:rPr>
        <w:t>, 201</w:t>
      </w:r>
      <w:r w:rsidR="003134B8" w:rsidRPr="00D61662">
        <w:rPr>
          <w:b/>
          <w:i/>
          <w:color w:val="4472C4" w:themeColor="accent1"/>
          <w:sz w:val="22"/>
          <w:szCs w:val="22"/>
        </w:rPr>
        <w:t>9</w:t>
      </w:r>
    </w:p>
    <w:p w14:paraId="0CFCFC37" w14:textId="77777777" w:rsidR="0094645D" w:rsidRPr="00D61662" w:rsidRDefault="0094645D">
      <w:pPr>
        <w:tabs>
          <w:tab w:val="left" w:pos="2790"/>
        </w:tabs>
        <w:spacing w:before="0" w:after="0"/>
        <w:rPr>
          <w:sz w:val="20"/>
          <w:szCs w:val="20"/>
          <w:lang w:val="fi-FI"/>
        </w:rPr>
      </w:pPr>
      <w:r w:rsidRPr="00D61662">
        <w:rPr>
          <w:sz w:val="20"/>
          <w:szCs w:val="20"/>
        </w:rPr>
        <w:t xml:space="preserve">Sahibjeet Bains </w:t>
      </w:r>
      <w:r w:rsidRPr="00D61662">
        <w:rPr>
          <w:sz w:val="20"/>
          <w:szCs w:val="20"/>
        </w:rPr>
        <w:tab/>
        <w:t>AAE Team</w:t>
      </w:r>
    </w:p>
    <w:p w14:paraId="2EE22CCC" w14:textId="77777777" w:rsidR="00297882" w:rsidRPr="00D61662" w:rsidRDefault="00297882">
      <w:pPr>
        <w:tabs>
          <w:tab w:val="left" w:pos="2790"/>
        </w:tabs>
        <w:spacing w:before="0" w:after="0"/>
        <w:rPr>
          <w:sz w:val="20"/>
          <w:szCs w:val="20"/>
          <w:lang w:val="fi-FI"/>
        </w:rPr>
      </w:pPr>
      <w:r w:rsidRPr="00D61662">
        <w:rPr>
          <w:sz w:val="20"/>
          <w:szCs w:val="20"/>
        </w:rPr>
        <w:t>Luke Farrar</w:t>
      </w:r>
      <w:r w:rsidRPr="00D61662">
        <w:rPr>
          <w:sz w:val="20"/>
          <w:szCs w:val="20"/>
          <w:lang w:val="fi-FI"/>
        </w:rPr>
        <w:tab/>
        <w:t>AAE Team</w:t>
      </w:r>
    </w:p>
    <w:p w14:paraId="35DD6374" w14:textId="240AE2FF" w:rsidR="00297882" w:rsidRPr="00D61662" w:rsidRDefault="0094645D">
      <w:pPr>
        <w:tabs>
          <w:tab w:val="left" w:pos="2790"/>
        </w:tabs>
        <w:spacing w:before="0" w:after="0"/>
        <w:rPr>
          <w:sz w:val="20"/>
          <w:szCs w:val="20"/>
          <w:lang w:val="fi-FI"/>
        </w:rPr>
      </w:pPr>
      <w:r w:rsidRPr="00D61662">
        <w:rPr>
          <w:sz w:val="20"/>
          <w:szCs w:val="20"/>
        </w:rPr>
        <w:t>Harrison McKenzie-McHarg</w:t>
      </w:r>
      <w:r w:rsidRPr="00D61662">
        <w:rPr>
          <w:sz w:val="20"/>
          <w:szCs w:val="20"/>
          <w:lang w:val="fi-FI"/>
        </w:rPr>
        <w:tab/>
        <w:t>AAE Team</w:t>
      </w:r>
      <w:r w:rsidRPr="00D61662">
        <w:rPr>
          <w:sz w:val="20"/>
          <w:szCs w:val="20"/>
        </w:rPr>
        <w:t xml:space="preserve"> </w:t>
      </w:r>
    </w:p>
    <w:p w14:paraId="68A52245" w14:textId="77777777" w:rsidR="0094645D" w:rsidRPr="00D61662" w:rsidRDefault="0094645D">
      <w:pPr>
        <w:tabs>
          <w:tab w:val="left" w:pos="2790"/>
        </w:tabs>
        <w:spacing w:before="0" w:after="0"/>
        <w:rPr>
          <w:sz w:val="20"/>
          <w:szCs w:val="20"/>
        </w:rPr>
      </w:pPr>
      <w:r w:rsidRPr="00D61662">
        <w:rPr>
          <w:sz w:val="20"/>
          <w:szCs w:val="20"/>
        </w:rPr>
        <w:t xml:space="preserve">Khurshed Mehta </w:t>
      </w:r>
      <w:r w:rsidRPr="00D61662">
        <w:rPr>
          <w:sz w:val="20"/>
          <w:szCs w:val="20"/>
        </w:rPr>
        <w:tab/>
        <w:t>AAE Team</w:t>
      </w:r>
    </w:p>
    <w:p w14:paraId="093D2EB6" w14:textId="50B3284D" w:rsidR="00297882" w:rsidRPr="00D61662" w:rsidRDefault="0094645D">
      <w:pPr>
        <w:tabs>
          <w:tab w:val="left" w:pos="2790"/>
        </w:tabs>
        <w:spacing w:before="0" w:after="0"/>
        <w:rPr>
          <w:sz w:val="20"/>
          <w:szCs w:val="20"/>
          <w:lang w:val="fi-FI"/>
        </w:rPr>
      </w:pPr>
      <w:r w:rsidRPr="00D61662">
        <w:rPr>
          <w:sz w:val="20"/>
          <w:szCs w:val="20"/>
        </w:rPr>
        <w:t>Lachlan Phillips</w:t>
      </w:r>
      <w:r w:rsidRPr="00D61662">
        <w:rPr>
          <w:sz w:val="20"/>
          <w:szCs w:val="20"/>
          <w:lang w:val="fi-FI"/>
        </w:rPr>
        <w:tab/>
        <w:t>AAE Team</w:t>
      </w:r>
    </w:p>
    <w:p w14:paraId="3792B9B9" w14:textId="53490740" w:rsidR="006771EF" w:rsidRPr="00D61662" w:rsidRDefault="00297882">
      <w:pPr>
        <w:tabs>
          <w:tab w:val="left" w:pos="2790"/>
        </w:tabs>
        <w:spacing w:before="0" w:after="0"/>
        <w:rPr>
          <w:sz w:val="20"/>
          <w:szCs w:val="20"/>
        </w:rPr>
      </w:pPr>
      <w:r w:rsidRPr="00D61662">
        <w:rPr>
          <w:sz w:val="20"/>
          <w:szCs w:val="20"/>
        </w:rPr>
        <w:t>Jiaqi Mao</w:t>
      </w:r>
      <w:r w:rsidR="00F54FE3" w:rsidRPr="00D61662">
        <w:rPr>
          <w:sz w:val="20"/>
          <w:szCs w:val="20"/>
        </w:rPr>
        <w:tab/>
        <w:t>AA Team</w:t>
      </w:r>
    </w:p>
    <w:p w14:paraId="40F74C04" w14:textId="77777777" w:rsidR="0094645D" w:rsidRPr="00D61662" w:rsidRDefault="0094645D">
      <w:pPr>
        <w:tabs>
          <w:tab w:val="left" w:pos="2790"/>
        </w:tabs>
        <w:spacing w:before="0" w:after="0"/>
        <w:rPr>
          <w:sz w:val="20"/>
          <w:szCs w:val="20"/>
        </w:rPr>
      </w:pPr>
      <w:r w:rsidRPr="00D61662">
        <w:rPr>
          <w:sz w:val="20"/>
          <w:szCs w:val="20"/>
        </w:rPr>
        <w:t>Dalton Tham</w:t>
      </w:r>
      <w:r w:rsidRPr="00D61662">
        <w:rPr>
          <w:sz w:val="20"/>
          <w:szCs w:val="20"/>
        </w:rPr>
        <w:tab/>
        <w:t>AA Team</w:t>
      </w:r>
    </w:p>
    <w:p w14:paraId="12EBAD86" w14:textId="62488552" w:rsidR="006771EF" w:rsidRPr="00D61662" w:rsidRDefault="00297882">
      <w:pPr>
        <w:tabs>
          <w:tab w:val="left" w:pos="2790"/>
        </w:tabs>
        <w:spacing w:before="0" w:after="0"/>
        <w:rPr>
          <w:sz w:val="20"/>
          <w:szCs w:val="20"/>
        </w:rPr>
      </w:pPr>
      <w:r w:rsidRPr="00D61662">
        <w:rPr>
          <w:sz w:val="20"/>
          <w:szCs w:val="20"/>
        </w:rPr>
        <w:t>Alaina Warwick</w:t>
      </w:r>
      <w:r w:rsidR="00F54FE3" w:rsidRPr="00D61662">
        <w:rPr>
          <w:sz w:val="20"/>
          <w:szCs w:val="20"/>
        </w:rPr>
        <w:tab/>
        <w:t>AA Team</w:t>
      </w:r>
    </w:p>
    <w:p w14:paraId="766CB3CF" w14:textId="76B69ED1" w:rsidR="006771EF" w:rsidRPr="00D61662" w:rsidRDefault="00297882">
      <w:pPr>
        <w:tabs>
          <w:tab w:val="left" w:pos="2790"/>
        </w:tabs>
        <w:spacing w:before="0" w:after="0"/>
        <w:rPr>
          <w:sz w:val="20"/>
          <w:szCs w:val="20"/>
        </w:rPr>
      </w:pPr>
      <w:r w:rsidRPr="00D61662">
        <w:rPr>
          <w:sz w:val="20"/>
          <w:szCs w:val="20"/>
        </w:rPr>
        <w:t>Chaoqi Lin</w:t>
      </w:r>
      <w:r w:rsidR="00F54FE3" w:rsidRPr="00D61662">
        <w:rPr>
          <w:sz w:val="20"/>
          <w:szCs w:val="20"/>
        </w:rPr>
        <w:tab/>
        <w:t>R&amp;C Team</w:t>
      </w:r>
    </w:p>
    <w:p w14:paraId="5D92DD20" w14:textId="57CF095A" w:rsidR="006771EF" w:rsidRPr="00D61662" w:rsidRDefault="00297882">
      <w:pPr>
        <w:tabs>
          <w:tab w:val="left" w:pos="2790"/>
        </w:tabs>
        <w:spacing w:before="0" w:after="0"/>
        <w:rPr>
          <w:sz w:val="20"/>
          <w:szCs w:val="20"/>
        </w:rPr>
      </w:pPr>
      <w:r w:rsidRPr="00D61662">
        <w:rPr>
          <w:sz w:val="20"/>
          <w:szCs w:val="20"/>
        </w:rPr>
        <w:t>Alisha Nath</w:t>
      </w:r>
      <w:r w:rsidR="00F54FE3" w:rsidRPr="00D61662">
        <w:rPr>
          <w:sz w:val="20"/>
          <w:szCs w:val="20"/>
        </w:rPr>
        <w:tab/>
        <w:t>Relationship and R&amp;C Teams</w:t>
      </w:r>
    </w:p>
    <w:p w14:paraId="6639EB04" w14:textId="4F6D7076" w:rsidR="006771EF" w:rsidRPr="00D61662" w:rsidRDefault="00297882">
      <w:pPr>
        <w:tabs>
          <w:tab w:val="left" w:pos="2790"/>
        </w:tabs>
        <w:spacing w:before="0" w:after="0"/>
        <w:rPr>
          <w:sz w:val="20"/>
          <w:szCs w:val="20"/>
        </w:rPr>
      </w:pPr>
      <w:r w:rsidRPr="00D61662">
        <w:rPr>
          <w:sz w:val="20"/>
          <w:szCs w:val="20"/>
        </w:rPr>
        <w:t>Sophie Lebang</w:t>
      </w:r>
      <w:r w:rsidR="00F54FE3" w:rsidRPr="00D61662">
        <w:rPr>
          <w:sz w:val="20"/>
          <w:szCs w:val="20"/>
        </w:rPr>
        <w:tab/>
        <w:t>Relationship Team</w:t>
      </w:r>
    </w:p>
    <w:p w14:paraId="6E96CFA8" w14:textId="77777777" w:rsidR="006771EF" w:rsidRPr="00D61662" w:rsidRDefault="006771EF">
      <w:pPr>
        <w:tabs>
          <w:tab w:val="left" w:pos="2790"/>
        </w:tabs>
        <w:spacing w:before="240"/>
        <w:rPr>
          <w:b/>
          <w:sz w:val="20"/>
          <w:szCs w:val="20"/>
        </w:rPr>
      </w:pPr>
    </w:p>
    <w:p w14:paraId="4EAFC9D0" w14:textId="77777777" w:rsidR="00340B6E" w:rsidRDefault="00340B6E">
      <w:pPr>
        <w:rPr>
          <w:sz w:val="20"/>
          <w:szCs w:val="20"/>
        </w:rPr>
      </w:pPr>
    </w:p>
    <w:p w14:paraId="211F0E0F" w14:textId="77777777" w:rsidR="00340B6E" w:rsidRDefault="00340B6E">
      <w:pPr>
        <w:rPr>
          <w:sz w:val="20"/>
          <w:szCs w:val="20"/>
        </w:rPr>
      </w:pPr>
    </w:p>
    <w:p w14:paraId="09C64C50" w14:textId="77777777" w:rsidR="00340B6E" w:rsidRDefault="00340B6E">
      <w:pPr>
        <w:rPr>
          <w:sz w:val="20"/>
          <w:szCs w:val="20"/>
        </w:rPr>
      </w:pPr>
    </w:p>
    <w:p w14:paraId="66D2DB9A" w14:textId="6526F393" w:rsidR="00340B6E" w:rsidRDefault="00340B6E">
      <w:pPr>
        <w:rPr>
          <w:sz w:val="20"/>
          <w:szCs w:val="20"/>
        </w:rPr>
      </w:pPr>
    </w:p>
    <w:p w14:paraId="1A048CC9" w14:textId="7395302E" w:rsidR="00340B6E" w:rsidRDefault="00340B6E">
      <w:pPr>
        <w:rPr>
          <w:sz w:val="20"/>
          <w:szCs w:val="20"/>
        </w:rPr>
      </w:pPr>
    </w:p>
    <w:p w14:paraId="163D3C78" w14:textId="77777777" w:rsidR="00340B6E" w:rsidRDefault="00340B6E">
      <w:pPr>
        <w:rPr>
          <w:sz w:val="20"/>
          <w:szCs w:val="20"/>
        </w:rPr>
      </w:pPr>
    </w:p>
    <w:p w14:paraId="74863C93" w14:textId="77777777" w:rsidR="00340B6E" w:rsidRDefault="00340B6E">
      <w:pPr>
        <w:rPr>
          <w:sz w:val="20"/>
          <w:szCs w:val="20"/>
        </w:rPr>
      </w:pPr>
    </w:p>
    <w:p w14:paraId="06AF8671" w14:textId="77777777" w:rsidR="00340B6E" w:rsidRDefault="00340B6E">
      <w:pPr>
        <w:rPr>
          <w:sz w:val="20"/>
          <w:szCs w:val="20"/>
        </w:rPr>
      </w:pPr>
    </w:p>
    <w:p w14:paraId="2833D94C" w14:textId="6F8529E6" w:rsidR="00340B6E" w:rsidRDefault="00340B6E">
      <w:pPr>
        <w:rPr>
          <w:sz w:val="20"/>
          <w:szCs w:val="20"/>
        </w:rPr>
      </w:pPr>
    </w:p>
    <w:p w14:paraId="62A54DFF" w14:textId="5298B760" w:rsidR="00340B6E" w:rsidRDefault="00340B6E">
      <w:pPr>
        <w:rPr>
          <w:sz w:val="20"/>
          <w:szCs w:val="20"/>
        </w:rPr>
      </w:pPr>
    </w:p>
    <w:p w14:paraId="47BFBB8A" w14:textId="218A6990" w:rsidR="00340B6E" w:rsidRDefault="00340B6E">
      <w:pPr>
        <w:rPr>
          <w:sz w:val="20"/>
          <w:szCs w:val="20"/>
        </w:rPr>
      </w:pPr>
    </w:p>
    <w:p w14:paraId="56007747" w14:textId="6AECC0F2" w:rsidR="00340B6E" w:rsidRDefault="00340B6E">
      <w:pPr>
        <w:rPr>
          <w:sz w:val="20"/>
          <w:szCs w:val="20"/>
        </w:rPr>
      </w:pPr>
    </w:p>
    <w:p w14:paraId="17B3022C" w14:textId="77777777" w:rsidR="00340B6E" w:rsidRDefault="00340B6E">
      <w:pPr>
        <w:rPr>
          <w:sz w:val="20"/>
          <w:szCs w:val="20"/>
        </w:rPr>
      </w:pPr>
    </w:p>
    <w:p w14:paraId="4955096D" w14:textId="77777777" w:rsidR="00340B6E" w:rsidRDefault="00340B6E">
      <w:pPr>
        <w:rPr>
          <w:sz w:val="20"/>
          <w:szCs w:val="20"/>
        </w:rPr>
      </w:pPr>
    </w:p>
    <w:p w14:paraId="5BA4E3A9" w14:textId="77777777" w:rsidR="00340B6E" w:rsidRDefault="00340B6E">
      <w:pPr>
        <w:rPr>
          <w:sz w:val="20"/>
          <w:szCs w:val="20"/>
        </w:rPr>
      </w:pPr>
    </w:p>
    <w:p w14:paraId="31F1297A" w14:textId="77777777" w:rsidR="00340B6E" w:rsidRDefault="00340B6E">
      <w:pPr>
        <w:rPr>
          <w:sz w:val="20"/>
          <w:szCs w:val="20"/>
        </w:rPr>
      </w:pPr>
    </w:p>
    <w:p w14:paraId="69944987" w14:textId="77777777" w:rsidR="00340B6E" w:rsidRDefault="00340B6E">
      <w:pPr>
        <w:rPr>
          <w:sz w:val="20"/>
          <w:szCs w:val="20"/>
        </w:rPr>
      </w:pPr>
    </w:p>
    <w:p w14:paraId="6AF19C94" w14:textId="3C52BF2A" w:rsidR="00106FB4" w:rsidRPr="00D61662" w:rsidRDefault="007D766D">
      <w:pPr>
        <w:rPr>
          <w:sz w:val="20"/>
          <w:szCs w:val="20"/>
        </w:rPr>
      </w:pPr>
      <w:r w:rsidRPr="00D61662">
        <w:rPr>
          <w:noProof/>
          <w:sz w:val="20"/>
          <w:szCs w:val="20"/>
          <w:lang w:eastAsia="en-AU"/>
        </w:rPr>
        <mc:AlternateContent>
          <mc:Choice Requires="wps">
            <w:drawing>
              <wp:anchor distT="45720" distB="45720" distL="114300" distR="114300" simplePos="0" relativeHeight="251679744" behindDoc="0" locked="0" layoutInCell="1" allowOverlap="1" wp14:anchorId="44C2D69B" wp14:editId="4D7C9450">
                <wp:simplePos x="0" y="0"/>
                <wp:positionH relativeFrom="margin">
                  <wp:posOffset>-170634</wp:posOffset>
                </wp:positionH>
                <wp:positionV relativeFrom="margin">
                  <wp:align>bottom</wp:align>
                </wp:positionV>
                <wp:extent cx="6105525" cy="173799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737995"/>
                        </a:xfrm>
                        <a:prstGeom prst="rect">
                          <a:avLst/>
                        </a:prstGeom>
                        <a:solidFill>
                          <a:srgbClr val="FFFFFF"/>
                        </a:solidFill>
                        <a:ln w="9525">
                          <a:noFill/>
                          <a:miter lim="800000"/>
                          <a:headEnd/>
                          <a:tailEnd/>
                        </a:ln>
                      </wps:spPr>
                      <wps:txbx>
                        <w:txbxContent>
                          <w:p w14:paraId="786DA7CA" w14:textId="77777777" w:rsidR="002E2767" w:rsidRPr="00BF3830" w:rsidRDefault="002E2767" w:rsidP="00DB286A">
                            <w:pPr>
                              <w:spacing w:before="0" w:after="0"/>
                              <w:rPr>
                                <w:sz w:val="22"/>
                                <w:szCs w:val="22"/>
                              </w:rPr>
                            </w:pPr>
                            <w:r w:rsidRPr="00BF3830">
                              <w:rPr>
                                <w:sz w:val="22"/>
                                <w:szCs w:val="22"/>
                              </w:rPr>
                              <w:t>ANU SMF / RSFAS / College of Business and Economics</w:t>
                            </w:r>
                          </w:p>
                          <w:p w14:paraId="21CAD59D" w14:textId="44AF490A" w:rsidR="002E2767" w:rsidRPr="00BF3830" w:rsidRDefault="002E2767" w:rsidP="00DB286A">
                            <w:pPr>
                              <w:spacing w:before="0" w:after="0"/>
                              <w:rPr>
                                <w:sz w:val="22"/>
                                <w:szCs w:val="22"/>
                              </w:rPr>
                            </w:pPr>
                            <w:r w:rsidRPr="00BF3830">
                              <w:rPr>
                                <w:sz w:val="22"/>
                                <w:szCs w:val="22"/>
                              </w:rPr>
                              <w:t>+61 2 6125 4626</w:t>
                            </w:r>
                          </w:p>
                          <w:p w14:paraId="7D71AACB" w14:textId="7C958B5E" w:rsidR="002E2767" w:rsidRPr="00BF3830" w:rsidRDefault="002E2767" w:rsidP="00DB286A">
                            <w:pPr>
                              <w:spacing w:before="240" w:after="240"/>
                              <w:rPr>
                                <w:sz w:val="22"/>
                                <w:szCs w:val="22"/>
                              </w:rPr>
                            </w:pPr>
                            <w:r w:rsidRPr="00BF3830">
                              <w:rPr>
                                <w:sz w:val="22"/>
                                <w:szCs w:val="22"/>
                              </w:rPr>
                              <w:t>SMF email: smf.rsfas@anu.edu.au</w:t>
                            </w:r>
                          </w:p>
                          <w:p w14:paraId="29B0BF93" w14:textId="77777777" w:rsidR="002E2767" w:rsidRPr="00BF3830" w:rsidRDefault="002E2767" w:rsidP="00DB286A">
                            <w:pPr>
                              <w:spacing w:before="0" w:after="0"/>
                              <w:rPr>
                                <w:sz w:val="22"/>
                                <w:szCs w:val="22"/>
                              </w:rPr>
                            </w:pPr>
                            <w:r w:rsidRPr="00BF3830">
                              <w:rPr>
                                <w:sz w:val="22"/>
                                <w:szCs w:val="22"/>
                              </w:rPr>
                              <w:t>The Australian National University</w:t>
                            </w:r>
                          </w:p>
                          <w:p w14:paraId="7CB24643" w14:textId="77777777" w:rsidR="002E2767" w:rsidRPr="00BF3830" w:rsidRDefault="002E2767" w:rsidP="00DB286A">
                            <w:pPr>
                              <w:spacing w:before="0" w:after="0"/>
                              <w:rPr>
                                <w:sz w:val="22"/>
                                <w:szCs w:val="22"/>
                              </w:rPr>
                            </w:pPr>
                            <w:r w:rsidRPr="00BF3830">
                              <w:rPr>
                                <w:sz w:val="22"/>
                                <w:szCs w:val="22"/>
                              </w:rPr>
                              <w:t>Canberra ACT 2601 Australia</w:t>
                            </w:r>
                          </w:p>
                          <w:p w14:paraId="5E3E6CB4" w14:textId="77777777" w:rsidR="002E2767" w:rsidRPr="00BF3830" w:rsidRDefault="003919D8" w:rsidP="00DB286A">
                            <w:pPr>
                              <w:spacing w:before="0" w:after="0"/>
                              <w:rPr>
                                <w:b/>
                                <w:bCs/>
                                <w:sz w:val="22"/>
                                <w:szCs w:val="22"/>
                              </w:rPr>
                            </w:pPr>
                            <w:hyperlink r:id="rId12" w:history="1">
                              <w:r w:rsidR="002E2767" w:rsidRPr="00BF3830">
                                <w:rPr>
                                  <w:rStyle w:val="Hyperlink"/>
                                  <w:b/>
                                  <w:bCs/>
                                  <w:sz w:val="22"/>
                                  <w:szCs w:val="22"/>
                                  <w:u w:val="none"/>
                                </w:rPr>
                                <w:t>www.anu.edu.au</w:t>
                              </w:r>
                            </w:hyperlink>
                          </w:p>
                          <w:p w14:paraId="0B225629" w14:textId="77777777" w:rsidR="002E2767" w:rsidRPr="00BF3830" w:rsidRDefault="002E2767" w:rsidP="00E354A7">
                            <w:pPr>
                              <w:rPr>
                                <w:sz w:val="22"/>
                                <w:szCs w:val="22"/>
                              </w:rPr>
                            </w:pPr>
                            <w:r w:rsidRPr="00BF3830">
                              <w:rPr>
                                <w:sz w:val="22"/>
                                <w:szCs w:val="22"/>
                              </w:rPr>
                              <w:t>CRICOS Provider No. 00120C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4C2D69B" id="_x0000_t202" coordsize="21600,21600" o:spt="202" path="m,l,21600r21600,l21600,xe">
                <v:stroke joinstyle="miter"/>
                <v:path gradientshapeok="t" o:connecttype="rect"/>
              </v:shapetype>
              <v:shape id="Text Box 2" o:spid="_x0000_s1026" type="#_x0000_t202" style="position:absolute;left:0;text-align:left;margin-left:-13.45pt;margin-top:0;width:480.75pt;height:136.85pt;z-index:251679744;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" stroked="f">
                <v:textbox style="mso-fit-shape-to-text:t">
                  <w:txbxContent>
                    <w:p w14:paraId="786DA7CA" w14:textId="77777777" w:rsidR="002E2767" w:rsidRPr="00BF3830" w:rsidRDefault="002E2767" w:rsidP="00DB286A">
                      <w:pPr>
                        <w:spacing w:before="0" w:after="0"/>
                        <w:rPr>
                          <w:sz w:val="22"/>
                          <w:szCs w:val="22"/>
                        </w:rPr>
                      </w:pPr>
                      <w:r w:rsidRPr="00BF3830">
                        <w:rPr>
                          <w:sz w:val="22"/>
                          <w:szCs w:val="22"/>
                        </w:rPr>
                        <w:t>ANU SMF / RSFAS / College of Business and Economics</w:t>
                      </w:r>
                    </w:p>
                    <w:p w14:paraId="21CAD59D" w14:textId="44AF490A" w:rsidR="002E2767" w:rsidRPr="00BF3830" w:rsidRDefault="002E2767" w:rsidP="00DB286A">
                      <w:pPr>
                        <w:spacing w:before="0" w:after="0"/>
                        <w:rPr>
                          <w:sz w:val="22"/>
                          <w:szCs w:val="22"/>
                        </w:rPr>
                      </w:pPr>
                      <w:r w:rsidRPr="00BF3830">
                        <w:rPr>
                          <w:sz w:val="22"/>
                          <w:szCs w:val="22"/>
                        </w:rPr>
                        <w:t>+61 2 6125 4626</w:t>
                      </w:r>
                    </w:p>
                    <w:p w14:paraId="7D71AACB" w14:textId="7C958B5E" w:rsidR="002E2767" w:rsidRPr="00BF3830" w:rsidRDefault="002E2767" w:rsidP="00DB286A">
                      <w:pPr>
                        <w:spacing w:before="240" w:after="240"/>
                        <w:rPr>
                          <w:sz w:val="22"/>
                          <w:szCs w:val="22"/>
                        </w:rPr>
                      </w:pPr>
                      <w:r w:rsidRPr="00BF3830">
                        <w:rPr>
                          <w:sz w:val="22"/>
                          <w:szCs w:val="22"/>
                        </w:rPr>
                        <w:t>SMF email: smf.rsfas@anu.edu.au</w:t>
                      </w:r>
                    </w:p>
                    <w:p w14:paraId="29B0BF93" w14:textId="77777777" w:rsidR="002E2767" w:rsidRPr="00BF3830" w:rsidRDefault="002E2767" w:rsidP="00DB286A">
                      <w:pPr>
                        <w:spacing w:before="0" w:after="0"/>
                        <w:rPr>
                          <w:sz w:val="22"/>
                          <w:szCs w:val="22"/>
                        </w:rPr>
                      </w:pPr>
                      <w:r w:rsidRPr="00BF3830">
                        <w:rPr>
                          <w:sz w:val="22"/>
                          <w:szCs w:val="22"/>
                        </w:rPr>
                        <w:t>The Australian National University</w:t>
                      </w:r>
                    </w:p>
                    <w:p w14:paraId="7CB24643" w14:textId="77777777" w:rsidR="002E2767" w:rsidRPr="00BF3830" w:rsidRDefault="002E2767" w:rsidP="00DB286A">
                      <w:pPr>
                        <w:spacing w:before="0" w:after="0"/>
                        <w:rPr>
                          <w:sz w:val="22"/>
                          <w:szCs w:val="22"/>
                        </w:rPr>
                      </w:pPr>
                      <w:r w:rsidRPr="00BF3830">
                        <w:rPr>
                          <w:sz w:val="22"/>
                          <w:szCs w:val="22"/>
                        </w:rPr>
                        <w:t>Canberra ACT 2601 Australia</w:t>
                      </w:r>
                    </w:p>
                    <w:p w14:paraId="5E3E6CB4" w14:textId="77777777" w:rsidR="002E2767" w:rsidRPr="00BF3830" w:rsidRDefault="00800D83" w:rsidP="00DB286A">
                      <w:pPr>
                        <w:spacing w:before="0" w:after="0"/>
                        <w:rPr>
                          <w:b/>
                          <w:bCs/>
                          <w:sz w:val="22"/>
                          <w:szCs w:val="22"/>
                        </w:rPr>
                      </w:pPr>
                      <w:hyperlink r:id="rId13" w:history="1">
                        <w:r w:rsidR="002E2767" w:rsidRPr="00BF3830">
                          <w:rPr>
                            <w:rStyle w:val="Hyperlink"/>
                            <w:b/>
                            <w:bCs/>
                            <w:sz w:val="22"/>
                            <w:szCs w:val="22"/>
                            <w:u w:val="none"/>
                          </w:rPr>
                          <w:t>www.anu.edu.au</w:t>
                        </w:r>
                      </w:hyperlink>
                    </w:p>
                    <w:p w14:paraId="0B225629" w14:textId="77777777" w:rsidR="002E2767" w:rsidRPr="00BF3830" w:rsidRDefault="002E2767" w:rsidP="00E354A7">
                      <w:pPr>
                        <w:rPr>
                          <w:sz w:val="22"/>
                          <w:szCs w:val="22"/>
                        </w:rPr>
                      </w:pPr>
                      <w:r w:rsidRPr="00BF3830">
                        <w:rPr>
                          <w:sz w:val="22"/>
                          <w:szCs w:val="22"/>
                        </w:rPr>
                        <w:t>CRICOS Provider No. 00120C</w:t>
                      </w:r>
                    </w:p>
                  </w:txbxContent>
                </v:textbox>
                <w10:wrap type="square" anchorx="margin" anchory="margin"/>
              </v:shape>
            </w:pict>
          </mc:Fallback>
        </mc:AlternateContent>
      </w:r>
    </w:p>
    <w:sectPr w:rsidR="00106FB4" w:rsidRPr="00D61662" w:rsidSect="007D766D">
      <w:headerReference w:type="default" r:id="rId14"/>
      <w:footerReference w:type="default" r:id="rId15"/>
      <w:pgSz w:w="11906" w:h="16838" w:code="9"/>
      <w:pgMar w:top="1152" w:right="1152" w:bottom="1152" w:left="1152" w:header="432"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9E179" w14:textId="77777777" w:rsidR="003919D8" w:rsidRDefault="003919D8" w:rsidP="003C2B26">
      <w:r>
        <w:separator/>
      </w:r>
    </w:p>
  </w:endnote>
  <w:endnote w:type="continuationSeparator" w:id="0">
    <w:p w14:paraId="1AB705D1" w14:textId="77777777" w:rsidR="003919D8" w:rsidRDefault="003919D8" w:rsidP="003C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F9EF4" w14:textId="0AF149BA" w:rsidR="002E2767" w:rsidRDefault="002E2767" w:rsidP="00BF3830">
    <w:pPr>
      <w:pStyle w:val="Footer"/>
      <w:tabs>
        <w:tab w:val="left" w:pos="8910"/>
      </w:tabs>
      <w:jc w:val="left"/>
    </w:pPr>
    <w:r>
      <w:t xml:space="preserve">ANU SMF: Report for End of Semester 2, 2018  </w:t>
    </w:r>
    <w:r>
      <w:tab/>
      <w:t xml:space="preserve">Page </w:t>
    </w:r>
    <w:sdt>
      <w:sdtPr>
        <w:id w:val="-7749367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82E30">
          <w:rPr>
            <w:noProof/>
          </w:rPr>
          <w:t>1</w:t>
        </w:r>
        <w:r>
          <w:rPr>
            <w:noProof/>
          </w:rPr>
          <w:fldChar w:fldCharType="end"/>
        </w:r>
      </w:sdtContent>
    </w:sdt>
  </w:p>
  <w:p w14:paraId="0018FCD9" w14:textId="240A81BB" w:rsidR="002E2767" w:rsidRPr="00063CBE" w:rsidRDefault="002E2767" w:rsidP="00BF3830">
    <w:pPr>
      <w:pStyle w:val="Footer"/>
      <w:tabs>
        <w:tab w:val="left" w:pos="837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CD5B3" w14:textId="77777777" w:rsidR="003919D8" w:rsidRDefault="003919D8" w:rsidP="003C2B26">
      <w:r>
        <w:separator/>
      </w:r>
    </w:p>
  </w:footnote>
  <w:footnote w:type="continuationSeparator" w:id="0">
    <w:p w14:paraId="367017CD" w14:textId="77777777" w:rsidR="003919D8" w:rsidRDefault="003919D8" w:rsidP="003C2B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512D7" w14:textId="6C74804C" w:rsidR="002E2767" w:rsidRDefault="002E2767" w:rsidP="00380F71">
    <w:pPr>
      <w:pStyle w:val="Header"/>
      <w:tabs>
        <w:tab w:val="left" w:pos="360"/>
      </w:tabs>
      <w:spacing w:after="360"/>
      <w:jc w:val="left"/>
    </w:pPr>
    <w:r>
      <w:rPr>
        <w:noProof/>
        <w:lang w:eastAsia="en-AU"/>
      </w:rPr>
      <w:drawing>
        <wp:inline distT="0" distB="0" distL="0" distR="0" wp14:anchorId="2C0BE26B" wp14:editId="103E4310">
          <wp:extent cx="1658883" cy="576943"/>
          <wp:effectExtent l="0" t="0" r="0" b="0"/>
          <wp:docPr id="17" name="Picture 17" title="The Australian National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3829" cy="5786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8CE15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B3790"/>
    <w:multiLevelType w:val="hybridMultilevel"/>
    <w:tmpl w:val="A10851C0"/>
    <w:lvl w:ilvl="0" w:tplc="CAA22E10">
      <w:start w:val="4"/>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6D2607"/>
    <w:multiLevelType w:val="multilevel"/>
    <w:tmpl w:val="1FBCE51A"/>
    <w:numStyleLink w:val="BulletPoints"/>
  </w:abstractNum>
  <w:abstractNum w:abstractNumId="3" w15:restartNumberingAfterBreak="0">
    <w:nsid w:val="06FA62CD"/>
    <w:multiLevelType w:val="hybridMultilevel"/>
    <w:tmpl w:val="F2B6EAFC"/>
    <w:lvl w:ilvl="0" w:tplc="0C090001">
      <w:start w:val="1"/>
      <w:numFmt w:val="bullet"/>
      <w:lvlText w:val=""/>
      <w:lvlJc w:val="left"/>
      <w:pPr>
        <w:ind w:left="720" w:hanging="360"/>
      </w:pPr>
      <w:rPr>
        <w:rFonts w:ascii="Symbol" w:hAnsi="Symbol" w:hint="default"/>
      </w:rPr>
    </w:lvl>
    <w:lvl w:ilvl="1" w:tplc="F188B042">
      <w:start w:val="1"/>
      <w:numFmt w:val="bullet"/>
      <w:lvlText w:val="­"/>
      <w:lvlJc w:val="left"/>
      <w:pPr>
        <w:ind w:left="9810" w:hanging="360"/>
      </w:pPr>
      <w:rPr>
        <w:rFonts w:ascii="Times New Roman" w:hAnsi="Times New Roman" w:cs="Times New Roman" w:hint="default"/>
        <w:color w:val="000000" w:themeColor="text1"/>
      </w:rPr>
    </w:lvl>
    <w:lvl w:ilvl="2" w:tplc="0C090005">
      <w:start w:val="1"/>
      <w:numFmt w:val="bullet"/>
      <w:lvlText w:val=""/>
      <w:lvlJc w:val="left"/>
      <w:pPr>
        <w:ind w:left="2160" w:hanging="360"/>
      </w:pPr>
      <w:rPr>
        <w:rFonts w:ascii="Wingdings" w:hAnsi="Wingdings" w:hint="default"/>
      </w:rPr>
    </w:lvl>
    <w:lvl w:ilvl="3" w:tplc="F188B042">
      <w:start w:val="1"/>
      <w:numFmt w:val="bullet"/>
      <w:lvlText w:val="­"/>
      <w:lvlJc w:val="left"/>
      <w:pPr>
        <w:ind w:left="2880" w:hanging="360"/>
      </w:pPr>
      <w:rPr>
        <w:rFonts w:ascii="Times New Roman" w:hAnsi="Times New Roman" w:cs="Times New Roman" w:hint="default"/>
        <w:color w:val="000000" w:themeColor="text1"/>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4A51C4"/>
    <w:multiLevelType w:val="multilevel"/>
    <w:tmpl w:val="0C09001D"/>
    <w:numStyleLink w:val="Style1"/>
  </w:abstractNum>
  <w:abstractNum w:abstractNumId="5" w15:restartNumberingAfterBreak="0">
    <w:nsid w:val="08624FB3"/>
    <w:multiLevelType w:val="hybridMultilevel"/>
    <w:tmpl w:val="9EFA44AE"/>
    <w:lvl w:ilvl="0" w:tplc="8062C9D2">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D531E5"/>
    <w:multiLevelType w:val="hybridMultilevel"/>
    <w:tmpl w:val="B70A7D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D3D5F1B"/>
    <w:multiLevelType w:val="multilevel"/>
    <w:tmpl w:val="1FBCE51A"/>
    <w:numStyleLink w:val="BulletPoints"/>
  </w:abstractNum>
  <w:abstractNum w:abstractNumId="8" w15:restartNumberingAfterBreak="0">
    <w:nsid w:val="1E491ECB"/>
    <w:multiLevelType w:val="multilevel"/>
    <w:tmpl w:val="1FBCE51A"/>
    <w:numStyleLink w:val="BulletPoints"/>
  </w:abstractNum>
  <w:abstractNum w:abstractNumId="9" w15:restartNumberingAfterBreak="0">
    <w:nsid w:val="1F9B2E52"/>
    <w:multiLevelType w:val="hybridMultilevel"/>
    <w:tmpl w:val="5BC402B2"/>
    <w:lvl w:ilvl="0" w:tplc="CF28BE3A">
      <w:start w:val="1"/>
      <w:numFmt w:val="bullet"/>
      <w:pStyle w:val="2ndIndentation"/>
      <w:lvlText w:val="­"/>
      <w:lvlJc w:val="left"/>
      <w:pPr>
        <w:ind w:left="1440" w:hanging="360"/>
      </w:pPr>
      <w:rPr>
        <w:rFonts w:ascii="Times New Roman" w:hAnsi="Times New Roman" w:cs="Times New Roman"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5625ED1"/>
    <w:multiLevelType w:val="multilevel"/>
    <w:tmpl w:val="1FBCE51A"/>
    <w:numStyleLink w:val="BulletPoints"/>
  </w:abstractNum>
  <w:abstractNum w:abstractNumId="11" w15:restartNumberingAfterBreak="0">
    <w:nsid w:val="2A361607"/>
    <w:multiLevelType w:val="hybridMultilevel"/>
    <w:tmpl w:val="8910BE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781E85"/>
    <w:multiLevelType w:val="hybridMultilevel"/>
    <w:tmpl w:val="C30E998E"/>
    <w:lvl w:ilvl="0" w:tplc="AF746DC0">
      <w:start w:val="1"/>
      <w:numFmt w:val="bullet"/>
      <w:lvlText w:val=""/>
      <w:lvlJc w:val="left"/>
      <w:pPr>
        <w:ind w:left="720" w:hanging="360"/>
      </w:pPr>
      <w:rPr>
        <w:rFonts w:ascii="Symbol" w:hAnsi="Symbol" w:hint="default"/>
        <w:color w:val="4472C4" w:themeColor="accent1"/>
      </w:rPr>
    </w:lvl>
    <w:lvl w:ilvl="1" w:tplc="67EADF1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C73F6F"/>
    <w:multiLevelType w:val="hybridMultilevel"/>
    <w:tmpl w:val="839C78AE"/>
    <w:lvl w:ilvl="0" w:tplc="08090003">
      <w:start w:val="1"/>
      <w:numFmt w:val="bullet"/>
      <w:lvlText w:val="o"/>
      <w:lvlJc w:val="left"/>
      <w:pPr>
        <w:ind w:left="778" w:hanging="360"/>
      </w:pPr>
      <w:rPr>
        <w:rFonts w:ascii="Courier New" w:hAnsi="Courier New" w:cs="Courier New" w:hint="default"/>
      </w:rPr>
    </w:lvl>
    <w:lvl w:ilvl="1" w:tplc="08090003">
      <w:start w:val="1"/>
      <w:numFmt w:val="bullet"/>
      <w:lvlText w:val="o"/>
      <w:lvlJc w:val="left"/>
      <w:pPr>
        <w:ind w:left="1498" w:hanging="360"/>
      </w:pPr>
      <w:rPr>
        <w:rFonts w:ascii="Courier New" w:hAnsi="Courier New" w:cs="Courier New" w:hint="default"/>
      </w:rPr>
    </w:lvl>
    <w:lvl w:ilvl="2" w:tplc="08090005">
      <w:start w:val="1"/>
      <w:numFmt w:val="bullet"/>
      <w:lvlText w:val=""/>
      <w:lvlJc w:val="left"/>
      <w:pPr>
        <w:ind w:left="2218" w:hanging="360"/>
      </w:pPr>
      <w:rPr>
        <w:rFonts w:ascii="Wingdings" w:hAnsi="Wingdings" w:hint="default"/>
      </w:rPr>
    </w:lvl>
    <w:lvl w:ilvl="3" w:tplc="08090001">
      <w:start w:val="1"/>
      <w:numFmt w:val="bullet"/>
      <w:lvlText w:val=""/>
      <w:lvlJc w:val="left"/>
      <w:pPr>
        <w:ind w:left="2938" w:hanging="360"/>
      </w:pPr>
      <w:rPr>
        <w:rFonts w:ascii="Symbol" w:hAnsi="Symbol" w:hint="default"/>
      </w:rPr>
    </w:lvl>
    <w:lvl w:ilvl="4" w:tplc="08090003">
      <w:start w:val="1"/>
      <w:numFmt w:val="bullet"/>
      <w:lvlText w:val="o"/>
      <w:lvlJc w:val="left"/>
      <w:pPr>
        <w:ind w:left="3658" w:hanging="360"/>
      </w:pPr>
      <w:rPr>
        <w:rFonts w:ascii="Courier New" w:hAnsi="Courier New" w:cs="Courier New" w:hint="default"/>
      </w:rPr>
    </w:lvl>
    <w:lvl w:ilvl="5" w:tplc="08090005">
      <w:start w:val="1"/>
      <w:numFmt w:val="bullet"/>
      <w:lvlText w:val=""/>
      <w:lvlJc w:val="left"/>
      <w:pPr>
        <w:ind w:left="4378" w:hanging="360"/>
      </w:pPr>
      <w:rPr>
        <w:rFonts w:ascii="Wingdings" w:hAnsi="Wingdings" w:hint="default"/>
      </w:rPr>
    </w:lvl>
    <w:lvl w:ilvl="6" w:tplc="08090001">
      <w:start w:val="1"/>
      <w:numFmt w:val="bullet"/>
      <w:lvlText w:val=""/>
      <w:lvlJc w:val="left"/>
      <w:pPr>
        <w:ind w:left="5098" w:hanging="360"/>
      </w:pPr>
      <w:rPr>
        <w:rFonts w:ascii="Symbol" w:hAnsi="Symbol" w:hint="default"/>
      </w:rPr>
    </w:lvl>
    <w:lvl w:ilvl="7" w:tplc="08090003">
      <w:start w:val="1"/>
      <w:numFmt w:val="bullet"/>
      <w:lvlText w:val="o"/>
      <w:lvlJc w:val="left"/>
      <w:pPr>
        <w:ind w:left="5818" w:hanging="360"/>
      </w:pPr>
      <w:rPr>
        <w:rFonts w:ascii="Courier New" w:hAnsi="Courier New" w:cs="Courier New" w:hint="default"/>
      </w:rPr>
    </w:lvl>
    <w:lvl w:ilvl="8" w:tplc="08090005">
      <w:start w:val="1"/>
      <w:numFmt w:val="bullet"/>
      <w:lvlText w:val=""/>
      <w:lvlJc w:val="left"/>
      <w:pPr>
        <w:ind w:left="6538" w:hanging="360"/>
      </w:pPr>
      <w:rPr>
        <w:rFonts w:ascii="Wingdings" w:hAnsi="Wingdings" w:hint="default"/>
      </w:rPr>
    </w:lvl>
  </w:abstractNum>
  <w:abstractNum w:abstractNumId="14" w15:restartNumberingAfterBreak="0">
    <w:nsid w:val="30380990"/>
    <w:multiLevelType w:val="hybridMultilevel"/>
    <w:tmpl w:val="07A49F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0F14782"/>
    <w:multiLevelType w:val="hybridMultilevel"/>
    <w:tmpl w:val="2CA66A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931C95"/>
    <w:multiLevelType w:val="multilevel"/>
    <w:tmpl w:val="15ACAC36"/>
    <w:lvl w:ilvl="0">
      <w:start w:val="1"/>
      <w:numFmt w:val="decimal"/>
      <w:lvlText w:val="%1."/>
      <w:lvlJc w:val="left"/>
      <w:pPr>
        <w:ind w:left="480" w:hanging="480"/>
      </w:pPr>
      <w:rPr>
        <w:rFonts w:hint="default"/>
        <w:color w:val="4472C4" w:themeColor="accent1"/>
      </w:rPr>
    </w:lvl>
    <w:lvl w:ilvl="1">
      <w:start w:val="1"/>
      <w:numFmt w:val="lowerLetter"/>
      <w:lvlText w:val="%2."/>
      <w:lvlJc w:val="left"/>
      <w:pPr>
        <w:ind w:left="480" w:hanging="480"/>
      </w:pPr>
      <w:rPr>
        <w:rFonts w:hint="default"/>
        <w:color w:val="4472C4"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EB182A"/>
    <w:multiLevelType w:val="hybridMultilevel"/>
    <w:tmpl w:val="7264FB9E"/>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F0F5162"/>
    <w:multiLevelType w:val="multilevel"/>
    <w:tmpl w:val="1EF273D0"/>
    <w:lvl w:ilvl="0">
      <w:start w:val="1"/>
      <w:numFmt w:val="upperLetter"/>
      <w:lvlText w:val="%1."/>
      <w:lvlJc w:val="left"/>
      <w:pPr>
        <w:ind w:left="720" w:hanging="360"/>
      </w:pPr>
      <w:rPr>
        <w:strike w:val="0"/>
        <w:dstrike w:val="0"/>
        <w:u w:val="none"/>
        <w:effect w:val="none"/>
      </w:rPr>
    </w:lvl>
    <w:lvl w:ilvl="1">
      <w:start w:val="1"/>
      <w:numFmt w:val="bullet"/>
      <w:lvlText w:val="-"/>
      <w:lvlJc w:val="left"/>
      <w:pPr>
        <w:ind w:left="1440" w:hanging="360"/>
      </w:pPr>
      <w:rPr>
        <w:rFonts w:ascii="Calibri" w:eastAsiaTheme="minorHAnsi" w:hAnsi="Calibri" w:cstheme="minorBidi" w:hint="default"/>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9" w15:restartNumberingAfterBreak="0">
    <w:nsid w:val="41650EC7"/>
    <w:multiLevelType w:val="hybridMultilevel"/>
    <w:tmpl w:val="2606F7A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7A573A"/>
    <w:multiLevelType w:val="hybridMultilevel"/>
    <w:tmpl w:val="D280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62422"/>
    <w:multiLevelType w:val="multilevel"/>
    <w:tmpl w:val="BDEE01C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440363"/>
    <w:multiLevelType w:val="hybridMultilevel"/>
    <w:tmpl w:val="1FBCE51A"/>
    <w:lvl w:ilvl="0" w:tplc="CC207BDC">
      <w:start w:val="1"/>
      <w:numFmt w:val="bullet"/>
      <w:pStyle w:val="ListParagraph"/>
      <w:lvlText w:val=""/>
      <w:lvlJc w:val="left"/>
      <w:pPr>
        <w:ind w:left="644" w:hanging="360"/>
      </w:pPr>
      <w:rPr>
        <w:rFonts w:ascii="Symbol" w:hAnsi="Symbol" w:hint="default"/>
      </w:rPr>
    </w:lvl>
    <w:lvl w:ilvl="1" w:tplc="443289AE">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B6E7B5B"/>
    <w:multiLevelType w:val="multilevel"/>
    <w:tmpl w:val="0C09001D"/>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DC121D5"/>
    <w:multiLevelType w:val="hybridMultilevel"/>
    <w:tmpl w:val="1DE68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4C3EF9"/>
    <w:multiLevelType w:val="hybridMultilevel"/>
    <w:tmpl w:val="903A8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FF36AA"/>
    <w:multiLevelType w:val="hybridMultilevel"/>
    <w:tmpl w:val="D2B622D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8BB5624"/>
    <w:multiLevelType w:val="multilevel"/>
    <w:tmpl w:val="1FBCE51A"/>
    <w:numStyleLink w:val="BulletPoints"/>
  </w:abstractNum>
  <w:abstractNum w:abstractNumId="28" w15:restartNumberingAfterBreak="0">
    <w:nsid w:val="60E32581"/>
    <w:multiLevelType w:val="hybridMultilevel"/>
    <w:tmpl w:val="E5C0BB22"/>
    <w:lvl w:ilvl="0" w:tplc="058AEAB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8021C"/>
    <w:multiLevelType w:val="multilevel"/>
    <w:tmpl w:val="1FBCE51A"/>
    <w:numStyleLink w:val="BulletPoints"/>
  </w:abstractNum>
  <w:abstractNum w:abstractNumId="30" w15:restartNumberingAfterBreak="0">
    <w:nsid w:val="663F3F1A"/>
    <w:multiLevelType w:val="hybridMultilevel"/>
    <w:tmpl w:val="1C8C9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A4504D"/>
    <w:multiLevelType w:val="multilevel"/>
    <w:tmpl w:val="1FBCE51A"/>
    <w:numStyleLink w:val="BulletPoints"/>
  </w:abstractNum>
  <w:abstractNum w:abstractNumId="32" w15:restartNumberingAfterBreak="0">
    <w:nsid w:val="68683197"/>
    <w:multiLevelType w:val="multilevel"/>
    <w:tmpl w:val="1FBCE51A"/>
    <w:numStyleLink w:val="BulletPoints"/>
  </w:abstractNum>
  <w:abstractNum w:abstractNumId="33" w15:restartNumberingAfterBreak="0">
    <w:nsid w:val="6BF614DE"/>
    <w:multiLevelType w:val="hybridMultilevel"/>
    <w:tmpl w:val="BA56FC54"/>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1C601B0"/>
    <w:multiLevelType w:val="hybridMultilevel"/>
    <w:tmpl w:val="CC9E3F6C"/>
    <w:lvl w:ilvl="0" w:tplc="EDE05434">
      <w:numFmt w:val="bullet"/>
      <w:lvlText w:val="-"/>
      <w:lvlJc w:val="left"/>
      <w:pPr>
        <w:ind w:left="420" w:hanging="360"/>
      </w:pPr>
      <w:rPr>
        <w:rFonts w:ascii="Times New Roman" w:eastAsia="SimSu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15:restartNumberingAfterBreak="0">
    <w:nsid w:val="750807FC"/>
    <w:multiLevelType w:val="multilevel"/>
    <w:tmpl w:val="1FBCE51A"/>
    <w:styleLink w:val="BulletPoints"/>
    <w:lvl w:ilvl="0">
      <w:start w:val="1"/>
      <w:numFmt w:val="bullet"/>
      <w:lvlText w:val=""/>
      <w:lvlJc w:val="left"/>
      <w:pPr>
        <w:ind w:left="644" w:hanging="360"/>
      </w:pPr>
      <w:rPr>
        <w:rFonts w:ascii="Symbol" w:hAnsi="Symbol" w:hint="default"/>
      </w:rPr>
    </w:lvl>
    <w:lvl w:ilvl="1">
      <w:start w:val="1"/>
      <w:numFmt w:val="bullet"/>
      <w:lvlText w:val=""/>
      <w:lvlJc w:val="left"/>
      <w:pPr>
        <w:ind w:left="1080" w:hanging="360"/>
      </w:pPr>
      <w:rPr>
        <w:rFonts w:ascii="Symbol" w:hAnsi="Symbol" w:hint="default"/>
        <w:b w:val="0"/>
        <w:i w:val="0"/>
        <w:spacing w:val="0"/>
        <w:sz w:val="22"/>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15:restartNumberingAfterBreak="0">
    <w:nsid w:val="7CEC4C05"/>
    <w:multiLevelType w:val="hybridMultilevel"/>
    <w:tmpl w:val="56CC52D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13"/>
  </w:num>
  <w:num w:numId="4">
    <w:abstractNumId w:val="36"/>
  </w:num>
  <w:num w:numId="5">
    <w:abstractNumId w:val="11"/>
  </w:num>
  <w:num w:numId="6">
    <w:abstractNumId w:val="14"/>
  </w:num>
  <w:num w:numId="7">
    <w:abstractNumId w:val="15"/>
  </w:num>
  <w:num w:numId="8">
    <w:abstractNumId w:val="26"/>
  </w:num>
  <w:num w:numId="9">
    <w:abstractNumId w:val="17"/>
  </w:num>
  <w:num w:numId="10">
    <w:abstractNumId w:val="33"/>
  </w:num>
  <w:num w:numId="11">
    <w:abstractNumId w:val="9"/>
  </w:num>
  <w:num w:numId="12">
    <w:abstractNumId w:val="35"/>
  </w:num>
  <w:num w:numId="13">
    <w:abstractNumId w:val="8"/>
  </w:num>
  <w:num w:numId="14">
    <w:abstractNumId w:val="7"/>
  </w:num>
  <w:num w:numId="15">
    <w:abstractNumId w:val="23"/>
  </w:num>
  <w:num w:numId="16">
    <w:abstractNumId w:val="4"/>
  </w:num>
  <w:num w:numId="17">
    <w:abstractNumId w:val="31"/>
  </w:num>
  <w:num w:numId="18">
    <w:abstractNumId w:val="2"/>
  </w:num>
  <w:num w:numId="19">
    <w:abstractNumId w:val="27"/>
  </w:num>
  <w:num w:numId="20">
    <w:abstractNumId w:val="22"/>
  </w:num>
  <w:num w:numId="21">
    <w:abstractNumId w:val="32"/>
  </w:num>
  <w:num w:numId="22">
    <w:abstractNumId w:val="10"/>
  </w:num>
  <w:num w:numId="23">
    <w:abstractNumId w:val="30"/>
  </w:num>
  <w:num w:numId="24">
    <w:abstractNumId w:val="5"/>
  </w:num>
  <w:num w:numId="25">
    <w:abstractNumId w:val="20"/>
  </w:num>
  <w:num w:numId="26">
    <w:abstractNumId w:val="6"/>
  </w:num>
  <w:num w:numId="27">
    <w:abstractNumId w:val="19"/>
  </w:num>
  <w:num w:numId="2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1"/>
  </w:num>
  <w:num w:numId="31">
    <w:abstractNumId w:val="12"/>
  </w:num>
  <w:num w:numId="32">
    <w:abstractNumId w:val="16"/>
  </w:num>
  <w:num w:numId="33">
    <w:abstractNumId w:val="3"/>
  </w:num>
  <w:num w:numId="34">
    <w:abstractNumId w:val="25"/>
  </w:num>
  <w:num w:numId="35">
    <w:abstractNumId w:val="0"/>
  </w:num>
  <w:num w:numId="36">
    <w:abstractNumId w:val="34"/>
  </w:num>
  <w:num w:numId="37">
    <w:abstractNumId w:val="28"/>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SortMethod w:val="00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4C7DE7"/>
    <w:rsid w:val="000048DC"/>
    <w:rsid w:val="000060A9"/>
    <w:rsid w:val="000101ED"/>
    <w:rsid w:val="00013223"/>
    <w:rsid w:val="000150BD"/>
    <w:rsid w:val="00023D3F"/>
    <w:rsid w:val="000243E0"/>
    <w:rsid w:val="00024E23"/>
    <w:rsid w:val="000305AA"/>
    <w:rsid w:val="00032FD1"/>
    <w:rsid w:val="00032FFA"/>
    <w:rsid w:val="0003467F"/>
    <w:rsid w:val="00035903"/>
    <w:rsid w:val="0004286B"/>
    <w:rsid w:val="00044DD5"/>
    <w:rsid w:val="00045263"/>
    <w:rsid w:val="000464A2"/>
    <w:rsid w:val="000474B9"/>
    <w:rsid w:val="00047AE3"/>
    <w:rsid w:val="00055CEC"/>
    <w:rsid w:val="00056995"/>
    <w:rsid w:val="0006259C"/>
    <w:rsid w:val="00063CBE"/>
    <w:rsid w:val="00066397"/>
    <w:rsid w:val="000667BE"/>
    <w:rsid w:val="00067E6C"/>
    <w:rsid w:val="00073060"/>
    <w:rsid w:val="000752BB"/>
    <w:rsid w:val="00075C1F"/>
    <w:rsid w:val="0008143A"/>
    <w:rsid w:val="00082C62"/>
    <w:rsid w:val="000841CE"/>
    <w:rsid w:val="0008746E"/>
    <w:rsid w:val="00091CA7"/>
    <w:rsid w:val="00093251"/>
    <w:rsid w:val="00095843"/>
    <w:rsid w:val="000A270B"/>
    <w:rsid w:val="000B15D1"/>
    <w:rsid w:val="000B46C2"/>
    <w:rsid w:val="000B6C60"/>
    <w:rsid w:val="000C0735"/>
    <w:rsid w:val="000C4516"/>
    <w:rsid w:val="000C4E45"/>
    <w:rsid w:val="000C534C"/>
    <w:rsid w:val="000D4CCE"/>
    <w:rsid w:val="000E349D"/>
    <w:rsid w:val="000E3A98"/>
    <w:rsid w:val="000F14FD"/>
    <w:rsid w:val="000F1C5C"/>
    <w:rsid w:val="000F2315"/>
    <w:rsid w:val="000F38AF"/>
    <w:rsid w:val="000F6B85"/>
    <w:rsid w:val="0010598F"/>
    <w:rsid w:val="00106FB4"/>
    <w:rsid w:val="0010772C"/>
    <w:rsid w:val="00110B04"/>
    <w:rsid w:val="001117E0"/>
    <w:rsid w:val="00111B39"/>
    <w:rsid w:val="00112D66"/>
    <w:rsid w:val="00117022"/>
    <w:rsid w:val="001206E4"/>
    <w:rsid w:val="00124B4A"/>
    <w:rsid w:val="00125773"/>
    <w:rsid w:val="00130A4C"/>
    <w:rsid w:val="00135051"/>
    <w:rsid w:val="0013572D"/>
    <w:rsid w:val="00136215"/>
    <w:rsid w:val="00141975"/>
    <w:rsid w:val="00142ADC"/>
    <w:rsid w:val="00143369"/>
    <w:rsid w:val="00145467"/>
    <w:rsid w:val="00146A0E"/>
    <w:rsid w:val="001524E5"/>
    <w:rsid w:val="00156DFF"/>
    <w:rsid w:val="001619C5"/>
    <w:rsid w:val="0016207A"/>
    <w:rsid w:val="00166D01"/>
    <w:rsid w:val="0017096A"/>
    <w:rsid w:val="001727C6"/>
    <w:rsid w:val="00173C3C"/>
    <w:rsid w:val="0017536B"/>
    <w:rsid w:val="001774F4"/>
    <w:rsid w:val="00177C75"/>
    <w:rsid w:val="001820E1"/>
    <w:rsid w:val="001827D2"/>
    <w:rsid w:val="001848DC"/>
    <w:rsid w:val="00185101"/>
    <w:rsid w:val="001868D1"/>
    <w:rsid w:val="00186A59"/>
    <w:rsid w:val="00190210"/>
    <w:rsid w:val="00190967"/>
    <w:rsid w:val="001942A3"/>
    <w:rsid w:val="00195F3E"/>
    <w:rsid w:val="001A2620"/>
    <w:rsid w:val="001A4BC7"/>
    <w:rsid w:val="001A5ADF"/>
    <w:rsid w:val="001A64FF"/>
    <w:rsid w:val="001B2C22"/>
    <w:rsid w:val="001C0B1C"/>
    <w:rsid w:val="001C16C0"/>
    <w:rsid w:val="001C22F4"/>
    <w:rsid w:val="001C7CD7"/>
    <w:rsid w:val="001D79F2"/>
    <w:rsid w:val="001E0DBA"/>
    <w:rsid w:val="001E65D8"/>
    <w:rsid w:val="001F0125"/>
    <w:rsid w:val="002019EF"/>
    <w:rsid w:val="002079AC"/>
    <w:rsid w:val="00207A31"/>
    <w:rsid w:val="00207E27"/>
    <w:rsid w:val="00212E6C"/>
    <w:rsid w:val="00213905"/>
    <w:rsid w:val="0022136B"/>
    <w:rsid w:val="00226F71"/>
    <w:rsid w:val="00230EAD"/>
    <w:rsid w:val="002312F9"/>
    <w:rsid w:val="00232467"/>
    <w:rsid w:val="00232519"/>
    <w:rsid w:val="002334C6"/>
    <w:rsid w:val="0024201B"/>
    <w:rsid w:val="002446FF"/>
    <w:rsid w:val="00245220"/>
    <w:rsid w:val="00245787"/>
    <w:rsid w:val="00246E78"/>
    <w:rsid w:val="00250DAF"/>
    <w:rsid w:val="0025535F"/>
    <w:rsid w:val="0026207C"/>
    <w:rsid w:val="00262118"/>
    <w:rsid w:val="00266673"/>
    <w:rsid w:val="00271152"/>
    <w:rsid w:val="00277953"/>
    <w:rsid w:val="002807F0"/>
    <w:rsid w:val="00281BD3"/>
    <w:rsid w:val="00282969"/>
    <w:rsid w:val="00282C8D"/>
    <w:rsid w:val="00291969"/>
    <w:rsid w:val="00294A3F"/>
    <w:rsid w:val="00297882"/>
    <w:rsid w:val="002A0ECC"/>
    <w:rsid w:val="002A1F7D"/>
    <w:rsid w:val="002A395A"/>
    <w:rsid w:val="002A4A8B"/>
    <w:rsid w:val="002B34BE"/>
    <w:rsid w:val="002B35E4"/>
    <w:rsid w:val="002B48E1"/>
    <w:rsid w:val="002B793D"/>
    <w:rsid w:val="002B79BA"/>
    <w:rsid w:val="002C036D"/>
    <w:rsid w:val="002C5213"/>
    <w:rsid w:val="002C5F0B"/>
    <w:rsid w:val="002D0099"/>
    <w:rsid w:val="002D09EA"/>
    <w:rsid w:val="002E0ADB"/>
    <w:rsid w:val="002E2767"/>
    <w:rsid w:val="002E3DA2"/>
    <w:rsid w:val="002E5FB6"/>
    <w:rsid w:val="002E6CA5"/>
    <w:rsid w:val="002F0426"/>
    <w:rsid w:val="002F1E7D"/>
    <w:rsid w:val="002F6E68"/>
    <w:rsid w:val="003134B8"/>
    <w:rsid w:val="00314086"/>
    <w:rsid w:val="003140F0"/>
    <w:rsid w:val="00315E1C"/>
    <w:rsid w:val="0031627A"/>
    <w:rsid w:val="00316D93"/>
    <w:rsid w:val="003216AA"/>
    <w:rsid w:val="00332B7A"/>
    <w:rsid w:val="00333D13"/>
    <w:rsid w:val="00340B6E"/>
    <w:rsid w:val="00340C91"/>
    <w:rsid w:val="003439A1"/>
    <w:rsid w:val="00343BE1"/>
    <w:rsid w:val="00343EF0"/>
    <w:rsid w:val="003447C6"/>
    <w:rsid w:val="00345E2C"/>
    <w:rsid w:val="0035496A"/>
    <w:rsid w:val="00355E2B"/>
    <w:rsid w:val="00356E7C"/>
    <w:rsid w:val="003600A7"/>
    <w:rsid w:val="003617B9"/>
    <w:rsid w:val="00362564"/>
    <w:rsid w:val="00362AF8"/>
    <w:rsid w:val="00363354"/>
    <w:rsid w:val="00363AB2"/>
    <w:rsid w:val="00375262"/>
    <w:rsid w:val="003802A2"/>
    <w:rsid w:val="00380F71"/>
    <w:rsid w:val="003810FD"/>
    <w:rsid w:val="00381A29"/>
    <w:rsid w:val="003837EC"/>
    <w:rsid w:val="00390156"/>
    <w:rsid w:val="00390CD1"/>
    <w:rsid w:val="00391256"/>
    <w:rsid w:val="003919D8"/>
    <w:rsid w:val="003922E1"/>
    <w:rsid w:val="00393322"/>
    <w:rsid w:val="00396F19"/>
    <w:rsid w:val="003A2F1F"/>
    <w:rsid w:val="003A4744"/>
    <w:rsid w:val="003A5958"/>
    <w:rsid w:val="003A5F77"/>
    <w:rsid w:val="003A793C"/>
    <w:rsid w:val="003B3873"/>
    <w:rsid w:val="003B5862"/>
    <w:rsid w:val="003C2B26"/>
    <w:rsid w:val="003C4636"/>
    <w:rsid w:val="003C477D"/>
    <w:rsid w:val="003C53D3"/>
    <w:rsid w:val="003C6CC7"/>
    <w:rsid w:val="003C7910"/>
    <w:rsid w:val="003C7F2B"/>
    <w:rsid w:val="003D23A9"/>
    <w:rsid w:val="003D43F9"/>
    <w:rsid w:val="003D4B4A"/>
    <w:rsid w:val="003E02C8"/>
    <w:rsid w:val="003E10C5"/>
    <w:rsid w:val="003E2F63"/>
    <w:rsid w:val="003E47B4"/>
    <w:rsid w:val="003E4DFD"/>
    <w:rsid w:val="003E6485"/>
    <w:rsid w:val="003E6CDB"/>
    <w:rsid w:val="003E7267"/>
    <w:rsid w:val="003F4F26"/>
    <w:rsid w:val="0040234B"/>
    <w:rsid w:val="00403808"/>
    <w:rsid w:val="0040662E"/>
    <w:rsid w:val="00406DC8"/>
    <w:rsid w:val="004159BB"/>
    <w:rsid w:val="00421F4A"/>
    <w:rsid w:val="00425299"/>
    <w:rsid w:val="004256AA"/>
    <w:rsid w:val="00436CF7"/>
    <w:rsid w:val="004405F4"/>
    <w:rsid w:val="00443217"/>
    <w:rsid w:val="00444B57"/>
    <w:rsid w:val="00446C28"/>
    <w:rsid w:val="00447067"/>
    <w:rsid w:val="00447910"/>
    <w:rsid w:val="00461063"/>
    <w:rsid w:val="00461C51"/>
    <w:rsid w:val="0046738C"/>
    <w:rsid w:val="004756E4"/>
    <w:rsid w:val="00475CE2"/>
    <w:rsid w:val="00476B72"/>
    <w:rsid w:val="00480984"/>
    <w:rsid w:val="00483684"/>
    <w:rsid w:val="0048492A"/>
    <w:rsid w:val="00486335"/>
    <w:rsid w:val="00487F4A"/>
    <w:rsid w:val="00494DC7"/>
    <w:rsid w:val="00496C69"/>
    <w:rsid w:val="004A23CC"/>
    <w:rsid w:val="004A3134"/>
    <w:rsid w:val="004B3FDD"/>
    <w:rsid w:val="004B44FD"/>
    <w:rsid w:val="004B7732"/>
    <w:rsid w:val="004C01EB"/>
    <w:rsid w:val="004C1F44"/>
    <w:rsid w:val="004C7DE7"/>
    <w:rsid w:val="004D0377"/>
    <w:rsid w:val="004D3813"/>
    <w:rsid w:val="004D6522"/>
    <w:rsid w:val="004E4645"/>
    <w:rsid w:val="004E6241"/>
    <w:rsid w:val="004E67DA"/>
    <w:rsid w:val="004F5205"/>
    <w:rsid w:val="004F7045"/>
    <w:rsid w:val="004F75CF"/>
    <w:rsid w:val="005028A0"/>
    <w:rsid w:val="005046A5"/>
    <w:rsid w:val="00505BF3"/>
    <w:rsid w:val="00506F52"/>
    <w:rsid w:val="00507829"/>
    <w:rsid w:val="00510AC9"/>
    <w:rsid w:val="00515130"/>
    <w:rsid w:val="0051629F"/>
    <w:rsid w:val="00517A26"/>
    <w:rsid w:val="005220C5"/>
    <w:rsid w:val="0052425D"/>
    <w:rsid w:val="00525440"/>
    <w:rsid w:val="00526919"/>
    <w:rsid w:val="00530297"/>
    <w:rsid w:val="00530940"/>
    <w:rsid w:val="0053450F"/>
    <w:rsid w:val="00534F24"/>
    <w:rsid w:val="00535AB1"/>
    <w:rsid w:val="0054287E"/>
    <w:rsid w:val="005462FB"/>
    <w:rsid w:val="00552DDA"/>
    <w:rsid w:val="0055330B"/>
    <w:rsid w:val="005542BD"/>
    <w:rsid w:val="00555126"/>
    <w:rsid w:val="0055680D"/>
    <w:rsid w:val="005574D6"/>
    <w:rsid w:val="00560C16"/>
    <w:rsid w:val="00561B22"/>
    <w:rsid w:val="0056236C"/>
    <w:rsid w:val="00562D87"/>
    <w:rsid w:val="0058080C"/>
    <w:rsid w:val="00581C04"/>
    <w:rsid w:val="00582E57"/>
    <w:rsid w:val="0059523C"/>
    <w:rsid w:val="00597A39"/>
    <w:rsid w:val="005A1BD7"/>
    <w:rsid w:val="005A3CF1"/>
    <w:rsid w:val="005A55CB"/>
    <w:rsid w:val="005A6721"/>
    <w:rsid w:val="005A7475"/>
    <w:rsid w:val="005A7C95"/>
    <w:rsid w:val="005B1A63"/>
    <w:rsid w:val="005B3FE6"/>
    <w:rsid w:val="005B74B3"/>
    <w:rsid w:val="005C2DFF"/>
    <w:rsid w:val="005D076E"/>
    <w:rsid w:val="005D139A"/>
    <w:rsid w:val="005D48F1"/>
    <w:rsid w:val="005D7952"/>
    <w:rsid w:val="005E1014"/>
    <w:rsid w:val="005E2A6F"/>
    <w:rsid w:val="005E54E3"/>
    <w:rsid w:val="005F1ACE"/>
    <w:rsid w:val="006017A6"/>
    <w:rsid w:val="0060323A"/>
    <w:rsid w:val="00607CBF"/>
    <w:rsid w:val="00614657"/>
    <w:rsid w:val="00617D8F"/>
    <w:rsid w:val="0062203B"/>
    <w:rsid w:val="0062518A"/>
    <w:rsid w:val="00627737"/>
    <w:rsid w:val="00631A09"/>
    <w:rsid w:val="006365E1"/>
    <w:rsid w:val="00637545"/>
    <w:rsid w:val="00643A84"/>
    <w:rsid w:val="00645C4A"/>
    <w:rsid w:val="0065332C"/>
    <w:rsid w:val="00654B31"/>
    <w:rsid w:val="00661A8C"/>
    <w:rsid w:val="0066393E"/>
    <w:rsid w:val="006675A0"/>
    <w:rsid w:val="00676AB5"/>
    <w:rsid w:val="006771EF"/>
    <w:rsid w:val="00677FEF"/>
    <w:rsid w:val="00681F4C"/>
    <w:rsid w:val="00682973"/>
    <w:rsid w:val="00682E30"/>
    <w:rsid w:val="0069288B"/>
    <w:rsid w:val="0069337E"/>
    <w:rsid w:val="00693ECF"/>
    <w:rsid w:val="006955D2"/>
    <w:rsid w:val="00696DA0"/>
    <w:rsid w:val="006A0048"/>
    <w:rsid w:val="006A3A8A"/>
    <w:rsid w:val="006A5790"/>
    <w:rsid w:val="006A6448"/>
    <w:rsid w:val="006A7253"/>
    <w:rsid w:val="006B1296"/>
    <w:rsid w:val="006B2556"/>
    <w:rsid w:val="006B3DC0"/>
    <w:rsid w:val="006B640D"/>
    <w:rsid w:val="006B7AFA"/>
    <w:rsid w:val="006C4354"/>
    <w:rsid w:val="006D1C22"/>
    <w:rsid w:val="006D28BC"/>
    <w:rsid w:val="006D4CBF"/>
    <w:rsid w:val="006E14F1"/>
    <w:rsid w:val="006E20CD"/>
    <w:rsid w:val="006E40EA"/>
    <w:rsid w:val="006F0996"/>
    <w:rsid w:val="006F555E"/>
    <w:rsid w:val="006F68D9"/>
    <w:rsid w:val="00701264"/>
    <w:rsid w:val="007038E8"/>
    <w:rsid w:val="007039BA"/>
    <w:rsid w:val="00703AA1"/>
    <w:rsid w:val="0070408B"/>
    <w:rsid w:val="0070714A"/>
    <w:rsid w:val="007105CB"/>
    <w:rsid w:val="00713924"/>
    <w:rsid w:val="00732CA9"/>
    <w:rsid w:val="007337A9"/>
    <w:rsid w:val="0073784E"/>
    <w:rsid w:val="00743C04"/>
    <w:rsid w:val="007445EE"/>
    <w:rsid w:val="00744F4F"/>
    <w:rsid w:val="007462FF"/>
    <w:rsid w:val="007604B2"/>
    <w:rsid w:val="00762420"/>
    <w:rsid w:val="007638BA"/>
    <w:rsid w:val="00763BDF"/>
    <w:rsid w:val="00767803"/>
    <w:rsid w:val="00770BE9"/>
    <w:rsid w:val="00770FE8"/>
    <w:rsid w:val="007728C6"/>
    <w:rsid w:val="0077433F"/>
    <w:rsid w:val="00782F22"/>
    <w:rsid w:val="00783559"/>
    <w:rsid w:val="00784B95"/>
    <w:rsid w:val="0078560F"/>
    <w:rsid w:val="00786116"/>
    <w:rsid w:val="0078790E"/>
    <w:rsid w:val="00790ECD"/>
    <w:rsid w:val="007A2EF8"/>
    <w:rsid w:val="007A4BB2"/>
    <w:rsid w:val="007A55DC"/>
    <w:rsid w:val="007B6083"/>
    <w:rsid w:val="007C7A57"/>
    <w:rsid w:val="007C7E60"/>
    <w:rsid w:val="007D1000"/>
    <w:rsid w:val="007D766D"/>
    <w:rsid w:val="007E1BF8"/>
    <w:rsid w:val="007E39E8"/>
    <w:rsid w:val="007E59D0"/>
    <w:rsid w:val="007E5C4C"/>
    <w:rsid w:val="007E64A2"/>
    <w:rsid w:val="007F06F5"/>
    <w:rsid w:val="007F5E0A"/>
    <w:rsid w:val="007F6270"/>
    <w:rsid w:val="008007CC"/>
    <w:rsid w:val="00800D83"/>
    <w:rsid w:val="00801F8C"/>
    <w:rsid w:val="00804DA2"/>
    <w:rsid w:val="0080591A"/>
    <w:rsid w:val="0080761D"/>
    <w:rsid w:val="008076F6"/>
    <w:rsid w:val="00813981"/>
    <w:rsid w:val="00813D5E"/>
    <w:rsid w:val="008146DD"/>
    <w:rsid w:val="00814C66"/>
    <w:rsid w:val="00816190"/>
    <w:rsid w:val="00821A77"/>
    <w:rsid w:val="00825F71"/>
    <w:rsid w:val="0082638E"/>
    <w:rsid w:val="00826D3B"/>
    <w:rsid w:val="00832AC4"/>
    <w:rsid w:val="00836F56"/>
    <w:rsid w:val="008403C0"/>
    <w:rsid w:val="0084472D"/>
    <w:rsid w:val="0084546C"/>
    <w:rsid w:val="008469E7"/>
    <w:rsid w:val="008576AC"/>
    <w:rsid w:val="00860B43"/>
    <w:rsid w:val="008642C5"/>
    <w:rsid w:val="00876328"/>
    <w:rsid w:val="00877CFC"/>
    <w:rsid w:val="00882D6F"/>
    <w:rsid w:val="00887DC8"/>
    <w:rsid w:val="00894640"/>
    <w:rsid w:val="0089543F"/>
    <w:rsid w:val="00895642"/>
    <w:rsid w:val="008A036B"/>
    <w:rsid w:val="008A0989"/>
    <w:rsid w:val="008A47BC"/>
    <w:rsid w:val="008A7406"/>
    <w:rsid w:val="008B24A4"/>
    <w:rsid w:val="008C3FFF"/>
    <w:rsid w:val="008C546A"/>
    <w:rsid w:val="008C6EE1"/>
    <w:rsid w:val="008C7BEA"/>
    <w:rsid w:val="008D3BE7"/>
    <w:rsid w:val="008D5A2E"/>
    <w:rsid w:val="008D6704"/>
    <w:rsid w:val="008D68DC"/>
    <w:rsid w:val="008F3A91"/>
    <w:rsid w:val="008F6B05"/>
    <w:rsid w:val="00901CCD"/>
    <w:rsid w:val="00903017"/>
    <w:rsid w:val="00906876"/>
    <w:rsid w:val="00906C69"/>
    <w:rsid w:val="00910224"/>
    <w:rsid w:val="00911E32"/>
    <w:rsid w:val="009142CC"/>
    <w:rsid w:val="00923CC1"/>
    <w:rsid w:val="0093044C"/>
    <w:rsid w:val="00930A38"/>
    <w:rsid w:val="0093324B"/>
    <w:rsid w:val="00935114"/>
    <w:rsid w:val="00942261"/>
    <w:rsid w:val="00943C0C"/>
    <w:rsid w:val="0094489A"/>
    <w:rsid w:val="00945E8C"/>
    <w:rsid w:val="0094645D"/>
    <w:rsid w:val="00946A1B"/>
    <w:rsid w:val="009528CD"/>
    <w:rsid w:val="009541AE"/>
    <w:rsid w:val="0096037F"/>
    <w:rsid w:val="00965AB6"/>
    <w:rsid w:val="00966B8B"/>
    <w:rsid w:val="009720B3"/>
    <w:rsid w:val="00973FCE"/>
    <w:rsid w:val="009823DC"/>
    <w:rsid w:val="00986ED0"/>
    <w:rsid w:val="009914C2"/>
    <w:rsid w:val="00997E78"/>
    <w:rsid w:val="009A0439"/>
    <w:rsid w:val="009A2BF2"/>
    <w:rsid w:val="009A37EB"/>
    <w:rsid w:val="009A3BDB"/>
    <w:rsid w:val="009A4F38"/>
    <w:rsid w:val="009A78C1"/>
    <w:rsid w:val="009B0714"/>
    <w:rsid w:val="009C3207"/>
    <w:rsid w:val="009C40C1"/>
    <w:rsid w:val="009C644F"/>
    <w:rsid w:val="009D2BB3"/>
    <w:rsid w:val="009D3DC0"/>
    <w:rsid w:val="009D4594"/>
    <w:rsid w:val="009D4903"/>
    <w:rsid w:val="009D5545"/>
    <w:rsid w:val="009D6DE5"/>
    <w:rsid w:val="009E2493"/>
    <w:rsid w:val="009E34A7"/>
    <w:rsid w:val="009E3FC3"/>
    <w:rsid w:val="009E4370"/>
    <w:rsid w:val="009E54D5"/>
    <w:rsid w:val="009F00DF"/>
    <w:rsid w:val="009F285C"/>
    <w:rsid w:val="009F3037"/>
    <w:rsid w:val="009F481F"/>
    <w:rsid w:val="00A01B23"/>
    <w:rsid w:val="00A0684D"/>
    <w:rsid w:val="00A1165E"/>
    <w:rsid w:val="00A11F77"/>
    <w:rsid w:val="00A12916"/>
    <w:rsid w:val="00A12F13"/>
    <w:rsid w:val="00A135A7"/>
    <w:rsid w:val="00A22474"/>
    <w:rsid w:val="00A227E4"/>
    <w:rsid w:val="00A2330C"/>
    <w:rsid w:val="00A27456"/>
    <w:rsid w:val="00A27798"/>
    <w:rsid w:val="00A318F8"/>
    <w:rsid w:val="00A400D6"/>
    <w:rsid w:val="00A41D7D"/>
    <w:rsid w:val="00A5040A"/>
    <w:rsid w:val="00A504B6"/>
    <w:rsid w:val="00A51DA6"/>
    <w:rsid w:val="00A549E7"/>
    <w:rsid w:val="00A647DD"/>
    <w:rsid w:val="00A650ED"/>
    <w:rsid w:val="00A654AE"/>
    <w:rsid w:val="00A668AE"/>
    <w:rsid w:val="00A668E8"/>
    <w:rsid w:val="00A703D8"/>
    <w:rsid w:val="00A72EC2"/>
    <w:rsid w:val="00A73021"/>
    <w:rsid w:val="00A74669"/>
    <w:rsid w:val="00A74A42"/>
    <w:rsid w:val="00A90749"/>
    <w:rsid w:val="00A91091"/>
    <w:rsid w:val="00A931E9"/>
    <w:rsid w:val="00A97310"/>
    <w:rsid w:val="00AA2FED"/>
    <w:rsid w:val="00AA6C20"/>
    <w:rsid w:val="00AB2579"/>
    <w:rsid w:val="00AB3604"/>
    <w:rsid w:val="00AB3AE3"/>
    <w:rsid w:val="00AB52CC"/>
    <w:rsid w:val="00AB58A2"/>
    <w:rsid w:val="00AB59C8"/>
    <w:rsid w:val="00AC3E61"/>
    <w:rsid w:val="00AD0118"/>
    <w:rsid w:val="00AD12F3"/>
    <w:rsid w:val="00AD3147"/>
    <w:rsid w:val="00AD3A6F"/>
    <w:rsid w:val="00AE1CA5"/>
    <w:rsid w:val="00AE338D"/>
    <w:rsid w:val="00AE74E4"/>
    <w:rsid w:val="00AF2A76"/>
    <w:rsid w:val="00AF5AD5"/>
    <w:rsid w:val="00B019FF"/>
    <w:rsid w:val="00B01B02"/>
    <w:rsid w:val="00B0540A"/>
    <w:rsid w:val="00B1025F"/>
    <w:rsid w:val="00B15657"/>
    <w:rsid w:val="00B15DE4"/>
    <w:rsid w:val="00B20AB5"/>
    <w:rsid w:val="00B23B4A"/>
    <w:rsid w:val="00B2628F"/>
    <w:rsid w:val="00B26FDB"/>
    <w:rsid w:val="00B346AB"/>
    <w:rsid w:val="00B37783"/>
    <w:rsid w:val="00B37E41"/>
    <w:rsid w:val="00B403F3"/>
    <w:rsid w:val="00B41261"/>
    <w:rsid w:val="00B4192B"/>
    <w:rsid w:val="00B43743"/>
    <w:rsid w:val="00B5031A"/>
    <w:rsid w:val="00B51B89"/>
    <w:rsid w:val="00B51CE2"/>
    <w:rsid w:val="00B54444"/>
    <w:rsid w:val="00B665BC"/>
    <w:rsid w:val="00B66D5B"/>
    <w:rsid w:val="00B76460"/>
    <w:rsid w:val="00B76E49"/>
    <w:rsid w:val="00B779E2"/>
    <w:rsid w:val="00B91CDD"/>
    <w:rsid w:val="00B92021"/>
    <w:rsid w:val="00B94761"/>
    <w:rsid w:val="00BA1264"/>
    <w:rsid w:val="00BA3689"/>
    <w:rsid w:val="00BA4E64"/>
    <w:rsid w:val="00BA5FE5"/>
    <w:rsid w:val="00BB0AF0"/>
    <w:rsid w:val="00BB3C1D"/>
    <w:rsid w:val="00BB46E2"/>
    <w:rsid w:val="00BC1FAC"/>
    <w:rsid w:val="00BC2C90"/>
    <w:rsid w:val="00BD1224"/>
    <w:rsid w:val="00BD1DD9"/>
    <w:rsid w:val="00BD202E"/>
    <w:rsid w:val="00BD7A47"/>
    <w:rsid w:val="00BE086A"/>
    <w:rsid w:val="00BE3F9B"/>
    <w:rsid w:val="00BE464A"/>
    <w:rsid w:val="00BE5AD4"/>
    <w:rsid w:val="00BE5F69"/>
    <w:rsid w:val="00BE62EC"/>
    <w:rsid w:val="00BF203E"/>
    <w:rsid w:val="00BF3830"/>
    <w:rsid w:val="00BF41E3"/>
    <w:rsid w:val="00BF4AEA"/>
    <w:rsid w:val="00BF5BC0"/>
    <w:rsid w:val="00C01C00"/>
    <w:rsid w:val="00C170A8"/>
    <w:rsid w:val="00C170DA"/>
    <w:rsid w:val="00C17C05"/>
    <w:rsid w:val="00C211BC"/>
    <w:rsid w:val="00C23463"/>
    <w:rsid w:val="00C25D62"/>
    <w:rsid w:val="00C354C7"/>
    <w:rsid w:val="00C36D60"/>
    <w:rsid w:val="00C3707A"/>
    <w:rsid w:val="00C417A4"/>
    <w:rsid w:val="00C43657"/>
    <w:rsid w:val="00C43F53"/>
    <w:rsid w:val="00C44E7C"/>
    <w:rsid w:val="00C4728F"/>
    <w:rsid w:val="00C51A58"/>
    <w:rsid w:val="00C535E5"/>
    <w:rsid w:val="00C544BE"/>
    <w:rsid w:val="00C6190D"/>
    <w:rsid w:val="00C62BC9"/>
    <w:rsid w:val="00C661E0"/>
    <w:rsid w:val="00C66578"/>
    <w:rsid w:val="00C74611"/>
    <w:rsid w:val="00C86FE8"/>
    <w:rsid w:val="00C92CA9"/>
    <w:rsid w:val="00C93F79"/>
    <w:rsid w:val="00CA1115"/>
    <w:rsid w:val="00CA3591"/>
    <w:rsid w:val="00CA65AE"/>
    <w:rsid w:val="00CA6807"/>
    <w:rsid w:val="00CA7A7E"/>
    <w:rsid w:val="00CB172F"/>
    <w:rsid w:val="00CB5266"/>
    <w:rsid w:val="00CB56D2"/>
    <w:rsid w:val="00CB7B54"/>
    <w:rsid w:val="00CC22A9"/>
    <w:rsid w:val="00CC64AD"/>
    <w:rsid w:val="00CD04E3"/>
    <w:rsid w:val="00CD513E"/>
    <w:rsid w:val="00CE1489"/>
    <w:rsid w:val="00CE2A01"/>
    <w:rsid w:val="00CE2E1E"/>
    <w:rsid w:val="00CE7A67"/>
    <w:rsid w:val="00CF7B97"/>
    <w:rsid w:val="00D00196"/>
    <w:rsid w:val="00D06B75"/>
    <w:rsid w:val="00D1292D"/>
    <w:rsid w:val="00D1310B"/>
    <w:rsid w:val="00D13D56"/>
    <w:rsid w:val="00D162B8"/>
    <w:rsid w:val="00D16E34"/>
    <w:rsid w:val="00D22FCC"/>
    <w:rsid w:val="00D24EF8"/>
    <w:rsid w:val="00D325E0"/>
    <w:rsid w:val="00D34922"/>
    <w:rsid w:val="00D34C91"/>
    <w:rsid w:val="00D35F58"/>
    <w:rsid w:val="00D430B4"/>
    <w:rsid w:val="00D438AA"/>
    <w:rsid w:val="00D53F4A"/>
    <w:rsid w:val="00D55136"/>
    <w:rsid w:val="00D601DC"/>
    <w:rsid w:val="00D602DE"/>
    <w:rsid w:val="00D60CAF"/>
    <w:rsid w:val="00D61662"/>
    <w:rsid w:val="00D66789"/>
    <w:rsid w:val="00D719BE"/>
    <w:rsid w:val="00D73E8F"/>
    <w:rsid w:val="00D73FA9"/>
    <w:rsid w:val="00D77325"/>
    <w:rsid w:val="00D86DEF"/>
    <w:rsid w:val="00D92231"/>
    <w:rsid w:val="00D92377"/>
    <w:rsid w:val="00D939AC"/>
    <w:rsid w:val="00D95427"/>
    <w:rsid w:val="00D955D9"/>
    <w:rsid w:val="00D97088"/>
    <w:rsid w:val="00DA0F9D"/>
    <w:rsid w:val="00DA4CC1"/>
    <w:rsid w:val="00DA7AF6"/>
    <w:rsid w:val="00DB199C"/>
    <w:rsid w:val="00DB1A41"/>
    <w:rsid w:val="00DB286A"/>
    <w:rsid w:val="00DB3178"/>
    <w:rsid w:val="00DB6913"/>
    <w:rsid w:val="00DC1AA9"/>
    <w:rsid w:val="00DC2C08"/>
    <w:rsid w:val="00DC49D6"/>
    <w:rsid w:val="00DC55B6"/>
    <w:rsid w:val="00DD448F"/>
    <w:rsid w:val="00DD6DC7"/>
    <w:rsid w:val="00DD7337"/>
    <w:rsid w:val="00DE03C7"/>
    <w:rsid w:val="00DF0423"/>
    <w:rsid w:val="00DF402A"/>
    <w:rsid w:val="00DF6E90"/>
    <w:rsid w:val="00E00D4C"/>
    <w:rsid w:val="00E00F45"/>
    <w:rsid w:val="00E01631"/>
    <w:rsid w:val="00E0185F"/>
    <w:rsid w:val="00E02AC4"/>
    <w:rsid w:val="00E06B90"/>
    <w:rsid w:val="00E06D93"/>
    <w:rsid w:val="00E12A85"/>
    <w:rsid w:val="00E20918"/>
    <w:rsid w:val="00E212A4"/>
    <w:rsid w:val="00E30558"/>
    <w:rsid w:val="00E340DF"/>
    <w:rsid w:val="00E354A7"/>
    <w:rsid w:val="00E419DD"/>
    <w:rsid w:val="00E41E08"/>
    <w:rsid w:val="00E53756"/>
    <w:rsid w:val="00E538E1"/>
    <w:rsid w:val="00E57BEE"/>
    <w:rsid w:val="00E626C4"/>
    <w:rsid w:val="00E62801"/>
    <w:rsid w:val="00E6360F"/>
    <w:rsid w:val="00E646A0"/>
    <w:rsid w:val="00E700A2"/>
    <w:rsid w:val="00E723E1"/>
    <w:rsid w:val="00E7290F"/>
    <w:rsid w:val="00E73369"/>
    <w:rsid w:val="00E73985"/>
    <w:rsid w:val="00E73B22"/>
    <w:rsid w:val="00E74876"/>
    <w:rsid w:val="00E74BBE"/>
    <w:rsid w:val="00E750C4"/>
    <w:rsid w:val="00E75E0D"/>
    <w:rsid w:val="00E76AAD"/>
    <w:rsid w:val="00E80AC1"/>
    <w:rsid w:val="00E8150B"/>
    <w:rsid w:val="00E82EAA"/>
    <w:rsid w:val="00E82FD6"/>
    <w:rsid w:val="00E8513F"/>
    <w:rsid w:val="00E86BE9"/>
    <w:rsid w:val="00E872B1"/>
    <w:rsid w:val="00E93332"/>
    <w:rsid w:val="00E93628"/>
    <w:rsid w:val="00EA4655"/>
    <w:rsid w:val="00EB07F5"/>
    <w:rsid w:val="00EB0DF5"/>
    <w:rsid w:val="00EB48C8"/>
    <w:rsid w:val="00EC07D0"/>
    <w:rsid w:val="00EC1170"/>
    <w:rsid w:val="00EC5617"/>
    <w:rsid w:val="00EC6917"/>
    <w:rsid w:val="00ED25CF"/>
    <w:rsid w:val="00ED6FCC"/>
    <w:rsid w:val="00ED7F48"/>
    <w:rsid w:val="00EE5822"/>
    <w:rsid w:val="00EF4CA0"/>
    <w:rsid w:val="00F01821"/>
    <w:rsid w:val="00F06872"/>
    <w:rsid w:val="00F10BBB"/>
    <w:rsid w:val="00F123D4"/>
    <w:rsid w:val="00F1370E"/>
    <w:rsid w:val="00F228EB"/>
    <w:rsid w:val="00F25224"/>
    <w:rsid w:val="00F332BF"/>
    <w:rsid w:val="00F34698"/>
    <w:rsid w:val="00F36D57"/>
    <w:rsid w:val="00F41F0E"/>
    <w:rsid w:val="00F43209"/>
    <w:rsid w:val="00F466B9"/>
    <w:rsid w:val="00F47D1F"/>
    <w:rsid w:val="00F51C91"/>
    <w:rsid w:val="00F53D4E"/>
    <w:rsid w:val="00F53F9A"/>
    <w:rsid w:val="00F54FE3"/>
    <w:rsid w:val="00F55FA1"/>
    <w:rsid w:val="00F56E4C"/>
    <w:rsid w:val="00F61777"/>
    <w:rsid w:val="00F6193C"/>
    <w:rsid w:val="00F62983"/>
    <w:rsid w:val="00F649E2"/>
    <w:rsid w:val="00F74F97"/>
    <w:rsid w:val="00F771E8"/>
    <w:rsid w:val="00F80A16"/>
    <w:rsid w:val="00F868C2"/>
    <w:rsid w:val="00F876EB"/>
    <w:rsid w:val="00F927FD"/>
    <w:rsid w:val="00F93672"/>
    <w:rsid w:val="00FA079A"/>
    <w:rsid w:val="00FA6CE9"/>
    <w:rsid w:val="00FA72D6"/>
    <w:rsid w:val="00FB05D9"/>
    <w:rsid w:val="00FC4A8F"/>
    <w:rsid w:val="00FC568A"/>
    <w:rsid w:val="00FD6C24"/>
    <w:rsid w:val="00FE13EC"/>
    <w:rsid w:val="00FE7550"/>
    <w:rsid w:val="00FF07A4"/>
    <w:rsid w:val="00FF186D"/>
    <w:rsid w:val="00FF1FD9"/>
    <w:rsid w:val="00FF31DC"/>
    <w:rsid w:val="00FF5D30"/>
    <w:rsid w:val="1A5687E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1B874"/>
  <w15:docId w15:val="{EF0B3F8D-AD3B-A040-977E-05FF5D6A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4"/>
        <w:szCs w:val="24"/>
        <w:lang w:val="en-AU" w:eastAsia="en-US" w:bidi="ar-SA"/>
      </w:rPr>
    </w:rPrDefault>
    <w:pPrDefault>
      <w:pPr>
        <w:spacing w:before="120" w:after="12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6D2"/>
    <w:pPr>
      <w:widowControl w:val="0"/>
      <w:spacing w:line="252" w:lineRule="auto"/>
      <w:jc w:val="both"/>
    </w:pPr>
    <w:rPr>
      <w:rFonts w:ascii="Times New Roman" w:hAnsi="Times New Roman" w:cs="Times New Roman"/>
    </w:rPr>
  </w:style>
  <w:style w:type="paragraph" w:styleId="Heading1">
    <w:name w:val="heading 1"/>
    <w:basedOn w:val="Normal"/>
    <w:next w:val="Normal"/>
    <w:link w:val="Heading1Char"/>
    <w:uiPriority w:val="9"/>
    <w:qFormat/>
    <w:rsid w:val="00C43F53"/>
    <w:pPr>
      <w:keepNext/>
      <w:keepLines/>
      <w:tabs>
        <w:tab w:val="left" w:pos="220"/>
        <w:tab w:val="left" w:pos="720"/>
      </w:tabs>
      <w:spacing w:before="240" w:after="0"/>
      <w:outlineLvl w:val="0"/>
    </w:pPr>
    <w:rPr>
      <w:rFonts w:eastAsiaTheme="minorEastAsia"/>
      <w:b/>
      <w:color w:val="4472C4" w:themeColor="accent1"/>
      <w:spacing w:val="15"/>
      <w:sz w:val="32"/>
      <w:szCs w:val="32"/>
    </w:rPr>
  </w:style>
  <w:style w:type="paragraph" w:styleId="Heading2">
    <w:name w:val="heading 2"/>
    <w:basedOn w:val="Normal"/>
    <w:next w:val="Normal"/>
    <w:link w:val="Heading2Char"/>
    <w:autoRedefine/>
    <w:uiPriority w:val="9"/>
    <w:qFormat/>
    <w:rsid w:val="00813981"/>
    <w:pPr>
      <w:keepNext/>
      <w:keepLines/>
      <w:tabs>
        <w:tab w:val="left" w:pos="220"/>
        <w:tab w:val="left" w:pos="720"/>
      </w:tabs>
      <w:spacing w:before="240" w:after="0"/>
      <w:outlineLvl w:val="1"/>
    </w:pPr>
    <w:rPr>
      <w:rFonts w:eastAsiaTheme="minorEastAsia"/>
      <w:b/>
      <w:color w:val="4472C4" w:themeColor="accent1"/>
      <w:spacing w:val="15"/>
      <w:sz w:val="22"/>
      <w:szCs w:val="22"/>
    </w:rPr>
  </w:style>
  <w:style w:type="paragraph" w:styleId="Heading3">
    <w:name w:val="heading 3"/>
    <w:basedOn w:val="Heading2"/>
    <w:next w:val="Normal"/>
    <w:link w:val="Heading3Char"/>
    <w:uiPriority w:val="9"/>
    <w:qFormat/>
    <w:rsid w:val="00C43F53"/>
    <w:pPr>
      <w:outlineLvl w:val="2"/>
    </w:pPr>
  </w:style>
  <w:style w:type="paragraph" w:styleId="Heading4">
    <w:name w:val="heading 4"/>
    <w:basedOn w:val="Normal"/>
    <w:next w:val="Normal"/>
    <w:link w:val="Heading4Char"/>
    <w:uiPriority w:val="9"/>
    <w:qFormat/>
    <w:rsid w:val="000048DC"/>
    <w:pPr>
      <w:keepNext/>
      <w:keepLines/>
      <w:tabs>
        <w:tab w:val="left" w:pos="220"/>
        <w:tab w:val="left" w:pos="720"/>
      </w:tabs>
      <w:spacing w:before="240" w:after="0"/>
      <w:outlineLvl w:val="3"/>
    </w:pPr>
    <w:rPr>
      <w:rFonts w:eastAsia="Calibri"/>
      <w:b/>
      <w:i/>
      <w:lang w:val="en-US" w:eastAsia="en-GB"/>
    </w:rPr>
  </w:style>
  <w:style w:type="paragraph" w:styleId="Heading5">
    <w:name w:val="heading 5"/>
    <w:basedOn w:val="Normal"/>
    <w:next w:val="Normal"/>
    <w:link w:val="Heading5Char"/>
    <w:autoRedefine/>
    <w:uiPriority w:val="9"/>
    <w:unhideWhenUsed/>
    <w:qFormat/>
    <w:rsid w:val="003C2B26"/>
    <w:pPr>
      <w:spacing w:before="2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2FD1"/>
    <w:pPr>
      <w:numPr>
        <w:numId w:val="1"/>
      </w:numPr>
      <w:contextualSpacing/>
    </w:pPr>
  </w:style>
  <w:style w:type="character" w:customStyle="1" w:styleId="Heading1Char">
    <w:name w:val="Heading 1 Char"/>
    <w:basedOn w:val="DefaultParagraphFont"/>
    <w:link w:val="Heading1"/>
    <w:uiPriority w:val="9"/>
    <w:rsid w:val="00C43F53"/>
    <w:rPr>
      <w:rFonts w:ascii="Times New Roman" w:eastAsiaTheme="minorEastAsia" w:hAnsi="Times New Roman" w:cs="Times New Roman"/>
      <w:b/>
      <w:color w:val="4472C4" w:themeColor="accent1"/>
      <w:spacing w:val="15"/>
      <w:sz w:val="32"/>
      <w:szCs w:val="32"/>
    </w:rPr>
  </w:style>
  <w:style w:type="character" w:customStyle="1" w:styleId="Heading2Char">
    <w:name w:val="Heading 2 Char"/>
    <w:basedOn w:val="DefaultParagraphFont"/>
    <w:link w:val="Heading2"/>
    <w:uiPriority w:val="9"/>
    <w:rsid w:val="00813981"/>
    <w:rPr>
      <w:rFonts w:ascii="Times New Roman" w:eastAsiaTheme="minorEastAsia" w:hAnsi="Times New Roman" w:cs="Times New Roman"/>
      <w:b/>
      <w:color w:val="4472C4" w:themeColor="accent1"/>
      <w:spacing w:val="15"/>
      <w:sz w:val="22"/>
      <w:szCs w:val="22"/>
    </w:rPr>
  </w:style>
  <w:style w:type="character" w:customStyle="1" w:styleId="Heading3Char">
    <w:name w:val="Heading 3 Char"/>
    <w:basedOn w:val="DefaultParagraphFont"/>
    <w:link w:val="Heading3"/>
    <w:uiPriority w:val="9"/>
    <w:rsid w:val="00C43F53"/>
    <w:rPr>
      <w:rFonts w:ascii="Times New Roman" w:eastAsiaTheme="minorEastAsia" w:hAnsi="Times New Roman" w:cs="Times New Roman"/>
      <w:b/>
      <w:color w:val="4472C4" w:themeColor="accent1"/>
      <w:spacing w:val="15"/>
    </w:rPr>
  </w:style>
  <w:style w:type="character" w:customStyle="1" w:styleId="Heading4Char">
    <w:name w:val="Heading 4 Char"/>
    <w:basedOn w:val="DefaultParagraphFont"/>
    <w:link w:val="Heading4"/>
    <w:uiPriority w:val="9"/>
    <w:rsid w:val="00406DC8"/>
    <w:rPr>
      <w:rFonts w:ascii="Times New Roman" w:eastAsia="Calibri" w:hAnsi="Times New Roman" w:cs="Times New Roman"/>
      <w:b/>
      <w:i/>
      <w:lang w:val="en-US" w:eastAsia="en-GB"/>
    </w:rPr>
  </w:style>
  <w:style w:type="paragraph" w:styleId="Title">
    <w:name w:val="Title"/>
    <w:basedOn w:val="Normal"/>
    <w:next w:val="Normal"/>
    <w:link w:val="TitleChar"/>
    <w:uiPriority w:val="10"/>
    <w:qFormat/>
    <w:rsid w:val="003C53D3"/>
    <w:pPr>
      <w:spacing w:before="0"/>
      <w:jc w:val="center"/>
    </w:pPr>
    <w:rPr>
      <w:rFonts w:eastAsiaTheme="majorEastAsia" w:cstheme="majorBidi"/>
      <w:b/>
      <w:spacing w:val="-10"/>
      <w:kern w:val="28"/>
      <w:sz w:val="48"/>
      <w:szCs w:val="48"/>
    </w:rPr>
  </w:style>
  <w:style w:type="character" w:customStyle="1" w:styleId="TitleChar">
    <w:name w:val="Title Char"/>
    <w:basedOn w:val="DefaultParagraphFont"/>
    <w:link w:val="Title"/>
    <w:uiPriority w:val="10"/>
    <w:rsid w:val="003C53D3"/>
    <w:rPr>
      <w:rFonts w:ascii="Times New Roman" w:eastAsiaTheme="majorEastAsia" w:hAnsi="Times New Roman" w:cstheme="majorBidi"/>
      <w:b/>
      <w:spacing w:val="-10"/>
      <w:kern w:val="28"/>
      <w:sz w:val="48"/>
      <w:szCs w:val="48"/>
    </w:rPr>
  </w:style>
  <w:style w:type="paragraph" w:styleId="Subtitle">
    <w:name w:val="Subtitle"/>
    <w:basedOn w:val="Normal"/>
    <w:next w:val="Normal"/>
    <w:link w:val="SubtitleChar"/>
    <w:uiPriority w:val="11"/>
    <w:qFormat/>
    <w:rsid w:val="003C53D3"/>
    <w:pPr>
      <w:spacing w:before="0"/>
      <w:jc w:val="center"/>
    </w:pPr>
    <w:rPr>
      <w:rFonts w:eastAsiaTheme="minorEastAsia" w:cstheme="minorBidi"/>
      <w:b/>
      <w:color w:val="4472C4" w:themeColor="accent1"/>
      <w:spacing w:val="15"/>
      <w:sz w:val="48"/>
      <w:szCs w:val="22"/>
    </w:rPr>
  </w:style>
  <w:style w:type="character" w:customStyle="1" w:styleId="SubtitleChar">
    <w:name w:val="Subtitle Char"/>
    <w:basedOn w:val="DefaultParagraphFont"/>
    <w:link w:val="Subtitle"/>
    <w:uiPriority w:val="11"/>
    <w:rsid w:val="003C53D3"/>
    <w:rPr>
      <w:rFonts w:ascii="Times New Roman" w:eastAsiaTheme="minorEastAsia" w:hAnsi="Times New Roman"/>
      <w:b/>
      <w:color w:val="4472C4" w:themeColor="accent1"/>
      <w:spacing w:val="15"/>
      <w:sz w:val="48"/>
      <w:szCs w:val="22"/>
    </w:rPr>
  </w:style>
  <w:style w:type="paragraph" w:styleId="Header">
    <w:name w:val="header"/>
    <w:basedOn w:val="Normal"/>
    <w:link w:val="HeaderChar"/>
    <w:uiPriority w:val="99"/>
    <w:qFormat/>
    <w:rsid w:val="00CE2E1E"/>
    <w:pPr>
      <w:tabs>
        <w:tab w:val="center" w:pos="4513"/>
        <w:tab w:val="right" w:pos="9026"/>
      </w:tabs>
      <w:spacing w:before="0" w:after="0" w:line="240" w:lineRule="auto"/>
      <w:jc w:val="right"/>
    </w:pPr>
    <w:rPr>
      <w:sz w:val="20"/>
    </w:rPr>
  </w:style>
  <w:style w:type="character" w:customStyle="1" w:styleId="HeaderChar">
    <w:name w:val="Header Char"/>
    <w:basedOn w:val="DefaultParagraphFont"/>
    <w:link w:val="Header"/>
    <w:uiPriority w:val="99"/>
    <w:rsid w:val="00CE2E1E"/>
    <w:rPr>
      <w:sz w:val="20"/>
    </w:rPr>
  </w:style>
  <w:style w:type="paragraph" w:styleId="Footer">
    <w:name w:val="footer"/>
    <w:basedOn w:val="FootnoteText"/>
    <w:link w:val="FooterChar"/>
    <w:uiPriority w:val="99"/>
    <w:qFormat/>
    <w:rsid w:val="00C43F53"/>
  </w:style>
  <w:style w:type="character" w:customStyle="1" w:styleId="FooterChar">
    <w:name w:val="Footer Char"/>
    <w:basedOn w:val="DefaultParagraphFont"/>
    <w:link w:val="Footer"/>
    <w:uiPriority w:val="99"/>
    <w:rsid w:val="00C43F53"/>
    <w:rPr>
      <w:rFonts w:ascii="Times New Roman" w:eastAsia="Times New Roman" w:hAnsi="Times New Roman" w:cs="Times New Roman"/>
      <w:color w:val="000000"/>
      <w:sz w:val="20"/>
      <w:szCs w:val="20"/>
      <w:lang w:val="en-US" w:eastAsia="en-GB"/>
    </w:rPr>
  </w:style>
  <w:style w:type="paragraph" w:styleId="TOCHeading">
    <w:name w:val="TOC Heading"/>
    <w:basedOn w:val="Heading1"/>
    <w:next w:val="Normal"/>
    <w:uiPriority w:val="39"/>
    <w:unhideWhenUsed/>
    <w:qFormat/>
    <w:rsid w:val="00782F22"/>
    <w:pPr>
      <w:outlineLvl w:val="9"/>
    </w:pPr>
  </w:style>
  <w:style w:type="character" w:styleId="Strong">
    <w:name w:val="Strong"/>
    <w:basedOn w:val="DefaultParagraphFont"/>
    <w:uiPriority w:val="22"/>
    <w:unhideWhenUsed/>
    <w:rsid w:val="00032FD1"/>
    <w:rPr>
      <w:rFonts w:asciiTheme="minorHAnsi" w:hAnsiTheme="minorHAnsi"/>
      <w:b/>
      <w:bCs/>
      <w:sz w:val="20"/>
    </w:rPr>
  </w:style>
  <w:style w:type="character" w:styleId="Emphasis">
    <w:name w:val="Emphasis"/>
    <w:uiPriority w:val="20"/>
    <w:unhideWhenUsed/>
    <w:rsid w:val="003C2B26"/>
    <w:rPr>
      <w:rFonts w:ascii="Times New Roman" w:hAnsi="Times New Roman"/>
      <w:b/>
      <w:sz w:val="24"/>
    </w:rPr>
  </w:style>
  <w:style w:type="character" w:styleId="Hyperlink">
    <w:name w:val="Hyperlink"/>
    <w:basedOn w:val="DefaultParagraphFont"/>
    <w:uiPriority w:val="99"/>
    <w:unhideWhenUsed/>
    <w:rsid w:val="003D4B4A"/>
    <w:rPr>
      <w:color w:val="0563C1" w:themeColor="hyperlink"/>
      <w:u w:val="single"/>
    </w:rPr>
  </w:style>
  <w:style w:type="paragraph" w:styleId="BalloonText">
    <w:name w:val="Balloon Text"/>
    <w:basedOn w:val="Normal"/>
    <w:link w:val="BalloonTextChar"/>
    <w:uiPriority w:val="99"/>
    <w:semiHidden/>
    <w:unhideWhenUsed/>
    <w:rsid w:val="00476B7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B72"/>
    <w:rPr>
      <w:rFonts w:ascii="Segoe UI" w:hAnsi="Segoe UI" w:cs="Segoe UI"/>
      <w:sz w:val="18"/>
      <w:szCs w:val="18"/>
    </w:rPr>
  </w:style>
  <w:style w:type="paragraph" w:styleId="TOC1">
    <w:name w:val="toc 1"/>
    <w:basedOn w:val="Normal"/>
    <w:next w:val="Normal"/>
    <w:autoRedefine/>
    <w:uiPriority w:val="39"/>
    <w:unhideWhenUsed/>
    <w:rsid w:val="004E67DA"/>
    <w:pPr>
      <w:spacing w:after="100"/>
    </w:pPr>
  </w:style>
  <w:style w:type="paragraph" w:styleId="TOC2">
    <w:name w:val="toc 2"/>
    <w:basedOn w:val="Normal"/>
    <w:next w:val="Normal"/>
    <w:autoRedefine/>
    <w:uiPriority w:val="39"/>
    <w:unhideWhenUsed/>
    <w:rsid w:val="004E67DA"/>
    <w:pPr>
      <w:spacing w:after="100"/>
      <w:ind w:left="200"/>
    </w:pPr>
  </w:style>
  <w:style w:type="paragraph" w:styleId="TOC3">
    <w:name w:val="toc 3"/>
    <w:basedOn w:val="Normal"/>
    <w:next w:val="Normal"/>
    <w:autoRedefine/>
    <w:uiPriority w:val="39"/>
    <w:unhideWhenUsed/>
    <w:rsid w:val="00A668E8"/>
    <w:pPr>
      <w:tabs>
        <w:tab w:val="right" w:pos="9592"/>
      </w:tabs>
      <w:spacing w:after="100"/>
      <w:ind w:left="400"/>
    </w:pPr>
    <w:rPr>
      <w:noProof/>
    </w:rPr>
  </w:style>
  <w:style w:type="paragraph" w:styleId="Caption">
    <w:name w:val="caption"/>
    <w:basedOn w:val="Normal"/>
    <w:next w:val="Normal"/>
    <w:uiPriority w:val="35"/>
    <w:unhideWhenUsed/>
    <w:qFormat/>
    <w:rsid w:val="00581C04"/>
    <w:pPr>
      <w:spacing w:line="240" w:lineRule="auto"/>
    </w:pPr>
    <w:rPr>
      <w:iCs/>
      <w:color w:val="595959" w:themeColor="text1" w:themeTint="A6"/>
      <w:sz w:val="20"/>
      <w:szCs w:val="18"/>
    </w:rPr>
  </w:style>
  <w:style w:type="table" w:styleId="TableGrid">
    <w:name w:val="Table Grid"/>
    <w:basedOn w:val="TableNormal"/>
    <w:uiPriority w:val="39"/>
    <w:rsid w:val="00581C0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Ustandard">
    <w:name w:val="ANU standard"/>
    <w:basedOn w:val="TableNormal"/>
    <w:uiPriority w:val="99"/>
    <w:rsid w:val="0028296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table" w:customStyle="1" w:styleId="ANUrowheader">
    <w:name w:val="ANU row header"/>
    <w:basedOn w:val="ANUstandard"/>
    <w:uiPriority w:val="99"/>
    <w:rsid w:val="002E3DA2"/>
    <w:rPr>
      <w:rFonts w:ascii="Times New Roman" w:hAnsi="Times New Roman"/>
    </w:rPr>
    <w:tblPr/>
    <w:tcPr>
      <w:shd w:val="clear" w:color="auto" w:fill="auto"/>
    </w:tcPr>
    <w:tblStylePr w:type="firstRow">
      <w:rPr>
        <w:b/>
      </w:rPr>
      <w:tblPr/>
      <w:tcPr>
        <w:shd w:val="clear" w:color="auto" w:fill="B4C6E7" w:themeFill="accent1" w:themeFillTint="66"/>
      </w:tcPr>
    </w:tblStylePr>
    <w:tblStylePr w:type="firstCol">
      <w:rPr>
        <w:b w:val="0"/>
      </w:rPr>
    </w:tblStylePr>
  </w:style>
  <w:style w:type="table" w:customStyle="1" w:styleId="ANUcolumnheader">
    <w:name w:val="ANU column header"/>
    <w:basedOn w:val="ANUstandard"/>
    <w:uiPriority w:val="99"/>
    <w:rsid w:val="00282969"/>
    <w:tblPr/>
    <w:tcPr>
      <w:shd w:val="clear" w:color="auto" w:fill="auto"/>
    </w:tcPr>
    <w:tblStylePr w:type="firstRow">
      <w:rPr>
        <w:b w:val="0"/>
      </w:rPr>
    </w:tblStylePr>
    <w:tblStylePr w:type="firstCol">
      <w:rPr>
        <w:b/>
      </w:rPr>
      <w:tblPr/>
      <w:tcPr>
        <w:shd w:val="clear" w:color="auto" w:fill="B4C6E7" w:themeFill="accent1" w:themeFillTint="66"/>
      </w:tcPr>
    </w:tblStylePr>
  </w:style>
  <w:style w:type="table" w:customStyle="1" w:styleId="ANUrowcolumnheader">
    <w:name w:val="ANU row/column header"/>
    <w:basedOn w:val="ANUstandard"/>
    <w:uiPriority w:val="99"/>
    <w:rsid w:val="00282969"/>
    <w:tblPr/>
    <w:tblStylePr w:type="firstRow">
      <w:rPr>
        <w:b/>
      </w:rPr>
      <w:tblPr/>
      <w:tcPr>
        <w:shd w:val="clear" w:color="auto" w:fill="B4C6E7" w:themeFill="accent1" w:themeFillTint="66"/>
      </w:tcPr>
    </w:tblStylePr>
    <w:tblStylePr w:type="firstCol">
      <w:rPr>
        <w:b/>
      </w:rPr>
      <w:tblPr/>
      <w:tcPr>
        <w:shd w:val="clear" w:color="auto" w:fill="B4C6E7" w:themeFill="accent1" w:themeFillTint="66"/>
      </w:tcPr>
    </w:tblStylePr>
  </w:style>
  <w:style w:type="paragraph" w:styleId="FootnoteText">
    <w:name w:val="footnote text"/>
    <w:basedOn w:val="Caption"/>
    <w:link w:val="FootnoteTextChar"/>
    <w:uiPriority w:val="99"/>
    <w:unhideWhenUsed/>
    <w:rsid w:val="00B01B02"/>
  </w:style>
  <w:style w:type="character" w:customStyle="1" w:styleId="FootnoteTextChar">
    <w:name w:val="Footnote Text Char"/>
    <w:basedOn w:val="DefaultParagraphFont"/>
    <w:link w:val="FootnoteText"/>
    <w:uiPriority w:val="99"/>
    <w:rsid w:val="00B01B02"/>
    <w:rPr>
      <w:rFonts w:ascii="Times New Roman" w:hAnsi="Times New Roman" w:cs="Times New Roman"/>
      <w:iCs/>
      <w:color w:val="595959" w:themeColor="text1" w:themeTint="A6"/>
      <w:sz w:val="20"/>
      <w:szCs w:val="18"/>
    </w:rPr>
  </w:style>
  <w:style w:type="character" w:customStyle="1" w:styleId="UnresolvedMention1">
    <w:name w:val="Unresolved Mention1"/>
    <w:basedOn w:val="DefaultParagraphFont"/>
    <w:uiPriority w:val="99"/>
    <w:rsid w:val="00E354A7"/>
    <w:rPr>
      <w:color w:val="808080"/>
      <w:shd w:val="clear" w:color="auto" w:fill="E6E6E6"/>
    </w:rPr>
  </w:style>
  <w:style w:type="character" w:styleId="FootnoteReference">
    <w:name w:val="footnote reference"/>
    <w:basedOn w:val="DefaultParagraphFont"/>
    <w:uiPriority w:val="99"/>
    <w:semiHidden/>
    <w:unhideWhenUsed/>
    <w:rsid w:val="009E2493"/>
    <w:rPr>
      <w:vertAlign w:val="superscript"/>
    </w:rPr>
  </w:style>
  <w:style w:type="paragraph" w:styleId="Quote">
    <w:name w:val="Quote"/>
    <w:basedOn w:val="Normal"/>
    <w:next w:val="Normal"/>
    <w:link w:val="QuoteChar"/>
    <w:uiPriority w:val="29"/>
    <w:qFormat/>
    <w:rsid w:val="00230EAD"/>
    <w:pPr>
      <w:ind w:left="220"/>
    </w:pPr>
    <w:rPr>
      <w:i/>
    </w:rPr>
  </w:style>
  <w:style w:type="character" w:customStyle="1" w:styleId="QuoteChar">
    <w:name w:val="Quote Char"/>
    <w:basedOn w:val="DefaultParagraphFont"/>
    <w:link w:val="Quote"/>
    <w:uiPriority w:val="29"/>
    <w:rsid w:val="00230EAD"/>
    <w:rPr>
      <w:rFonts w:ascii="Times New Roman" w:hAnsi="Times New Roman" w:cs="Times New Roman"/>
      <w:i/>
    </w:rPr>
  </w:style>
  <w:style w:type="paragraph" w:customStyle="1" w:styleId="TableFigure">
    <w:name w:val="Table/Figure"/>
    <w:basedOn w:val="Normal"/>
    <w:link w:val="TableFigureChar"/>
    <w:qFormat/>
    <w:rsid w:val="00013223"/>
    <w:rPr>
      <w:b/>
      <w:sz w:val="28"/>
      <w:szCs w:val="28"/>
    </w:rPr>
  </w:style>
  <w:style w:type="table" w:styleId="GridTable4-Accent5">
    <w:name w:val="Grid Table 4 Accent 5"/>
    <w:basedOn w:val="TableNormal"/>
    <w:uiPriority w:val="49"/>
    <w:rsid w:val="00882D6F"/>
    <w:pPr>
      <w:spacing w:before="0" w:after="0" w:line="240" w:lineRule="auto"/>
    </w:pPr>
    <w:rPr>
      <w:rFonts w:eastAsiaTheme="minorEastAsia"/>
      <w:sz w:val="22"/>
      <w:szCs w:val="22"/>
      <w:lang w:eastAsia="zh-C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ableFigureChar">
    <w:name w:val="Table/Figure Char"/>
    <w:basedOn w:val="DefaultParagraphFont"/>
    <w:link w:val="TableFigure"/>
    <w:rsid w:val="00013223"/>
    <w:rPr>
      <w:rFonts w:ascii="Times New Roman" w:hAnsi="Times New Roman" w:cs="Times New Roman"/>
      <w:b/>
      <w:sz w:val="28"/>
      <w:szCs w:val="28"/>
    </w:rPr>
  </w:style>
  <w:style w:type="paragraph" w:customStyle="1" w:styleId="2ndIndentation">
    <w:name w:val="2nd Indentation"/>
    <w:basedOn w:val="ListParagraph"/>
    <w:link w:val="2ndIndentationChar"/>
    <w:uiPriority w:val="99"/>
    <w:rsid w:val="00406DC8"/>
    <w:pPr>
      <w:numPr>
        <w:numId w:val="11"/>
      </w:numPr>
      <w:tabs>
        <w:tab w:val="left" w:pos="720"/>
      </w:tabs>
      <w:spacing w:before="0" w:after="160"/>
      <w:ind w:left="1170" w:hanging="180"/>
    </w:pPr>
  </w:style>
  <w:style w:type="numbering" w:customStyle="1" w:styleId="BulletPoints">
    <w:name w:val="Bullet Points"/>
    <w:basedOn w:val="NoList"/>
    <w:uiPriority w:val="99"/>
    <w:rsid w:val="00406DC8"/>
    <w:pPr>
      <w:numPr>
        <w:numId w:val="12"/>
      </w:numPr>
    </w:pPr>
  </w:style>
  <w:style w:type="character" w:customStyle="1" w:styleId="ListParagraphChar">
    <w:name w:val="List Paragraph Char"/>
    <w:basedOn w:val="DefaultParagraphFont"/>
    <w:link w:val="ListParagraph"/>
    <w:uiPriority w:val="34"/>
    <w:rsid w:val="00406DC8"/>
    <w:rPr>
      <w:rFonts w:ascii="Times New Roman" w:hAnsi="Times New Roman" w:cs="Times New Roman"/>
    </w:rPr>
  </w:style>
  <w:style w:type="character" w:customStyle="1" w:styleId="2ndIndentationChar">
    <w:name w:val="2nd Indentation Char"/>
    <w:basedOn w:val="ListParagraphChar"/>
    <w:link w:val="2ndIndentation"/>
    <w:uiPriority w:val="99"/>
    <w:rsid w:val="002F0426"/>
    <w:rPr>
      <w:rFonts w:ascii="Times New Roman" w:hAnsi="Times New Roman" w:cs="Times New Roman"/>
    </w:rPr>
  </w:style>
  <w:style w:type="numbering" w:customStyle="1" w:styleId="Style1">
    <w:name w:val="Style1"/>
    <w:basedOn w:val="BulletPoints"/>
    <w:uiPriority w:val="99"/>
    <w:rsid w:val="002F0426"/>
    <w:pPr>
      <w:numPr>
        <w:numId w:val="15"/>
      </w:numPr>
    </w:pPr>
  </w:style>
  <w:style w:type="character" w:customStyle="1" w:styleId="Heading5Char">
    <w:name w:val="Heading 5 Char"/>
    <w:basedOn w:val="DefaultParagraphFont"/>
    <w:link w:val="Heading5"/>
    <w:uiPriority w:val="9"/>
    <w:rsid w:val="003C2B26"/>
    <w:rPr>
      <w:rFonts w:ascii="Times New Roman" w:hAnsi="Times New Roman" w:cs="Times New Roman"/>
    </w:rPr>
  </w:style>
  <w:style w:type="character" w:styleId="SubtleEmphasis">
    <w:name w:val="Subtle Emphasis"/>
    <w:uiPriority w:val="19"/>
    <w:qFormat/>
    <w:rsid w:val="003C2B26"/>
    <w:rPr>
      <w:rFonts w:ascii="Times New Roman" w:hAnsi="Times New Roman"/>
      <w:caps/>
      <w:smallCaps w:val="0"/>
      <w:vanish w:val="0"/>
      <w:sz w:val="24"/>
    </w:rPr>
  </w:style>
  <w:style w:type="character" w:styleId="IntenseEmphasis">
    <w:name w:val="Intense Emphasis"/>
    <w:basedOn w:val="DefaultParagraphFont"/>
    <w:uiPriority w:val="21"/>
    <w:qFormat/>
    <w:rsid w:val="003C2B26"/>
    <w:rPr>
      <w:rFonts w:ascii="Times New Roman" w:hAnsi="Times New Roman"/>
      <w:b/>
      <w:i w:val="0"/>
      <w:iCs/>
      <w:caps/>
      <w:smallCaps w:val="0"/>
      <w:vanish w:val="0"/>
      <w:sz w:val="24"/>
    </w:rPr>
  </w:style>
  <w:style w:type="character" w:styleId="BookTitle">
    <w:name w:val="Book Title"/>
    <w:uiPriority w:val="33"/>
    <w:qFormat/>
    <w:rsid w:val="003C2B26"/>
    <w:rPr>
      <w:i/>
      <w:noProof/>
    </w:rPr>
  </w:style>
  <w:style w:type="character" w:styleId="PlaceholderText">
    <w:name w:val="Placeholder Text"/>
    <w:basedOn w:val="DefaultParagraphFont"/>
    <w:uiPriority w:val="99"/>
    <w:semiHidden/>
    <w:rsid w:val="0008746E"/>
    <w:rPr>
      <w:color w:val="808080"/>
    </w:rPr>
  </w:style>
  <w:style w:type="paragraph" w:customStyle="1" w:styleId="paragraph">
    <w:name w:val="paragraph"/>
    <w:basedOn w:val="Normal"/>
    <w:rsid w:val="00C66578"/>
    <w:pPr>
      <w:widowControl/>
      <w:spacing w:before="100" w:beforeAutospacing="1" w:after="100" w:afterAutospacing="1" w:line="240" w:lineRule="auto"/>
      <w:jc w:val="left"/>
    </w:pPr>
    <w:rPr>
      <w:rFonts w:eastAsia="Times New Roman"/>
      <w:lang w:eastAsia="zh-CN"/>
    </w:rPr>
  </w:style>
  <w:style w:type="character" w:customStyle="1" w:styleId="normaltextrun">
    <w:name w:val="normaltextrun"/>
    <w:basedOn w:val="DefaultParagraphFont"/>
    <w:rsid w:val="00C66578"/>
  </w:style>
  <w:style w:type="character" w:customStyle="1" w:styleId="eop">
    <w:name w:val="eop"/>
    <w:basedOn w:val="DefaultParagraphFont"/>
    <w:rsid w:val="00C66578"/>
  </w:style>
  <w:style w:type="character" w:customStyle="1" w:styleId="apple-converted-space">
    <w:name w:val="apple-converted-space"/>
    <w:basedOn w:val="DefaultParagraphFont"/>
    <w:rsid w:val="00C66578"/>
  </w:style>
  <w:style w:type="character" w:customStyle="1" w:styleId="contextualspellingandgrammarerror">
    <w:name w:val="contextualspellingandgrammarerror"/>
    <w:basedOn w:val="DefaultParagraphFont"/>
    <w:rsid w:val="00C66578"/>
  </w:style>
  <w:style w:type="paragraph" w:styleId="NormalWeb">
    <w:name w:val="Normal (Web)"/>
    <w:basedOn w:val="Normal"/>
    <w:uiPriority w:val="99"/>
    <w:unhideWhenUsed/>
    <w:rsid w:val="006C4354"/>
    <w:pPr>
      <w:widowControl/>
      <w:spacing w:before="100" w:beforeAutospacing="1" w:after="100" w:afterAutospacing="1" w:line="240" w:lineRule="auto"/>
      <w:jc w:val="left"/>
    </w:pPr>
    <w:rPr>
      <w:rFonts w:eastAsia="Times New Roman"/>
      <w:lang w:val="en-GB" w:eastAsia="en-GB"/>
    </w:rPr>
  </w:style>
  <w:style w:type="character" w:styleId="CommentReference">
    <w:name w:val="annotation reference"/>
    <w:basedOn w:val="DefaultParagraphFont"/>
    <w:uiPriority w:val="99"/>
    <w:semiHidden/>
    <w:unhideWhenUsed/>
    <w:rsid w:val="009914C2"/>
    <w:rPr>
      <w:sz w:val="18"/>
      <w:szCs w:val="18"/>
    </w:rPr>
  </w:style>
  <w:style w:type="paragraph" w:styleId="CommentText">
    <w:name w:val="annotation text"/>
    <w:basedOn w:val="Normal"/>
    <w:link w:val="CommentTextChar"/>
    <w:uiPriority w:val="99"/>
    <w:unhideWhenUsed/>
    <w:rsid w:val="009914C2"/>
    <w:pPr>
      <w:spacing w:line="240" w:lineRule="auto"/>
    </w:pPr>
  </w:style>
  <w:style w:type="character" w:customStyle="1" w:styleId="CommentTextChar">
    <w:name w:val="Comment Text Char"/>
    <w:basedOn w:val="DefaultParagraphFont"/>
    <w:link w:val="CommentText"/>
    <w:uiPriority w:val="99"/>
    <w:rsid w:val="009914C2"/>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914C2"/>
    <w:rPr>
      <w:b/>
      <w:bCs/>
      <w:sz w:val="20"/>
      <w:szCs w:val="20"/>
    </w:rPr>
  </w:style>
  <w:style w:type="character" w:customStyle="1" w:styleId="CommentSubjectChar">
    <w:name w:val="Comment Subject Char"/>
    <w:basedOn w:val="CommentTextChar"/>
    <w:link w:val="CommentSubject"/>
    <w:uiPriority w:val="99"/>
    <w:semiHidden/>
    <w:rsid w:val="009914C2"/>
    <w:rPr>
      <w:rFonts w:ascii="Times New Roman" w:hAnsi="Times New Roman" w:cs="Times New Roman"/>
      <w:b/>
      <w:bCs/>
      <w:sz w:val="20"/>
      <w:szCs w:val="20"/>
    </w:rPr>
  </w:style>
  <w:style w:type="paragraph" w:styleId="Revision">
    <w:name w:val="Revision"/>
    <w:hidden/>
    <w:uiPriority w:val="99"/>
    <w:semiHidden/>
    <w:rsid w:val="00813981"/>
    <w:pPr>
      <w:spacing w:before="0" w:after="0" w:line="240" w:lineRule="auto"/>
    </w:pPr>
    <w:rPr>
      <w:rFonts w:ascii="Times New Roman" w:hAnsi="Times New Roman" w:cs="Times New Roman"/>
    </w:rPr>
  </w:style>
  <w:style w:type="character" w:customStyle="1" w:styleId="UnresolvedMention2">
    <w:name w:val="Unresolved Mention2"/>
    <w:basedOn w:val="DefaultParagraphFont"/>
    <w:uiPriority w:val="99"/>
    <w:semiHidden/>
    <w:unhideWhenUsed/>
    <w:rsid w:val="00D97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5370">
      <w:bodyDiv w:val="1"/>
      <w:marLeft w:val="0"/>
      <w:marRight w:val="0"/>
      <w:marTop w:val="0"/>
      <w:marBottom w:val="0"/>
      <w:divBdr>
        <w:top w:val="none" w:sz="0" w:space="0" w:color="auto"/>
        <w:left w:val="none" w:sz="0" w:space="0" w:color="auto"/>
        <w:bottom w:val="none" w:sz="0" w:space="0" w:color="auto"/>
        <w:right w:val="none" w:sz="0" w:space="0" w:color="auto"/>
      </w:divBdr>
    </w:div>
    <w:div w:id="163254003">
      <w:bodyDiv w:val="1"/>
      <w:marLeft w:val="0"/>
      <w:marRight w:val="0"/>
      <w:marTop w:val="0"/>
      <w:marBottom w:val="0"/>
      <w:divBdr>
        <w:top w:val="none" w:sz="0" w:space="0" w:color="auto"/>
        <w:left w:val="none" w:sz="0" w:space="0" w:color="auto"/>
        <w:bottom w:val="none" w:sz="0" w:space="0" w:color="auto"/>
        <w:right w:val="none" w:sz="0" w:space="0" w:color="auto"/>
      </w:divBdr>
    </w:div>
    <w:div w:id="225915105">
      <w:bodyDiv w:val="1"/>
      <w:marLeft w:val="0"/>
      <w:marRight w:val="0"/>
      <w:marTop w:val="0"/>
      <w:marBottom w:val="0"/>
      <w:divBdr>
        <w:top w:val="none" w:sz="0" w:space="0" w:color="auto"/>
        <w:left w:val="none" w:sz="0" w:space="0" w:color="auto"/>
        <w:bottom w:val="none" w:sz="0" w:space="0" w:color="auto"/>
        <w:right w:val="none" w:sz="0" w:space="0" w:color="auto"/>
      </w:divBdr>
    </w:div>
    <w:div w:id="301932904">
      <w:bodyDiv w:val="1"/>
      <w:marLeft w:val="0"/>
      <w:marRight w:val="0"/>
      <w:marTop w:val="0"/>
      <w:marBottom w:val="0"/>
      <w:divBdr>
        <w:top w:val="none" w:sz="0" w:space="0" w:color="auto"/>
        <w:left w:val="none" w:sz="0" w:space="0" w:color="auto"/>
        <w:bottom w:val="none" w:sz="0" w:space="0" w:color="auto"/>
        <w:right w:val="none" w:sz="0" w:space="0" w:color="auto"/>
      </w:divBdr>
    </w:div>
    <w:div w:id="407927931">
      <w:bodyDiv w:val="1"/>
      <w:marLeft w:val="0"/>
      <w:marRight w:val="0"/>
      <w:marTop w:val="0"/>
      <w:marBottom w:val="0"/>
      <w:divBdr>
        <w:top w:val="none" w:sz="0" w:space="0" w:color="auto"/>
        <w:left w:val="none" w:sz="0" w:space="0" w:color="auto"/>
        <w:bottom w:val="none" w:sz="0" w:space="0" w:color="auto"/>
        <w:right w:val="none" w:sz="0" w:space="0" w:color="auto"/>
      </w:divBdr>
    </w:div>
    <w:div w:id="425611613">
      <w:bodyDiv w:val="1"/>
      <w:marLeft w:val="0"/>
      <w:marRight w:val="0"/>
      <w:marTop w:val="0"/>
      <w:marBottom w:val="0"/>
      <w:divBdr>
        <w:top w:val="none" w:sz="0" w:space="0" w:color="auto"/>
        <w:left w:val="none" w:sz="0" w:space="0" w:color="auto"/>
        <w:bottom w:val="none" w:sz="0" w:space="0" w:color="auto"/>
        <w:right w:val="none" w:sz="0" w:space="0" w:color="auto"/>
      </w:divBdr>
    </w:div>
    <w:div w:id="449394054">
      <w:bodyDiv w:val="1"/>
      <w:marLeft w:val="0"/>
      <w:marRight w:val="0"/>
      <w:marTop w:val="0"/>
      <w:marBottom w:val="0"/>
      <w:divBdr>
        <w:top w:val="none" w:sz="0" w:space="0" w:color="auto"/>
        <w:left w:val="none" w:sz="0" w:space="0" w:color="auto"/>
        <w:bottom w:val="none" w:sz="0" w:space="0" w:color="auto"/>
        <w:right w:val="none" w:sz="0" w:space="0" w:color="auto"/>
      </w:divBdr>
    </w:div>
    <w:div w:id="544173218">
      <w:bodyDiv w:val="1"/>
      <w:marLeft w:val="0"/>
      <w:marRight w:val="0"/>
      <w:marTop w:val="0"/>
      <w:marBottom w:val="0"/>
      <w:divBdr>
        <w:top w:val="none" w:sz="0" w:space="0" w:color="auto"/>
        <w:left w:val="none" w:sz="0" w:space="0" w:color="auto"/>
        <w:bottom w:val="none" w:sz="0" w:space="0" w:color="auto"/>
        <w:right w:val="none" w:sz="0" w:space="0" w:color="auto"/>
      </w:divBdr>
    </w:div>
    <w:div w:id="593441457">
      <w:bodyDiv w:val="1"/>
      <w:marLeft w:val="0"/>
      <w:marRight w:val="0"/>
      <w:marTop w:val="0"/>
      <w:marBottom w:val="0"/>
      <w:divBdr>
        <w:top w:val="none" w:sz="0" w:space="0" w:color="auto"/>
        <w:left w:val="none" w:sz="0" w:space="0" w:color="auto"/>
        <w:bottom w:val="none" w:sz="0" w:space="0" w:color="auto"/>
        <w:right w:val="none" w:sz="0" w:space="0" w:color="auto"/>
      </w:divBdr>
    </w:div>
    <w:div w:id="599488082">
      <w:bodyDiv w:val="1"/>
      <w:marLeft w:val="0"/>
      <w:marRight w:val="0"/>
      <w:marTop w:val="0"/>
      <w:marBottom w:val="0"/>
      <w:divBdr>
        <w:top w:val="none" w:sz="0" w:space="0" w:color="auto"/>
        <w:left w:val="none" w:sz="0" w:space="0" w:color="auto"/>
        <w:bottom w:val="none" w:sz="0" w:space="0" w:color="auto"/>
        <w:right w:val="none" w:sz="0" w:space="0" w:color="auto"/>
      </w:divBdr>
    </w:div>
    <w:div w:id="612247210">
      <w:bodyDiv w:val="1"/>
      <w:marLeft w:val="0"/>
      <w:marRight w:val="0"/>
      <w:marTop w:val="0"/>
      <w:marBottom w:val="0"/>
      <w:divBdr>
        <w:top w:val="none" w:sz="0" w:space="0" w:color="auto"/>
        <w:left w:val="none" w:sz="0" w:space="0" w:color="auto"/>
        <w:bottom w:val="none" w:sz="0" w:space="0" w:color="auto"/>
        <w:right w:val="none" w:sz="0" w:space="0" w:color="auto"/>
      </w:divBdr>
    </w:div>
    <w:div w:id="670134880">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
    <w:div w:id="923035155">
      <w:bodyDiv w:val="1"/>
      <w:marLeft w:val="0"/>
      <w:marRight w:val="0"/>
      <w:marTop w:val="0"/>
      <w:marBottom w:val="0"/>
      <w:divBdr>
        <w:top w:val="none" w:sz="0" w:space="0" w:color="auto"/>
        <w:left w:val="none" w:sz="0" w:space="0" w:color="auto"/>
        <w:bottom w:val="none" w:sz="0" w:space="0" w:color="auto"/>
        <w:right w:val="none" w:sz="0" w:space="0" w:color="auto"/>
      </w:divBdr>
    </w:div>
    <w:div w:id="945695094">
      <w:bodyDiv w:val="1"/>
      <w:marLeft w:val="0"/>
      <w:marRight w:val="0"/>
      <w:marTop w:val="0"/>
      <w:marBottom w:val="0"/>
      <w:divBdr>
        <w:top w:val="none" w:sz="0" w:space="0" w:color="auto"/>
        <w:left w:val="none" w:sz="0" w:space="0" w:color="auto"/>
        <w:bottom w:val="none" w:sz="0" w:space="0" w:color="auto"/>
        <w:right w:val="none" w:sz="0" w:space="0" w:color="auto"/>
      </w:divBdr>
    </w:div>
    <w:div w:id="959921139">
      <w:bodyDiv w:val="1"/>
      <w:marLeft w:val="0"/>
      <w:marRight w:val="0"/>
      <w:marTop w:val="0"/>
      <w:marBottom w:val="0"/>
      <w:divBdr>
        <w:top w:val="none" w:sz="0" w:space="0" w:color="auto"/>
        <w:left w:val="none" w:sz="0" w:space="0" w:color="auto"/>
        <w:bottom w:val="none" w:sz="0" w:space="0" w:color="auto"/>
        <w:right w:val="none" w:sz="0" w:space="0" w:color="auto"/>
      </w:divBdr>
    </w:div>
    <w:div w:id="1024524730">
      <w:bodyDiv w:val="1"/>
      <w:marLeft w:val="0"/>
      <w:marRight w:val="0"/>
      <w:marTop w:val="0"/>
      <w:marBottom w:val="0"/>
      <w:divBdr>
        <w:top w:val="none" w:sz="0" w:space="0" w:color="auto"/>
        <w:left w:val="none" w:sz="0" w:space="0" w:color="auto"/>
        <w:bottom w:val="none" w:sz="0" w:space="0" w:color="auto"/>
        <w:right w:val="none" w:sz="0" w:space="0" w:color="auto"/>
      </w:divBdr>
    </w:div>
    <w:div w:id="1053654736">
      <w:bodyDiv w:val="1"/>
      <w:marLeft w:val="0"/>
      <w:marRight w:val="0"/>
      <w:marTop w:val="0"/>
      <w:marBottom w:val="0"/>
      <w:divBdr>
        <w:top w:val="none" w:sz="0" w:space="0" w:color="auto"/>
        <w:left w:val="none" w:sz="0" w:space="0" w:color="auto"/>
        <w:bottom w:val="none" w:sz="0" w:space="0" w:color="auto"/>
        <w:right w:val="none" w:sz="0" w:space="0" w:color="auto"/>
      </w:divBdr>
    </w:div>
    <w:div w:id="1091967112">
      <w:bodyDiv w:val="1"/>
      <w:marLeft w:val="0"/>
      <w:marRight w:val="0"/>
      <w:marTop w:val="0"/>
      <w:marBottom w:val="0"/>
      <w:divBdr>
        <w:top w:val="none" w:sz="0" w:space="0" w:color="auto"/>
        <w:left w:val="none" w:sz="0" w:space="0" w:color="auto"/>
        <w:bottom w:val="none" w:sz="0" w:space="0" w:color="auto"/>
        <w:right w:val="none" w:sz="0" w:space="0" w:color="auto"/>
      </w:divBdr>
    </w:div>
    <w:div w:id="1133406100">
      <w:bodyDiv w:val="1"/>
      <w:marLeft w:val="0"/>
      <w:marRight w:val="0"/>
      <w:marTop w:val="0"/>
      <w:marBottom w:val="0"/>
      <w:divBdr>
        <w:top w:val="none" w:sz="0" w:space="0" w:color="auto"/>
        <w:left w:val="none" w:sz="0" w:space="0" w:color="auto"/>
        <w:bottom w:val="none" w:sz="0" w:space="0" w:color="auto"/>
        <w:right w:val="none" w:sz="0" w:space="0" w:color="auto"/>
      </w:divBdr>
    </w:div>
    <w:div w:id="1530338044">
      <w:bodyDiv w:val="1"/>
      <w:marLeft w:val="0"/>
      <w:marRight w:val="0"/>
      <w:marTop w:val="0"/>
      <w:marBottom w:val="0"/>
      <w:divBdr>
        <w:top w:val="none" w:sz="0" w:space="0" w:color="auto"/>
        <w:left w:val="none" w:sz="0" w:space="0" w:color="auto"/>
        <w:bottom w:val="none" w:sz="0" w:space="0" w:color="auto"/>
        <w:right w:val="none" w:sz="0" w:space="0" w:color="auto"/>
      </w:divBdr>
    </w:div>
    <w:div w:id="1557278148">
      <w:bodyDiv w:val="1"/>
      <w:marLeft w:val="0"/>
      <w:marRight w:val="0"/>
      <w:marTop w:val="0"/>
      <w:marBottom w:val="0"/>
      <w:divBdr>
        <w:top w:val="none" w:sz="0" w:space="0" w:color="auto"/>
        <w:left w:val="none" w:sz="0" w:space="0" w:color="auto"/>
        <w:bottom w:val="none" w:sz="0" w:space="0" w:color="auto"/>
        <w:right w:val="none" w:sz="0" w:space="0" w:color="auto"/>
      </w:divBdr>
    </w:div>
    <w:div w:id="1679581433">
      <w:bodyDiv w:val="1"/>
      <w:marLeft w:val="0"/>
      <w:marRight w:val="0"/>
      <w:marTop w:val="0"/>
      <w:marBottom w:val="0"/>
      <w:divBdr>
        <w:top w:val="none" w:sz="0" w:space="0" w:color="auto"/>
        <w:left w:val="none" w:sz="0" w:space="0" w:color="auto"/>
        <w:bottom w:val="none" w:sz="0" w:space="0" w:color="auto"/>
        <w:right w:val="none" w:sz="0" w:space="0" w:color="auto"/>
      </w:divBdr>
    </w:div>
    <w:div w:id="1747334850">
      <w:bodyDiv w:val="1"/>
      <w:marLeft w:val="0"/>
      <w:marRight w:val="0"/>
      <w:marTop w:val="0"/>
      <w:marBottom w:val="0"/>
      <w:divBdr>
        <w:top w:val="none" w:sz="0" w:space="0" w:color="auto"/>
        <w:left w:val="none" w:sz="0" w:space="0" w:color="auto"/>
        <w:bottom w:val="none" w:sz="0" w:space="0" w:color="auto"/>
        <w:right w:val="none" w:sz="0" w:space="0" w:color="auto"/>
      </w:divBdr>
    </w:div>
    <w:div w:id="178561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nu.edu.au"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u.edu.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smf.rsfas@anu.edu.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66666666666667"/>
          <c:y val="0.11366269913935179"/>
          <c:w val="0.85"/>
          <c:h val="0.79127925288408718"/>
        </c:manualLayout>
      </c:layout>
      <c:ofPieChart>
        <c:ofPieType val="pie"/>
        <c:varyColors val="1"/>
        <c:ser>
          <c:idx val="0"/>
          <c:order val="0"/>
          <c:dPt>
            <c:idx val="0"/>
            <c:bubble3D val="0"/>
            <c:spPr>
              <a:solidFill>
                <a:schemeClr val="accent1">
                  <a:lumMod val="40000"/>
                  <a:lumOff val="60000"/>
                </a:schemeClr>
              </a:solidFill>
              <a:ln w="19050">
                <a:solidFill>
                  <a:schemeClr val="lt1"/>
                </a:solidFill>
              </a:ln>
              <a:effectLst/>
            </c:spPr>
            <c:extLst>
              <c:ext xmlns:c16="http://schemas.microsoft.com/office/drawing/2014/chart" uri="{C3380CC4-5D6E-409C-BE32-E72D297353CC}">
                <c16:uniqueId val="{00000001-226D-4EE5-A0C4-F414CE2DE5B5}"/>
              </c:ext>
            </c:extLst>
          </c:dPt>
          <c:dPt>
            <c:idx val="1"/>
            <c:bubble3D val="0"/>
            <c:spPr>
              <a:solidFill>
                <a:schemeClr val="accent5">
                  <a:lumMod val="75000"/>
                </a:schemeClr>
              </a:solidFill>
              <a:ln w="19050">
                <a:solidFill>
                  <a:schemeClr val="lt1"/>
                </a:solidFill>
              </a:ln>
              <a:effectLst/>
            </c:spPr>
            <c:extLst>
              <c:ext xmlns:c16="http://schemas.microsoft.com/office/drawing/2014/chart" uri="{C3380CC4-5D6E-409C-BE32-E72D297353CC}">
                <c16:uniqueId val="{00000003-226D-4EE5-A0C4-F414CE2DE5B5}"/>
              </c:ext>
            </c:extLst>
          </c:dPt>
          <c:dPt>
            <c:idx val="2"/>
            <c:bubble3D val="0"/>
            <c:spPr>
              <a:solidFill>
                <a:schemeClr val="tx2">
                  <a:lumMod val="60000"/>
                  <a:lumOff val="40000"/>
                </a:schemeClr>
              </a:solidFill>
              <a:ln w="19050">
                <a:solidFill>
                  <a:schemeClr val="lt1"/>
                </a:solidFill>
              </a:ln>
              <a:effectLst/>
            </c:spPr>
            <c:extLst>
              <c:ext xmlns:c16="http://schemas.microsoft.com/office/drawing/2014/chart" uri="{C3380CC4-5D6E-409C-BE32-E72D297353CC}">
                <c16:uniqueId val="{00000005-226D-4EE5-A0C4-F414CE2DE5B5}"/>
              </c:ext>
            </c:extLst>
          </c:dPt>
          <c:dPt>
            <c:idx val="3"/>
            <c:bubble3D val="0"/>
            <c:spPr>
              <a:solidFill>
                <a:schemeClr val="tx1">
                  <a:lumMod val="75000"/>
                  <a:lumOff val="25000"/>
                </a:schemeClr>
              </a:solidFill>
              <a:ln w="19050">
                <a:solidFill>
                  <a:schemeClr val="lt1"/>
                </a:solidFill>
              </a:ln>
              <a:effectLst/>
            </c:spPr>
            <c:extLst>
              <c:ext xmlns:c16="http://schemas.microsoft.com/office/drawing/2014/chart" uri="{C3380CC4-5D6E-409C-BE32-E72D297353CC}">
                <c16:uniqueId val="{00000007-226D-4EE5-A0C4-F414CE2DE5B5}"/>
              </c:ext>
            </c:extLst>
          </c:dPt>
          <c:dPt>
            <c:idx val="4"/>
            <c:bubble3D val="0"/>
            <c:spPr>
              <a:solidFill>
                <a:schemeClr val="accent1"/>
              </a:solidFill>
              <a:ln w="19050">
                <a:solidFill>
                  <a:schemeClr val="lt1"/>
                </a:solidFill>
              </a:ln>
              <a:effectLst/>
            </c:spPr>
            <c:extLst>
              <c:ext xmlns:c16="http://schemas.microsoft.com/office/drawing/2014/chart" uri="{C3380CC4-5D6E-409C-BE32-E72D297353CC}">
                <c16:uniqueId val="{00000009-226D-4EE5-A0C4-F414CE2DE5B5}"/>
              </c:ext>
            </c:extLst>
          </c:dPt>
          <c:dPt>
            <c:idx val="5"/>
            <c:bubble3D val="0"/>
            <c:spPr>
              <a:solidFill>
                <a:schemeClr val="bg1">
                  <a:lumMod val="50000"/>
                </a:schemeClr>
              </a:solidFill>
              <a:ln w="19050">
                <a:solidFill>
                  <a:schemeClr val="lt1"/>
                </a:solidFill>
              </a:ln>
              <a:effectLst/>
            </c:spPr>
            <c:extLst>
              <c:ext xmlns:c16="http://schemas.microsoft.com/office/drawing/2014/chart" uri="{C3380CC4-5D6E-409C-BE32-E72D297353CC}">
                <c16:uniqueId val="{0000000B-226D-4EE5-A0C4-F414CE2DE5B5}"/>
              </c:ext>
            </c:extLst>
          </c:dPt>
          <c:dPt>
            <c:idx val="6"/>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0D-226D-4EE5-A0C4-F414CE2DE5B5}"/>
              </c:ext>
            </c:extLst>
          </c:dPt>
          <c:dPt>
            <c:idx val="7"/>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0F-226D-4EE5-A0C4-F414CE2DE5B5}"/>
              </c:ext>
            </c:extLst>
          </c:dPt>
          <c:dLbls>
            <c:dLbl>
              <c:idx val="0"/>
              <c:layout>
                <c:manualLayout>
                  <c:x val="-1.0855971128608925E-2"/>
                  <c:y val="4.6800952206555576E-3"/>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40000"/>
                          <a:lumOff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26D-4EE5-A0C4-F414CE2DE5B5}"/>
                </c:ext>
              </c:extLst>
            </c:dLbl>
            <c:dLbl>
              <c:idx val="1"/>
              <c:layout>
                <c:manualLayout>
                  <c:x val="-3.3383858267716539E-2"/>
                  <c:y val="-6.1226149056949279E-2"/>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3229166666666667"/>
                      <c:h val="0.25465116279069766"/>
                    </c:manualLayout>
                  </c15:layout>
                </c:ext>
                <c:ext xmlns:c16="http://schemas.microsoft.com/office/drawing/2014/chart" uri="{C3380CC4-5D6E-409C-BE32-E72D297353CC}">
                  <c16:uniqueId val="{00000003-226D-4EE5-A0C4-F414CE2DE5B5}"/>
                </c:ext>
              </c:extLst>
            </c:dLbl>
            <c:dLbl>
              <c:idx val="2"/>
              <c:layout>
                <c:manualLayout>
                  <c:x val="-9.2107939632545925E-3"/>
                  <c:y val="-4.3069034975279676E-3"/>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2">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2267700131233596"/>
                      <c:h val="0.28816297381431971"/>
                    </c:manualLayout>
                  </c15:layout>
                </c:ext>
                <c:ext xmlns:c16="http://schemas.microsoft.com/office/drawing/2014/chart" uri="{C3380CC4-5D6E-409C-BE32-E72D297353CC}">
                  <c16:uniqueId val="{00000005-226D-4EE5-A0C4-F414CE2DE5B5}"/>
                </c:ext>
              </c:extLst>
            </c:dLbl>
            <c:dLbl>
              <c:idx val="3"/>
              <c:layout>
                <c:manualLayout>
                  <c:x val="-3.9815452755905513E-2"/>
                  <c:y val="5.5654275773667827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26D-4EE5-A0C4-F414CE2DE5B5}"/>
                </c:ext>
              </c:extLst>
            </c:dLbl>
            <c:dLbl>
              <c:idx val="4"/>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9-226D-4EE5-A0C4-F414CE2DE5B5}"/>
                </c:ext>
              </c:extLst>
            </c:dLbl>
            <c:dLbl>
              <c:idx val="5"/>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B-226D-4EE5-A0C4-F414CE2DE5B5}"/>
                </c:ext>
              </c:extLst>
            </c:dLbl>
            <c:dLbl>
              <c:idx val="6"/>
              <c:layout>
                <c:manualLayout>
                  <c:x val="0.12927974628171479"/>
                  <c:y val="-1.1495799206003772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fld id="{FAE8194E-577E-481F-90B9-85348D7DFD2E}" type="CATEGORYNAME">
                      <a:rPr lang="en-US"/>
                      <a:pPr>
                        <a:defRPr b="1">
                          <a:solidFill>
                            <a:schemeClr val="accent5">
                              <a:lumMod val="60000"/>
                              <a:lumOff val="40000"/>
                            </a:schemeClr>
                          </a:solidFill>
                          <a:latin typeface="Times New Roman" panose="02020603050405020304" pitchFamily="18" charset="0"/>
                          <a:cs typeface="Times New Roman" panose="02020603050405020304" pitchFamily="18" charset="0"/>
                        </a:defRPr>
                      </a:pPr>
                      <a:t>[CATEGORY NAME]</a:t>
                    </a:fld>
                    <a:r>
                      <a:rPr lang="en-US" baseline="0"/>
                      <a:t>
100%</a:t>
                    </a: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226D-4EE5-A0C4-F414CE2DE5B5}"/>
                </c:ext>
              </c:extLst>
            </c:dLbl>
            <c:dLbl>
              <c:idx val="7"/>
              <c:layout>
                <c:manualLayout>
                  <c:x val="-9.3110236220472439E-4"/>
                  <c:y val="-0.10546969419520238"/>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1">
                            <a:lumMod val="50000"/>
                          </a:schemeClr>
                        </a:solidFill>
                        <a:latin typeface="Times New Roman" panose="02020603050405020304" pitchFamily="18" charset="0"/>
                        <a:ea typeface="+mn-ea"/>
                        <a:cs typeface="Times New Roman" panose="02020603050405020304" pitchFamily="18" charset="0"/>
                      </a:defRPr>
                    </a:pPr>
                    <a:r>
                      <a:rPr lang="en-US">
                        <a:solidFill>
                          <a:schemeClr val="accent1">
                            <a:lumMod val="50000"/>
                          </a:schemeClr>
                        </a:solidFill>
                      </a:rPr>
                      <a:t>AAE Portfolio</a:t>
                    </a:r>
                  </a:p>
                  <a:p>
                    <a:pPr>
                      <a:defRPr b="1">
                        <a:solidFill>
                          <a:schemeClr val="accent1">
                            <a:lumMod val="50000"/>
                          </a:schemeClr>
                        </a:solidFill>
                        <a:latin typeface="Times New Roman" panose="02020603050405020304" pitchFamily="18" charset="0"/>
                        <a:cs typeface="Times New Roman" panose="02020603050405020304" pitchFamily="18" charset="0"/>
                      </a:defRPr>
                    </a:pPr>
                    <a:fld id="{A3A83181-4445-492B-9931-F289D6A34A6F}" type="PERCENTAGE">
                      <a:rPr lang="en-US" baseline="0">
                        <a:solidFill>
                          <a:schemeClr val="accent1">
                            <a:lumMod val="50000"/>
                          </a:schemeClr>
                        </a:solidFill>
                      </a:rPr>
                      <a:pPr>
                        <a:defRPr b="1">
                          <a:solidFill>
                            <a:schemeClr val="accent1">
                              <a:lumMod val="50000"/>
                            </a:schemeClr>
                          </a:solidFill>
                          <a:latin typeface="Times New Roman" panose="02020603050405020304" pitchFamily="18" charset="0"/>
                          <a:cs typeface="Times New Roman" panose="02020603050405020304" pitchFamily="18" charset="0"/>
                        </a:defRPr>
                      </a:pPr>
                      <a:t>[PERCENTAGE]</a:t>
                    </a:fld>
                    <a:endParaRPr lang="en-AU"/>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226D-4EE5-A0C4-F414CE2DE5B5}"/>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'[R^0C Performance Attribution - End of Semester Report.xlsx]Sheet1'!$B$20:$B$26</c:f>
              <c:strCache>
                <c:ptCount val="7"/>
                <c:pt idx="0">
                  <c:v>Australian Equities </c:v>
                </c:pt>
                <c:pt idx="1">
                  <c:v>International Equities, Unhedged</c:v>
                </c:pt>
                <c:pt idx="2">
                  <c:v>International Equities, Hedged</c:v>
                </c:pt>
                <c:pt idx="3">
                  <c:v>Australian Fixed Income</c:v>
                </c:pt>
                <c:pt idx="4">
                  <c:v>Cash Account</c:v>
                </c:pt>
                <c:pt idx="5">
                  <c:v>Australian Cash</c:v>
                </c:pt>
                <c:pt idx="6">
                  <c:v>iShares Core S&amp;P/ASX 200 ETF</c:v>
                </c:pt>
              </c:strCache>
            </c:strRef>
          </c:cat>
          <c:val>
            <c:numRef>
              <c:f>'[R^0C Performance Attribution - End of Semester Report.xlsx]Sheet1'!$C$20:$C$26</c:f>
              <c:numCache>
                <c:formatCode>0.00%</c:formatCode>
                <c:ptCount val="7"/>
                <c:pt idx="0">
                  <c:v>0.10032122852102325</c:v>
                </c:pt>
                <c:pt idx="1">
                  <c:v>0.10024883059584308</c:v>
                </c:pt>
                <c:pt idx="2">
                  <c:v>0.10059774470460968</c:v>
                </c:pt>
                <c:pt idx="3">
                  <c:v>0.14918538503779952</c:v>
                </c:pt>
                <c:pt idx="4">
                  <c:v>2.1043160335560581E-2</c:v>
                </c:pt>
                <c:pt idx="5">
                  <c:v>2.6997508200047711E-2</c:v>
                </c:pt>
                <c:pt idx="6">
                  <c:v>0.50160614260511627</c:v>
                </c:pt>
              </c:numCache>
            </c:numRef>
          </c:val>
          <c:extLst>
            <c:ext xmlns:c16="http://schemas.microsoft.com/office/drawing/2014/chart" uri="{C3380CC4-5D6E-409C-BE32-E72D297353CC}">
              <c16:uniqueId val="{00000010-226D-4EE5-A0C4-F414CE2DE5B5}"/>
            </c:ext>
          </c:extLst>
        </c:ser>
        <c:dLbls>
          <c:dLblPos val="bestFit"/>
          <c:showLegendKey val="0"/>
          <c:showVal val="0"/>
          <c:showCatName val="1"/>
          <c:showSerName val="0"/>
          <c:showPercent val="1"/>
          <c:showBubbleSize val="0"/>
          <c:showLeaderLines val="1"/>
        </c:dLbls>
        <c:gapWidth val="100"/>
        <c:splitType val="pos"/>
        <c:splitPos val="1"/>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52309716762143"/>
          <c:y val="0.10446370452119838"/>
          <c:w val="0.80406334040291694"/>
          <c:h val="0.7616978532320472"/>
        </c:manualLayout>
      </c:layout>
      <c:ofPieChart>
        <c:ofPieType val="pie"/>
        <c:varyColors val="1"/>
        <c:ser>
          <c:idx val="0"/>
          <c:order val="0"/>
          <c:dPt>
            <c:idx val="0"/>
            <c:bubble3D val="0"/>
            <c:spPr>
              <a:solidFill>
                <a:schemeClr val="accent1">
                  <a:lumMod val="40000"/>
                  <a:lumOff val="60000"/>
                </a:schemeClr>
              </a:solidFill>
              <a:ln w="19050">
                <a:solidFill>
                  <a:schemeClr val="lt1"/>
                </a:solidFill>
              </a:ln>
              <a:effectLst/>
            </c:spPr>
            <c:extLst>
              <c:ext xmlns:c16="http://schemas.microsoft.com/office/drawing/2014/chart" uri="{C3380CC4-5D6E-409C-BE32-E72D297353CC}">
                <c16:uniqueId val="{00000001-F32E-4171-85DF-DBF04165B6C7}"/>
              </c:ext>
            </c:extLst>
          </c:dPt>
          <c:dPt>
            <c:idx val="1"/>
            <c:bubble3D val="0"/>
            <c:spPr>
              <a:solidFill>
                <a:schemeClr val="accent5">
                  <a:lumMod val="75000"/>
                </a:schemeClr>
              </a:solidFill>
              <a:ln w="19050">
                <a:solidFill>
                  <a:schemeClr val="lt1"/>
                </a:solidFill>
              </a:ln>
              <a:effectLst/>
            </c:spPr>
            <c:extLst>
              <c:ext xmlns:c16="http://schemas.microsoft.com/office/drawing/2014/chart" uri="{C3380CC4-5D6E-409C-BE32-E72D297353CC}">
                <c16:uniqueId val="{00000003-F32E-4171-85DF-DBF04165B6C7}"/>
              </c:ext>
            </c:extLst>
          </c:dPt>
          <c:dPt>
            <c:idx val="2"/>
            <c:bubble3D val="0"/>
            <c:spPr>
              <a:solidFill>
                <a:schemeClr val="tx2">
                  <a:lumMod val="60000"/>
                  <a:lumOff val="40000"/>
                </a:schemeClr>
              </a:solidFill>
              <a:ln w="19050">
                <a:solidFill>
                  <a:schemeClr val="lt1"/>
                </a:solidFill>
              </a:ln>
              <a:effectLst/>
            </c:spPr>
            <c:extLst>
              <c:ext xmlns:c16="http://schemas.microsoft.com/office/drawing/2014/chart" uri="{C3380CC4-5D6E-409C-BE32-E72D297353CC}">
                <c16:uniqueId val="{00000005-F32E-4171-85DF-DBF04165B6C7}"/>
              </c:ext>
            </c:extLst>
          </c:dPt>
          <c:dPt>
            <c:idx val="3"/>
            <c:bubble3D val="0"/>
            <c:spPr>
              <a:solidFill>
                <a:schemeClr val="tx1">
                  <a:lumMod val="75000"/>
                  <a:lumOff val="25000"/>
                </a:schemeClr>
              </a:solidFill>
              <a:ln w="19050">
                <a:solidFill>
                  <a:schemeClr val="lt1"/>
                </a:solidFill>
              </a:ln>
              <a:effectLst/>
            </c:spPr>
            <c:extLst>
              <c:ext xmlns:c16="http://schemas.microsoft.com/office/drawing/2014/chart" uri="{C3380CC4-5D6E-409C-BE32-E72D297353CC}">
                <c16:uniqueId val="{00000007-F32E-4171-85DF-DBF04165B6C7}"/>
              </c:ext>
            </c:extLst>
          </c:dPt>
          <c:dPt>
            <c:idx val="4"/>
            <c:bubble3D val="0"/>
            <c:spPr>
              <a:solidFill>
                <a:schemeClr val="accent1"/>
              </a:solidFill>
              <a:ln w="19050">
                <a:solidFill>
                  <a:schemeClr val="lt1"/>
                </a:solidFill>
              </a:ln>
              <a:effectLst/>
            </c:spPr>
            <c:extLst>
              <c:ext xmlns:c16="http://schemas.microsoft.com/office/drawing/2014/chart" uri="{C3380CC4-5D6E-409C-BE32-E72D297353CC}">
                <c16:uniqueId val="{00000009-F32E-4171-85DF-DBF04165B6C7}"/>
              </c:ext>
            </c:extLst>
          </c:dPt>
          <c:dPt>
            <c:idx val="5"/>
            <c:bubble3D val="0"/>
            <c:spPr>
              <a:solidFill>
                <a:schemeClr val="bg1">
                  <a:lumMod val="50000"/>
                </a:schemeClr>
              </a:solidFill>
              <a:ln w="19050">
                <a:solidFill>
                  <a:schemeClr val="lt1"/>
                </a:solidFill>
              </a:ln>
              <a:effectLst/>
            </c:spPr>
            <c:extLst>
              <c:ext xmlns:c16="http://schemas.microsoft.com/office/drawing/2014/chart" uri="{C3380CC4-5D6E-409C-BE32-E72D297353CC}">
                <c16:uniqueId val="{0000000B-F32E-4171-85DF-DBF04165B6C7}"/>
              </c:ext>
            </c:extLst>
          </c:dPt>
          <c:dPt>
            <c:idx val="6"/>
            <c:bubble3D val="0"/>
            <c:spPr>
              <a:solidFill>
                <a:schemeClr val="accent3">
                  <a:lumMod val="60000"/>
                  <a:lumOff val="40000"/>
                </a:schemeClr>
              </a:solidFill>
              <a:ln w="19050">
                <a:solidFill>
                  <a:schemeClr val="lt1"/>
                </a:solidFill>
              </a:ln>
              <a:effectLst/>
            </c:spPr>
            <c:extLst>
              <c:ext xmlns:c16="http://schemas.microsoft.com/office/drawing/2014/chart" uri="{C3380CC4-5D6E-409C-BE32-E72D297353CC}">
                <c16:uniqueId val="{0000000D-F32E-4171-85DF-DBF04165B6C7}"/>
              </c:ext>
            </c:extLst>
          </c:dPt>
          <c:dPt>
            <c:idx val="7"/>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F-F32E-4171-85DF-DBF04165B6C7}"/>
              </c:ext>
            </c:extLst>
          </c:dPt>
          <c:dPt>
            <c:idx val="8"/>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11-F32E-4171-85DF-DBF04165B6C7}"/>
              </c:ext>
            </c:extLst>
          </c:dPt>
          <c:dPt>
            <c:idx val="9"/>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13-F32E-4171-85DF-DBF04165B6C7}"/>
              </c:ext>
            </c:extLst>
          </c:dPt>
          <c:dPt>
            <c:idx val="10"/>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15-F32E-4171-85DF-DBF04165B6C7}"/>
              </c:ext>
            </c:extLst>
          </c:dPt>
          <c:dLbls>
            <c:dLbl>
              <c:idx val="0"/>
              <c:layout>
                <c:manualLayout>
                  <c:x val="5.1197859082553129E-2"/>
                  <c:y val="2.5653166623160775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40000"/>
                          <a:lumOff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32E-4171-85DF-DBF04165B6C7}"/>
                </c:ext>
              </c:extLst>
            </c:dLbl>
            <c:dLbl>
              <c:idx val="1"/>
              <c:layout>
                <c:manualLayout>
                  <c:x val="-2.0222322251446087E-2"/>
                  <c:y val="-1.7138457776705886E-2"/>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4997905409956447"/>
                      <c:h val="0.20543449169147604"/>
                    </c:manualLayout>
                  </c15:layout>
                </c:ext>
                <c:ext xmlns:c16="http://schemas.microsoft.com/office/drawing/2014/chart" uri="{C3380CC4-5D6E-409C-BE32-E72D297353CC}">
                  <c16:uniqueId val="{00000003-F32E-4171-85DF-DBF04165B6C7}"/>
                </c:ext>
              </c:extLst>
            </c:dLbl>
            <c:dLbl>
              <c:idx val="2"/>
              <c:layout>
                <c:manualLayout>
                  <c:x val="0"/>
                  <c:y val="-3.7957844442755607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2">
                            <a:lumMod val="60000"/>
                            <a:lumOff val="40000"/>
                          </a:schemeClr>
                        </a:solidFill>
                        <a:latin typeface="Times New Roman" panose="02020603050405020304" pitchFamily="18" charset="0"/>
                        <a:ea typeface="+mn-ea"/>
                        <a:cs typeface="Times New Roman" panose="02020603050405020304" pitchFamily="18" charset="0"/>
                      </a:defRPr>
                    </a:pPr>
                    <a:fld id="{B816FD7C-AC1A-4603-80D1-2D470BA6168C}" type="CATEGORYNAME">
                      <a:rPr lang="en-US" b="1">
                        <a:solidFill>
                          <a:schemeClr val="tx2">
                            <a:lumMod val="60000"/>
                            <a:lumOff val="40000"/>
                          </a:schemeClr>
                        </a:solidFill>
                        <a:latin typeface="Times New Roman" panose="02020603050405020304" pitchFamily="18" charset="0"/>
                        <a:cs typeface="Times New Roman" panose="02020603050405020304" pitchFamily="18" charset="0"/>
                      </a:rPr>
                      <a:pPr>
                        <a:defRPr b="1">
                          <a:solidFill>
                            <a:schemeClr val="tx2">
                              <a:lumMod val="60000"/>
                              <a:lumOff val="40000"/>
                            </a:schemeClr>
                          </a:solidFill>
                          <a:latin typeface="Times New Roman" panose="02020603050405020304" pitchFamily="18" charset="0"/>
                          <a:cs typeface="Times New Roman" panose="02020603050405020304" pitchFamily="18" charset="0"/>
                        </a:defRPr>
                      </a:pPr>
                      <a:t>[CATEGORY NAME]</a:t>
                    </a:fld>
                    <a:r>
                      <a:rPr lang="en-US" b="1" baseline="0">
                        <a:solidFill>
                          <a:schemeClr val="tx2">
                            <a:lumMod val="60000"/>
                            <a:lumOff val="40000"/>
                          </a:schemeClr>
                        </a:solidFill>
                        <a:latin typeface="Times New Roman" panose="02020603050405020304" pitchFamily="18" charset="0"/>
                        <a:cs typeface="Times New Roman" panose="02020603050405020304" pitchFamily="18" charset="0"/>
                      </a:rPr>
                      <a:t>
</a:t>
                    </a:r>
                    <a:fld id="{E279C1EE-AF85-45D2-AD91-D126061B395F}" type="PERCENTAGE">
                      <a:rPr lang="en-US" b="1" baseline="0">
                        <a:solidFill>
                          <a:schemeClr val="tx2">
                            <a:lumMod val="60000"/>
                            <a:lumOff val="40000"/>
                          </a:schemeClr>
                        </a:solidFill>
                        <a:latin typeface="Times New Roman" panose="02020603050405020304" pitchFamily="18" charset="0"/>
                        <a:cs typeface="Times New Roman" panose="02020603050405020304" pitchFamily="18" charset="0"/>
                      </a:rPr>
                      <a:pPr>
                        <a:defRPr b="1">
                          <a:solidFill>
                            <a:schemeClr val="tx2">
                              <a:lumMod val="60000"/>
                              <a:lumOff val="40000"/>
                            </a:schemeClr>
                          </a:solidFill>
                          <a:latin typeface="Times New Roman" panose="02020603050405020304" pitchFamily="18" charset="0"/>
                          <a:cs typeface="Times New Roman" panose="02020603050405020304" pitchFamily="18" charset="0"/>
                        </a:defRPr>
                      </a:pPr>
                      <a:t>[PERCENTAGE]</a:t>
                    </a:fld>
                    <a:endParaRPr lang="en-US" b="1" baseline="0">
                      <a:solidFill>
                        <a:schemeClr val="tx2">
                          <a:lumMod val="60000"/>
                          <a:lumOff val="40000"/>
                        </a:schemeClr>
                      </a:solidFill>
                      <a:latin typeface="Times New Roman" panose="02020603050405020304" pitchFamily="18" charset="0"/>
                      <a:cs typeface="Times New Roman" panose="02020603050405020304" pitchFamily="18" charset="0"/>
                    </a:endParaRPr>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2">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4083037763404965"/>
                      <c:h val="0.21401594628619389"/>
                    </c:manualLayout>
                  </c15:layout>
                  <c15:dlblFieldTable/>
                  <c15:showDataLabelsRange val="0"/>
                </c:ext>
                <c:ext xmlns:c16="http://schemas.microsoft.com/office/drawing/2014/chart" uri="{C3380CC4-5D6E-409C-BE32-E72D297353CC}">
                  <c16:uniqueId val="{00000005-F32E-4171-85DF-DBF04165B6C7}"/>
                </c:ext>
              </c:extLst>
            </c:dLbl>
            <c:dLbl>
              <c:idx val="3"/>
              <c:layout>
                <c:manualLayout>
                  <c:x val="-4.9355276970516386E-2"/>
                  <c:y val="7.5653992684401655E-3"/>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32E-4171-85DF-DBF04165B6C7}"/>
                </c:ext>
              </c:extLst>
            </c:dLbl>
            <c:dLbl>
              <c:idx val="4"/>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9-F32E-4171-85DF-DBF04165B6C7}"/>
                </c:ext>
              </c:extLst>
            </c:dLbl>
            <c:dLbl>
              <c:idx val="5"/>
              <c:layout>
                <c:manualLayout>
                  <c:x val="4.7050570796322064E-2"/>
                  <c:y val="-4.8142849118262233E-3"/>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32E-4171-85DF-DBF04165B6C7}"/>
                </c:ext>
              </c:extLst>
            </c:dLbl>
            <c:dLbl>
              <c:idx val="6"/>
              <c:layout>
                <c:manualLayout>
                  <c:x val="4.8577732290035827E-2"/>
                  <c:y val="3.1926936535366983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3">
                            <a:lumMod val="60000"/>
                            <a:lumOff val="40000"/>
                          </a:schemeClr>
                        </a:solidFill>
                        <a:latin typeface="Times New Roman" panose="02020603050405020304" pitchFamily="18" charset="0"/>
                        <a:ea typeface="+mn-ea"/>
                        <a:cs typeface="Times New Roman" panose="02020603050405020304" pitchFamily="18" charset="0"/>
                      </a:defRPr>
                    </a:pPr>
                    <a:fld id="{8EE4ECDC-D7C4-4CD9-8B28-2101EC7CF500}" type="CATEGORYNAME">
                      <a:rPr lang="en-US"/>
                      <a:pPr>
                        <a:defRPr b="1">
                          <a:solidFill>
                            <a:schemeClr val="accent3">
                              <a:lumMod val="60000"/>
                              <a:lumOff val="40000"/>
                            </a:schemeClr>
                          </a:solidFill>
                          <a:latin typeface="Times New Roman" panose="02020603050405020304" pitchFamily="18" charset="0"/>
                          <a:cs typeface="Times New Roman" panose="02020603050405020304" pitchFamily="18" charset="0"/>
                        </a:defRPr>
                      </a:pPr>
                      <a:t>[CATEGORY NAME]</a:t>
                    </a:fld>
                    <a:r>
                      <a:rPr lang="en-US" baseline="0"/>
                      <a:t>
8.93%</a:t>
                    </a: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F32E-4171-85DF-DBF04165B6C7}"/>
                </c:ext>
              </c:extLst>
            </c:dLbl>
            <c:dLbl>
              <c:idx val="7"/>
              <c:layout>
                <c:manualLayout>
                  <c:x val="6.5059609568415121E-3"/>
                  <c:y val="7.4563591846445135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2">
                            <a:lumMod val="60000"/>
                            <a:lumOff val="40000"/>
                          </a:schemeClr>
                        </a:solidFill>
                        <a:latin typeface="Times New Roman" panose="02020603050405020304" pitchFamily="18" charset="0"/>
                        <a:ea typeface="+mn-ea"/>
                        <a:cs typeface="Times New Roman" panose="02020603050405020304" pitchFamily="18" charset="0"/>
                      </a:defRPr>
                    </a:pPr>
                    <a:fld id="{1763125F-9526-4FF1-ABF7-8889345283A4}" type="CATEGORYNAME">
                      <a:rPr lang="en-US"/>
                      <a:pPr>
                        <a:defRPr b="1">
                          <a:solidFill>
                            <a:schemeClr val="accent2">
                              <a:lumMod val="60000"/>
                              <a:lumOff val="40000"/>
                            </a:schemeClr>
                          </a:solidFill>
                          <a:latin typeface="Times New Roman" panose="02020603050405020304" pitchFamily="18" charset="0"/>
                          <a:cs typeface="Times New Roman" panose="02020603050405020304" pitchFamily="18" charset="0"/>
                        </a:defRPr>
                      </a:pPr>
                      <a:t>[CATEGORY NAME]</a:t>
                    </a:fld>
                    <a:r>
                      <a:rPr lang="en-US" baseline="0"/>
                      <a:t>
2.99%</a:t>
                    </a: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F32E-4171-85DF-DBF04165B6C7}"/>
                </c:ext>
              </c:extLst>
            </c:dLbl>
            <c:dLbl>
              <c:idx val="8"/>
              <c:layout>
                <c:manualLayout>
                  <c:x val="-1.0850058566380433E-2"/>
                  <c:y val="2.2695206531831442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6">
                            <a:lumMod val="60000"/>
                            <a:lumOff val="40000"/>
                          </a:schemeClr>
                        </a:solidFill>
                        <a:latin typeface="Times New Roman" panose="02020603050405020304" pitchFamily="18" charset="0"/>
                        <a:ea typeface="+mn-ea"/>
                        <a:cs typeface="Times New Roman" panose="02020603050405020304" pitchFamily="18" charset="0"/>
                      </a:defRPr>
                    </a:pPr>
                    <a:fld id="{6B3E3051-5BB1-4609-AD7C-F14F5AFDB721}" type="CATEGORYNAME">
                      <a:rPr lang="en-US"/>
                      <a:pPr>
                        <a:defRPr b="1">
                          <a:solidFill>
                            <a:schemeClr val="accent6">
                              <a:lumMod val="60000"/>
                              <a:lumOff val="40000"/>
                            </a:schemeClr>
                          </a:solidFill>
                          <a:latin typeface="Times New Roman" panose="02020603050405020304" pitchFamily="18" charset="0"/>
                          <a:cs typeface="Times New Roman" panose="02020603050405020304" pitchFamily="18" charset="0"/>
                        </a:defRPr>
                      </a:pPr>
                      <a:t>[CATEGORY NAME]</a:t>
                    </a:fld>
                    <a:r>
                      <a:rPr lang="en-US" baseline="0"/>
                      <a:t>
8.35%</a:t>
                    </a: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F32E-4171-85DF-DBF04165B6C7}"/>
                </c:ext>
              </c:extLst>
            </c:dLbl>
            <c:dLbl>
              <c:idx val="9"/>
              <c:layout>
                <c:manualLayout>
                  <c:x val="-2.3622047244114858E-4"/>
                  <c:y val="-0.13812445319335084"/>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fld id="{F4B17713-2B8E-4AE1-9001-CCCE70088F90}" type="CATEGORYNAME">
                      <a:rPr lang="en-US"/>
                      <a:pPr>
                        <a:defRPr b="1">
                          <a:solidFill>
                            <a:schemeClr val="accent5">
                              <a:lumMod val="60000"/>
                              <a:lumOff val="40000"/>
                            </a:schemeClr>
                          </a:solidFill>
                          <a:latin typeface="Times New Roman" panose="02020603050405020304" pitchFamily="18" charset="0"/>
                          <a:cs typeface="Times New Roman" panose="02020603050405020304" pitchFamily="18" charset="0"/>
                        </a:defRPr>
                      </a:pPr>
                      <a:t>[CATEGORY NAME]</a:t>
                    </a:fld>
                    <a:r>
                      <a:rPr lang="en-US" baseline="0"/>
                      <a:t>
79.72%</a:t>
                    </a: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F32E-4171-85DF-DBF04165B6C7}"/>
                </c:ext>
              </c:extLst>
            </c:dLbl>
            <c:dLbl>
              <c:idx val="10"/>
              <c:layout>
                <c:manualLayout>
                  <c:x val="-2.3139059422287423E-3"/>
                  <c:y val="-8.7184816333543705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1">
                            <a:lumMod val="50000"/>
                          </a:schemeClr>
                        </a:solidFill>
                        <a:latin typeface="Times New Roman" panose="02020603050405020304" pitchFamily="18" charset="0"/>
                        <a:ea typeface="+mn-ea"/>
                        <a:cs typeface="Times New Roman" panose="02020603050405020304" pitchFamily="18" charset="0"/>
                      </a:defRPr>
                    </a:pPr>
                    <a:r>
                      <a:rPr lang="en-US">
                        <a:solidFill>
                          <a:schemeClr val="accent1">
                            <a:lumMod val="50000"/>
                          </a:schemeClr>
                        </a:solidFill>
                      </a:rPr>
                      <a:t>AAE Portfolio</a:t>
                    </a:r>
                    <a:r>
                      <a:rPr lang="en-US" baseline="0">
                        <a:solidFill>
                          <a:schemeClr val="accent1">
                            <a:lumMod val="50000"/>
                          </a:schemeClr>
                        </a:solidFill>
                      </a:rPr>
                      <a:t>
</a:t>
                    </a:r>
                    <a:fld id="{0B7376C0-12D4-497A-8A51-AFBF4F93CCD2}" type="PERCENTAGE">
                      <a:rPr lang="en-US" baseline="0">
                        <a:solidFill>
                          <a:schemeClr val="accent1">
                            <a:lumMod val="50000"/>
                          </a:schemeClr>
                        </a:solidFill>
                      </a:rPr>
                      <a:pPr>
                        <a:defRPr b="1">
                          <a:solidFill>
                            <a:schemeClr val="accent1">
                              <a:lumMod val="50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1">
                          <a:lumMod val="50000"/>
                        </a:schemeClr>
                      </a:solidFill>
                    </a:endParaRP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F32E-4171-85DF-DBF04165B6C7}"/>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'[R^0C Performance Attribution - End of Semester Report.xlsx]Sheet1'!$B$3:$B$12</c:f>
              <c:strCache>
                <c:ptCount val="10"/>
                <c:pt idx="0">
                  <c:v>Australian Equities </c:v>
                </c:pt>
                <c:pt idx="1">
                  <c:v>International Equities, Unhedged</c:v>
                </c:pt>
                <c:pt idx="2">
                  <c:v>International Equities, Hedged</c:v>
                </c:pt>
                <c:pt idx="3">
                  <c:v>Australian Fixed Income</c:v>
                </c:pt>
                <c:pt idx="4">
                  <c:v>Cash Account</c:v>
                </c:pt>
                <c:pt idx="5">
                  <c:v>Australian Cash</c:v>
                </c:pt>
                <c:pt idx="6">
                  <c:v>Telstra</c:v>
                </c:pt>
                <c:pt idx="7">
                  <c:v>Rio Tinto</c:v>
                </c:pt>
                <c:pt idx="8">
                  <c:v>Bingo Industries</c:v>
                </c:pt>
                <c:pt idx="9">
                  <c:v>iShares Core S&amp;P/ASX 200 ETF</c:v>
                </c:pt>
              </c:strCache>
            </c:strRef>
          </c:cat>
          <c:val>
            <c:numRef>
              <c:f>'[R^0C Performance Attribution - End of Semester Report.xlsx]Sheet1'!$C$3:$C$12</c:f>
              <c:numCache>
                <c:formatCode>0.00%</c:formatCode>
                <c:ptCount val="10"/>
                <c:pt idx="0">
                  <c:v>9.8079973573316312E-2</c:v>
                </c:pt>
                <c:pt idx="1">
                  <c:v>0.10187191664013605</c:v>
                </c:pt>
                <c:pt idx="2">
                  <c:v>9.9192427348940723E-2</c:v>
                </c:pt>
                <c:pt idx="3">
                  <c:v>0.14663176937818151</c:v>
                </c:pt>
                <c:pt idx="4">
                  <c:v>4.2920067123768182E-2</c:v>
                </c:pt>
                <c:pt idx="5">
                  <c:v>2.6394777867407695E-2</c:v>
                </c:pt>
                <c:pt idx="6">
                  <c:v>4.3316654068079143E-2</c:v>
                </c:pt>
                <c:pt idx="7">
                  <c:v>1.4520806227543072E-2</c:v>
                </c:pt>
                <c:pt idx="8">
                  <c:v>4.049645211550823E-2</c:v>
                </c:pt>
                <c:pt idx="9">
                  <c:v>0.38657515565711914</c:v>
                </c:pt>
              </c:numCache>
            </c:numRef>
          </c:val>
          <c:extLst>
            <c:ext xmlns:c16="http://schemas.microsoft.com/office/drawing/2014/chart" uri="{C3380CC4-5D6E-409C-BE32-E72D297353CC}">
              <c16:uniqueId val="{00000016-F32E-4171-85DF-DBF04165B6C7}"/>
            </c:ext>
          </c:extLst>
        </c:ser>
        <c:dLbls>
          <c:dLblPos val="bestFit"/>
          <c:showLegendKey val="0"/>
          <c:showVal val="0"/>
          <c:showCatName val="1"/>
          <c:showSerName val="0"/>
          <c:showPercent val="1"/>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N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N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N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EE1D543FB9164198D765219CBDAB4C" ma:contentTypeVersion="4" ma:contentTypeDescription="Create a new document." ma:contentTypeScope="" ma:versionID="a8d73fd40ba5449a099ed99cf088e12d">
  <xsd:schema xmlns:xsd="http://www.w3.org/2001/XMLSchema" xmlns:xs="http://www.w3.org/2001/XMLSchema" xmlns:p="http://schemas.microsoft.com/office/2006/metadata/properties" xmlns:ns2="45a56532-63ca-4d20-ab2d-f09fd61190d2" xmlns:ns3="759089d7-f8e0-4699-b9aa-0338cd91c886" targetNamespace="http://schemas.microsoft.com/office/2006/metadata/properties" ma:root="true" ma:fieldsID="eb51e8ae9fc20ce95244ee7c2e3656bd" ns2:_="" ns3:_="">
    <xsd:import namespace="45a56532-63ca-4d20-ab2d-f09fd61190d2"/>
    <xsd:import namespace="759089d7-f8e0-4699-b9aa-0338cd91c8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56532-63ca-4d20-ab2d-f09fd6119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9089d7-f8e0-4699-b9aa-0338cd91c8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F2FA38-3E07-43FC-8528-44A3CAAEA940}">
  <ds:schemaRefs>
    <ds:schemaRef ds:uri="http://schemas.openxmlformats.org/officeDocument/2006/bibliography"/>
  </ds:schemaRefs>
</ds:datastoreItem>
</file>

<file path=customXml/itemProps2.xml><?xml version="1.0" encoding="utf-8"?>
<ds:datastoreItem xmlns:ds="http://schemas.openxmlformats.org/officeDocument/2006/customXml" ds:itemID="{3071585C-E510-46D9-9649-4634B7E22D2C}"/>
</file>

<file path=customXml/itemProps3.xml><?xml version="1.0" encoding="utf-8"?>
<ds:datastoreItem xmlns:ds="http://schemas.openxmlformats.org/officeDocument/2006/customXml" ds:itemID="{FD75260B-B5EA-4A8C-A023-21CD83A29E59}"/>
</file>

<file path=customXml/itemProps4.xml><?xml version="1.0" encoding="utf-8"?>
<ds:datastoreItem xmlns:ds="http://schemas.openxmlformats.org/officeDocument/2006/customXml" ds:itemID="{EB35E0DB-303F-4BBC-9D03-FC3CFAEF80A2}"/>
</file>

<file path=docProps/app.xml><?xml version="1.0" encoding="utf-8"?>
<Properties xmlns="http://schemas.openxmlformats.org/officeDocument/2006/extended-properties" xmlns:vt="http://schemas.openxmlformats.org/officeDocument/2006/docPropsVTypes">
  <Template>Normal</Template>
  <TotalTime>1</TotalTime>
  <Pages>14</Pages>
  <Words>5454</Words>
  <Characters>31089</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Report</vt:lpstr>
    </vt:vector>
  </TitlesOfParts>
  <Company>The Australian National University</Company>
  <LinksUpToDate>false</LinksUpToDate>
  <CharactersWithSpaces>36471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Microsoft Office User</dc:creator>
  <cp:keywords/>
  <dc:description/>
  <cp:lastModifiedBy>Geoff Warren</cp:lastModifiedBy>
  <cp:revision>2</cp:revision>
  <cp:lastPrinted>2014-02-03T05:43:00Z</cp:lastPrinted>
  <dcterms:created xsi:type="dcterms:W3CDTF">2018-11-25T21:51:00Z</dcterms:created>
  <dcterms:modified xsi:type="dcterms:W3CDTF">2018-11-25T21:51:00Z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0x01010041EE1D543FB9164198D765219CBDAB4C</vt:lpwstr>
  </property>
</Properties>
</file>